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UNITED STATES SECURITIES AND EXCHANGE COMMISSION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3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252" w:lineRule="exact"/>
        <w:rPr>
          <w:sz w:val="24"/>
          <w:szCs w:val="24"/>
          <w:color w:val="auto"/>
        </w:rPr>
      </w:pPr>
    </w:p>
    <w:p>
      <w:pPr>
        <w:ind w:left="460" w:hanging="221"/>
        <w:spacing w:after="0"/>
        <w:tabs>
          <w:tab w:leader="none" w:pos="460" w:val="left"/>
        </w:tabs>
        <w:numPr>
          <w:ilvl w:val="0"/>
          <w:numId w:val="1"/>
        </w:numPr>
        <w:rPr>
          <w:rFonts w:ascii="MS PGothic" w:cs="MS PGothic" w:eastAsia="MS PGothic" w:hAnsi="MS PGothic"/>
          <w:sz w:val="17"/>
          <w:szCs w:val="17"/>
          <w:color w:val="auto"/>
        </w:rPr>
      </w:pPr>
      <w:r>
        <w:rPr>
          <w:rFonts w:ascii="Arial" w:cs="Arial" w:eastAsia="Arial" w:hAnsi="Arial"/>
          <w:sz w:val="17"/>
          <w:szCs w:val="17"/>
          <w:b w:val="1"/>
          <w:bCs w:val="1"/>
          <w:color w:val="auto"/>
        </w:rPr>
        <w:t>QUARTERLY REPORT PURSUANT TO SECTION 13 OR 15(D) OF THE SECURITIES EXCHANGE ACT OF 1934 For the quarterly</w:t>
      </w:r>
    </w:p>
    <w:p>
      <w:pPr>
        <w:spacing w:after="0" w:line="40" w:lineRule="exact"/>
        <w:rPr>
          <w:rFonts w:ascii="MS PGothic" w:cs="MS PGothic" w:eastAsia="MS PGothic" w:hAnsi="MS PGothic"/>
          <w:sz w:val="17"/>
          <w:szCs w:val="17"/>
          <w:color w:val="auto"/>
        </w:rPr>
      </w:pPr>
    </w:p>
    <w:p>
      <w:pPr>
        <w:ind w:left="4560"/>
        <w:spacing w:after="0"/>
        <w:rPr>
          <w:rFonts w:ascii="MS PGothic" w:cs="MS PGothic" w:eastAsia="MS PGothic" w:hAnsi="MS PGothic"/>
          <w:sz w:val="17"/>
          <w:szCs w:val="17"/>
          <w:color w:val="auto"/>
        </w:rPr>
      </w:pPr>
      <w:r>
        <w:rPr>
          <w:rFonts w:ascii="Arial" w:cs="Arial" w:eastAsia="Arial" w:hAnsi="Arial"/>
          <w:sz w:val="18"/>
          <w:szCs w:val="18"/>
          <w:b w:val="1"/>
          <w:bCs w:val="1"/>
          <w:color w:val="auto"/>
        </w:rPr>
        <w:t>period ended June 30, 2020.</w:t>
      </w:r>
    </w:p>
    <w:p>
      <w:pPr>
        <w:spacing w:after="0" w:line="20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or</w:t>
      </w:r>
    </w:p>
    <w:p>
      <w:pPr>
        <w:spacing w:after="0" w:line="248" w:lineRule="exact"/>
        <w:rPr>
          <w:sz w:val="24"/>
          <w:szCs w:val="24"/>
          <w:color w:val="auto"/>
        </w:rPr>
      </w:pPr>
    </w:p>
    <w:p>
      <w:pPr>
        <w:ind w:left="1540" w:hanging="222"/>
        <w:spacing w:after="0"/>
        <w:tabs>
          <w:tab w:leader="none" w:pos="154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PURSUANT TO SECTION 13 OR 15(D) OF THE SECURITIES EXCHANGE ACT OF 1934</w:t>
      </w:r>
    </w:p>
    <w:p>
      <w:pPr>
        <w:spacing w:after="0" w:line="24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SUN COMMUNITIES INC.</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240"/>
          </w:cols>
          <w:pgMar w:left="320" w:top="1363" w:right="339" w:bottom="1440" w:gutter="0" w:footer="0" w:header="0"/>
        </w:sectPr>
      </w:pPr>
    </w:p>
    <w:p>
      <w:pPr>
        <w:spacing w:after="0" w:line="286" w:lineRule="exact"/>
        <w:rPr>
          <w:sz w:val="24"/>
          <w:szCs w:val="24"/>
          <w:color w:val="auto"/>
        </w:rPr>
      </w:pPr>
    </w:p>
    <w:p>
      <w:pPr>
        <w:ind w:left="1700"/>
        <w:spacing w:after="0"/>
        <w:rPr>
          <w:sz w:val="20"/>
          <w:szCs w:val="20"/>
          <w:color w:val="auto"/>
        </w:rPr>
      </w:pPr>
      <w:r>
        <w:rPr>
          <w:rFonts w:ascii="Arial" w:cs="Arial" w:eastAsia="Arial" w:hAnsi="Arial"/>
          <w:sz w:val="17"/>
          <w:szCs w:val="17"/>
          <w:b w:val="1"/>
          <w:bCs w:val="1"/>
          <w:color w:val="auto"/>
        </w:rPr>
        <w:t>Maryland</w:t>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jc w:val="center"/>
        <w:ind w:right="2080"/>
        <w:spacing w:after="0"/>
        <w:rPr>
          <w:sz w:val="20"/>
          <w:szCs w:val="20"/>
          <w:color w:val="auto"/>
        </w:rPr>
      </w:pPr>
      <w:r>
        <w:rPr>
          <w:rFonts w:ascii="Arial" w:cs="Arial" w:eastAsia="Arial" w:hAnsi="Arial"/>
          <w:sz w:val="16"/>
          <w:szCs w:val="16"/>
          <w:b w:val="1"/>
          <w:bCs w:val="1"/>
          <w:color w:val="auto"/>
        </w:rPr>
        <w:t>1-12616</w:t>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38-2730780</w:t>
      </w:r>
    </w:p>
    <w:p>
      <w:pPr>
        <w:spacing w:after="0" w:line="90" w:lineRule="exact"/>
        <w:rPr>
          <w:sz w:val="24"/>
          <w:szCs w:val="24"/>
          <w:color w:val="auto"/>
        </w:rPr>
      </w:pPr>
    </w:p>
    <w:p>
      <w:pPr>
        <w:sectPr>
          <w:pgSz w:w="11900" w:h="16838" w:orient="portrait"/>
          <w:cols w:equalWidth="0" w:num="3">
            <w:col w:w="4620" w:space="720"/>
            <w:col w:w="2680" w:space="720"/>
            <w:col w:w="2500"/>
          </w:cols>
          <w:pgMar w:left="320" w:top="1363" w:right="339" w:bottom="1440" w:gutter="0" w:footer="0" w:header="0"/>
          <w:type w:val="continuous"/>
        </w:sectPr>
      </w:pPr>
    </w:p>
    <w:p>
      <w:pPr>
        <w:ind w:left="1240"/>
        <w:spacing w:after="0"/>
        <w:rPr>
          <w:sz w:val="20"/>
          <w:szCs w:val="20"/>
          <w:color w:val="auto"/>
        </w:rPr>
      </w:pPr>
      <w:r>
        <w:rPr>
          <w:rFonts w:ascii="Arial" w:cs="Arial" w:eastAsia="Arial" w:hAnsi="Arial"/>
          <w:sz w:val="16"/>
          <w:szCs w:val="16"/>
          <w:color w:val="auto"/>
        </w:rPr>
        <w:t>(State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(I.R.S. Employer Identification No.)</w:t>
      </w:r>
    </w:p>
    <w:p>
      <w:pPr>
        <w:spacing w:after="0" w:line="200" w:lineRule="exact"/>
        <w:rPr>
          <w:sz w:val="24"/>
          <w:szCs w:val="24"/>
          <w:color w:val="auto"/>
        </w:rPr>
      </w:pPr>
    </w:p>
    <w:p>
      <w:pPr>
        <w:sectPr>
          <w:pgSz w:w="11900" w:h="16838" w:orient="portrait"/>
          <w:cols w:equalWidth="0" w:num="3">
            <w:col w:w="4020" w:space="720"/>
            <w:col w:w="2420" w:space="720"/>
            <w:col w:w="3360"/>
          </w:cols>
          <w:pgMar w:left="320" w:top="1363" w:right="339" w:bottom="1440" w:gutter="0" w:footer="0" w:header="0"/>
          <w:type w:val="continuous"/>
        </w:sectPr>
      </w:pPr>
    </w:p>
    <w:p>
      <w:pPr>
        <w:spacing w:after="0" w:line="17" w:lineRule="exact"/>
        <w:rPr>
          <w:sz w:val="24"/>
          <w:szCs w:val="24"/>
          <w:color w:val="auto"/>
        </w:rPr>
      </w:pPr>
    </w:p>
    <w:p>
      <w:pPr>
        <w:ind w:left="660"/>
        <w:spacing w:after="0"/>
        <w:tabs>
          <w:tab w:leader="none" w:pos="3180" w:val="left"/>
          <w:tab w:leader="none" w:pos="4300" w:val="left"/>
        </w:tabs>
        <w:rPr>
          <w:sz w:val="20"/>
          <w:szCs w:val="20"/>
          <w:color w:val="auto"/>
        </w:rPr>
      </w:pPr>
      <w:r>
        <w:rPr>
          <w:rFonts w:ascii="Arial" w:cs="Arial" w:eastAsia="Arial" w:hAnsi="Arial"/>
          <w:sz w:val="18"/>
          <w:szCs w:val="18"/>
          <w:b w:val="1"/>
          <w:bCs w:val="1"/>
          <w:color w:val="auto"/>
        </w:rPr>
        <w:t>27777 Franklin Rd, Suite 200,</w:t>
        <w:tab/>
        <w:t>Southfield,</w:t>
      </w:r>
      <w:r>
        <w:rPr>
          <w:sz w:val="20"/>
          <w:szCs w:val="20"/>
          <w:color w:val="auto"/>
        </w:rPr>
        <w:tab/>
      </w:r>
      <w:r>
        <w:rPr>
          <w:rFonts w:ascii="Arial" w:cs="Arial" w:eastAsia="Arial" w:hAnsi="Arial"/>
          <w:sz w:val="17"/>
          <w:szCs w:val="17"/>
          <w:b w:val="1"/>
          <w:bCs w:val="1"/>
          <w:color w:val="auto"/>
        </w:rPr>
        <w:t>Michigan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b w:val="1"/>
          <w:bCs w:val="1"/>
          <w:color w:val="auto"/>
        </w:rPr>
        <w:t>48034</w:t>
      </w:r>
    </w:p>
    <w:p>
      <w:pPr>
        <w:spacing w:after="0" w:line="89" w:lineRule="exact"/>
        <w:rPr>
          <w:sz w:val="24"/>
          <w:szCs w:val="24"/>
          <w:color w:val="auto"/>
        </w:rPr>
      </w:pPr>
    </w:p>
    <w:p>
      <w:pPr>
        <w:sectPr>
          <w:pgSz w:w="11900" w:h="16838" w:orient="portrait"/>
          <w:cols w:equalWidth="0" w:num="2">
            <w:col w:w="8240" w:space="720"/>
            <w:col w:w="2280"/>
          </w:cols>
          <w:pgMar w:left="320" w:top="1363" w:right="339" w:bottom="1440" w:gutter="0" w:footer="0" w:header="0"/>
          <w:type w:val="continuous"/>
        </w:sectPr>
      </w:pPr>
    </w:p>
    <w:p>
      <w:pPr>
        <w:ind w:left="134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(Zip Code)</w:t>
      </w:r>
    </w:p>
    <w:p>
      <w:pPr>
        <w:spacing w:after="0" w:line="163" w:lineRule="exact"/>
        <w:rPr>
          <w:sz w:val="24"/>
          <w:szCs w:val="24"/>
          <w:color w:val="auto"/>
        </w:rPr>
      </w:pPr>
    </w:p>
    <w:p>
      <w:pPr>
        <w:sectPr>
          <w:pgSz w:w="11900" w:h="16838" w:orient="portrait"/>
          <w:cols w:equalWidth="0" w:num="2">
            <w:col w:w="8080" w:space="720"/>
            <w:col w:w="2440"/>
          </w:cols>
          <w:pgMar w:left="320" w:top="1363" w:right="3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(248) 208-2500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(Registrant’s telephone number, including area code)</w:t>
      </w:r>
    </w:p>
    <w:p>
      <w:pPr>
        <w:sectPr>
          <w:pgSz w:w="11900" w:h="16838" w:orient="portrait"/>
          <w:cols w:equalWidth="0" w:num="1">
            <w:col w:w="11240"/>
          </w:cols>
          <w:pgMar w:left="320" w:top="1363" w:right="339" w:bottom="1440" w:gutter="0" w:footer="0" w:header="0"/>
          <w:type w:val="continuous"/>
        </w:sectPr>
      </w:pPr>
    </w:p>
    <w:p>
      <w:pPr>
        <w:spacing w:after="0" w:line="25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67" w:lineRule="exact"/>
        <w:rPr>
          <w:sz w:val="24"/>
          <w:szCs w:val="24"/>
          <w:color w:val="auto"/>
        </w:rPr>
      </w:pPr>
    </w:p>
    <w:tbl>
      <w:tblPr>
        <w:tblLayout w:type="fixed"/>
        <w:tblInd w:w="300" w:type="dxa"/>
        <w:tblCellMar>
          <w:top w:w="0" w:type="dxa"/>
          <w:left w:w="0" w:type="dxa"/>
          <w:bottom w:w="0" w:type="dxa"/>
          <w:right w:w="0" w:type="dxa"/>
        </w:tblCellMar>
      </w:tblPr>
      <w:tr>
        <w:trPr>
          <w:trHeight w:val="230"/>
        </w:trPr>
        <w:tc>
          <w:tcPr>
            <w:tcW w:w="4220" w:type="dxa"/>
            <w:vAlign w:val="bottom"/>
            <w:gridSpan w:val="2"/>
          </w:tcPr>
          <w:p>
            <w:pPr>
              <w:jc w:val="center"/>
              <w:ind w:right="160"/>
              <w:spacing w:after="0"/>
              <w:rPr>
                <w:sz w:val="20"/>
                <w:szCs w:val="20"/>
                <w:color w:val="auto"/>
              </w:rPr>
            </w:pPr>
            <w:r>
              <w:rPr>
                <w:rFonts w:ascii="Arial" w:cs="Arial" w:eastAsia="Arial" w:hAnsi="Arial"/>
                <w:sz w:val="18"/>
                <w:szCs w:val="18"/>
                <w:color w:val="auto"/>
                <w:w w:val="90"/>
              </w:rPr>
              <w:t>Title of each class</w:t>
            </w:r>
          </w:p>
        </w:tc>
        <w:tc>
          <w:tcPr>
            <w:tcW w:w="2340" w:type="dxa"/>
            <w:vAlign w:val="bottom"/>
            <w:gridSpan w:val="2"/>
          </w:tcPr>
          <w:p>
            <w:pPr>
              <w:jc w:val="center"/>
              <w:ind w:right="160"/>
              <w:spacing w:after="0"/>
              <w:rPr>
                <w:sz w:val="20"/>
                <w:szCs w:val="20"/>
                <w:color w:val="auto"/>
              </w:rPr>
            </w:pPr>
            <w:r>
              <w:rPr>
                <w:rFonts w:ascii="Arial" w:cs="Arial" w:eastAsia="Arial" w:hAnsi="Arial"/>
                <w:sz w:val="18"/>
                <w:szCs w:val="18"/>
                <w:color w:val="auto"/>
                <w:w w:val="91"/>
              </w:rPr>
              <w:t>Trading Symbol(s)</w:t>
            </w:r>
          </w:p>
        </w:tc>
        <w:tc>
          <w:tcPr>
            <w:tcW w:w="4100" w:type="dxa"/>
            <w:vAlign w:val="bottom"/>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7"/>
        </w:trPr>
        <w:tc>
          <w:tcPr>
            <w:tcW w:w="40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2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4100" w:type="dxa"/>
            <w:vAlign w:val="bottom"/>
            <w:tcBorders>
              <w:bottom w:val="single" w:sz="8" w:color="auto"/>
            </w:tcBorders>
          </w:tcPr>
          <w:p>
            <w:pPr>
              <w:spacing w:after="0"/>
              <w:rPr>
                <w:sz w:val="2"/>
                <w:szCs w:val="2"/>
                <w:color w:val="auto"/>
              </w:rPr>
            </w:pPr>
          </w:p>
        </w:tc>
      </w:tr>
      <w:tr>
        <w:trPr>
          <w:trHeight w:val="236"/>
        </w:trPr>
        <w:tc>
          <w:tcPr>
            <w:tcW w:w="4220" w:type="dxa"/>
            <w:vAlign w:val="bottom"/>
            <w:gridSpan w:val="2"/>
          </w:tcPr>
          <w:p>
            <w:pPr>
              <w:jc w:val="center"/>
              <w:ind w:right="180"/>
              <w:spacing w:after="0"/>
              <w:rPr>
                <w:sz w:val="20"/>
                <w:szCs w:val="20"/>
                <w:color w:val="auto"/>
              </w:rPr>
            </w:pPr>
            <w:r>
              <w:rPr>
                <w:rFonts w:ascii="Arial" w:cs="Arial" w:eastAsia="Arial" w:hAnsi="Arial"/>
                <w:sz w:val="18"/>
                <w:szCs w:val="18"/>
                <w:color w:val="auto"/>
                <w:w w:val="90"/>
              </w:rPr>
              <w:t>Common Stock, $0.01 par value</w:t>
            </w:r>
          </w:p>
        </w:tc>
        <w:tc>
          <w:tcPr>
            <w:tcW w:w="2340" w:type="dxa"/>
            <w:vAlign w:val="bottom"/>
            <w:gridSpan w:val="2"/>
          </w:tcPr>
          <w:p>
            <w:pPr>
              <w:jc w:val="center"/>
              <w:ind w:right="160"/>
              <w:spacing w:after="0"/>
              <w:rPr>
                <w:sz w:val="20"/>
                <w:szCs w:val="20"/>
                <w:color w:val="auto"/>
              </w:rPr>
            </w:pPr>
            <w:r>
              <w:rPr>
                <w:rFonts w:ascii="Arial" w:cs="Arial" w:eastAsia="Arial" w:hAnsi="Arial"/>
                <w:sz w:val="18"/>
                <w:szCs w:val="18"/>
                <w:color w:val="auto"/>
                <w:w w:val="99"/>
              </w:rPr>
              <w:t>SUI</w:t>
            </w:r>
          </w:p>
        </w:tc>
        <w:tc>
          <w:tcPr>
            <w:tcW w:w="4100" w:type="dxa"/>
            <w:vAlign w:val="bottom"/>
          </w:tcPr>
          <w:p>
            <w:pPr>
              <w:jc w:val="center"/>
              <w:spacing w:after="0"/>
              <w:rPr>
                <w:sz w:val="20"/>
                <w:szCs w:val="20"/>
                <w:color w:val="auto"/>
              </w:rPr>
            </w:pPr>
            <w:r>
              <w:rPr>
                <w:rFonts w:ascii="Arial" w:cs="Arial" w:eastAsia="Arial" w:hAnsi="Arial"/>
                <w:sz w:val="18"/>
                <w:szCs w:val="18"/>
                <w:color w:val="auto"/>
                <w:w w:val="91"/>
              </w:rPr>
              <w:t>New York Stock Exchange</w:t>
            </w:r>
          </w:p>
        </w:tc>
      </w:tr>
    </w:tbl>
    <w:p>
      <w:pPr>
        <w:spacing w:after="0" w:line="364"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11"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if any, every Interactive Data File required to be submitted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11" w:lineRule="exact"/>
        <w:rPr>
          <w:sz w:val="24"/>
          <w:szCs w:val="24"/>
          <w:color w:val="auto"/>
        </w:rPr>
      </w:pPr>
    </w:p>
    <w:p>
      <w:pPr>
        <w:ind w:right="280"/>
        <w:spacing w:after="0" w:line="277"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(Check one):</w:t>
      </w:r>
    </w:p>
    <w:p>
      <w:pPr>
        <w:sectPr>
          <w:pgSz w:w="11900" w:h="16838" w:orient="portrait"/>
          <w:cols w:equalWidth="0" w:num="1">
            <w:col w:w="11240"/>
          </w:cols>
          <w:pgMar w:left="320" w:top="1363" w:right="339" w:bottom="1440" w:gutter="0" w:footer="0" w:header="0"/>
          <w:type w:val="continuous"/>
        </w:sectPr>
      </w:pPr>
    </w:p>
    <w:p>
      <w:pPr>
        <w:spacing w:after="0" w:line="8" w:lineRule="exact"/>
        <w:rPr>
          <w:sz w:val="24"/>
          <w:szCs w:val="24"/>
          <w:color w:val="auto"/>
        </w:rPr>
      </w:pPr>
    </w:p>
    <w:p>
      <w:pPr>
        <w:ind w:left="240"/>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jc w:val="center"/>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jc w:val="cente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Emerging growth company</w:t>
      </w:r>
    </w:p>
    <w:p>
      <w:pPr>
        <w:spacing w:after="0" w:line="53" w:lineRule="exact"/>
        <w:rPr>
          <w:sz w:val="24"/>
          <w:szCs w:val="24"/>
          <w:color w:val="auto"/>
        </w:rPr>
      </w:pPr>
    </w:p>
    <w:p>
      <w:pPr>
        <w:sectPr>
          <w:pgSz w:w="11900" w:h="16838" w:orient="portrait"/>
          <w:cols w:equalWidth="0" w:num="5">
            <w:col w:w="1860" w:space="480"/>
            <w:col w:w="1200" w:space="540"/>
            <w:col w:w="1520" w:space="560"/>
            <w:col w:w="1980" w:space="500"/>
            <w:col w:w="2600"/>
          </w:cols>
          <w:pgMar w:left="320" w:top="1363" w:right="339" w:bottom="1440" w:gutter="0" w:footer="0" w:header="0"/>
          <w:type w:val="continuous"/>
        </w:sectPr>
      </w:pPr>
    </w:p>
    <w:p>
      <w:pPr>
        <w:ind w:left="980"/>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jc w:val="center"/>
        <w:ind w:right="1020"/>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jc w:val="center"/>
        <w:ind w:right="1600"/>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0" w:lineRule="exact"/>
        <w:rPr>
          <w:sz w:val="24"/>
          <w:szCs w:val="24"/>
          <w:color w:val="auto"/>
        </w:rPr>
      </w:pPr>
    </w:p>
    <w:p>
      <w:pPr>
        <w:sectPr>
          <w:pgSz w:w="11900" w:h="16838" w:orient="portrait"/>
          <w:cols w:equalWidth="0" w:num="5">
            <w:col w:w="2140" w:space="720"/>
            <w:col w:w="1180" w:space="720"/>
            <w:col w:w="1580" w:space="720"/>
            <w:col w:w="1760" w:space="720"/>
            <w:col w:w="1700"/>
          </w:cols>
          <w:pgMar w:left="320" w:top="1363" w:right="339" w:bottom="1440" w:gutter="0" w:footer="0" w:header="0"/>
          <w:type w:val="continuous"/>
        </w:sectPr>
      </w:pPr>
    </w:p>
    <w:p>
      <w:pPr>
        <w:spacing w:after="0" w:line="10"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to Section 13(a) of the Exchange Act. </w:t>
      </w:r>
      <w:r>
        <w:rPr>
          <w:rFonts w:ascii="MS PGothic" w:cs="MS PGothic" w:eastAsia="MS PGothic" w:hAnsi="MS PGothic"/>
          <w:sz w:val="18"/>
          <w:szCs w:val="18"/>
          <w:color w:val="auto"/>
        </w:rPr>
        <w:t>☐</w:t>
      </w:r>
    </w:p>
    <w:p>
      <w:pPr>
        <w:spacing w:after="0" w:line="177"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85" w:lineRule="exact"/>
        <w:rPr>
          <w:sz w:val="24"/>
          <w:szCs w:val="24"/>
          <w:color w:val="auto"/>
        </w:rPr>
      </w:pPr>
    </w:p>
    <w:p>
      <w:pPr>
        <w:spacing w:after="0"/>
        <w:rPr>
          <w:sz w:val="20"/>
          <w:szCs w:val="20"/>
          <w:color w:val="auto"/>
        </w:rPr>
      </w:pPr>
      <w:r>
        <w:rPr>
          <w:rFonts w:ascii="Arial" w:cs="Arial" w:eastAsia="Arial" w:hAnsi="Arial"/>
          <w:sz w:val="18"/>
          <w:szCs w:val="18"/>
          <w:color w:val="auto"/>
        </w:rPr>
        <w:t>Number of shares of Common Stock, $0.01 par value per share, outstanding as of July 16, 2020: 98,272,394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597535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63" w:right="339" w:bottom="1440" w:gutter="0" w:footer="0" w:header="0"/>
          <w:type w:val="continuous"/>
        </w:sectPr>
      </w:pPr>
    </w:p>
    <w:bookmarkStart w:id="1" w:name="page2"/>
    <w:bookmarkEnd w:id="1"/>
    <w:p>
      <w:pPr>
        <w:jc w:val="center"/>
        <w:ind w:left="920"/>
        <w:spacing w:after="0"/>
        <w:rPr>
          <w:sz w:val="20"/>
          <w:szCs w:val="20"/>
          <w:color w:val="auto"/>
        </w:rPr>
      </w:pPr>
      <w:r>
        <w:rPr>
          <w:rFonts w:ascii="Arial" w:cs="Arial" w:eastAsia="Arial" w:hAnsi="Arial"/>
          <w:sz w:val="18"/>
          <w:szCs w:val="18"/>
          <w:b w:val="1"/>
          <w:bCs w:val="1"/>
          <w:color w:val="auto"/>
        </w:rPr>
        <w:t>INDEX</w:t>
      </w:r>
    </w:p>
    <w:p>
      <w:pPr>
        <w:spacing w:after="0" w:line="266" w:lineRule="exact"/>
        <w:rPr>
          <w:sz w:val="20"/>
          <w:szCs w:val="20"/>
          <w:color w:val="auto"/>
        </w:rPr>
      </w:pPr>
    </w:p>
    <w:p>
      <w:pPr>
        <w:jc w:val="center"/>
        <w:ind w:left="920"/>
        <w:spacing w:after="0"/>
        <w:rPr>
          <w:sz w:val="20"/>
          <w:szCs w:val="20"/>
          <w:color w:val="auto"/>
        </w:rPr>
      </w:pPr>
      <w:r>
        <w:rPr>
          <w:rFonts w:ascii="Arial" w:cs="Arial" w:eastAsia="Arial" w:hAnsi="Arial"/>
          <w:sz w:val="18"/>
          <w:szCs w:val="18"/>
          <w:b w:val="1"/>
          <w:bCs w:val="1"/>
          <w:color w:val="auto"/>
        </w:rPr>
        <w:t>PART I – FINANCIAL INFORMATION</w:t>
      </w:r>
    </w:p>
    <w:p>
      <w:pPr>
        <w:spacing w:after="0" w:line="283"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1.</w:t>
      </w:r>
      <w:r>
        <w:rPr>
          <w:sz w:val="20"/>
          <w:szCs w:val="20"/>
          <w:color w:val="auto"/>
        </w:rPr>
        <w:tab/>
      </w:r>
      <w:r>
        <w:rPr>
          <w:rFonts w:ascii="Arial" w:cs="Arial" w:eastAsia="Arial" w:hAnsi="Arial"/>
          <w:sz w:val="16"/>
          <w:szCs w:val="16"/>
          <w:color w:val="auto"/>
        </w:rPr>
        <w:t>Consolidated Financial Statements</w:t>
      </w:r>
    </w:p>
    <w:p>
      <w:pPr>
        <w:spacing w:after="0" w:line="5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Consolidated Balance Sheets as of June 30, 2020 (Unaudited) and December 31, 2019</w:t>
      </w:r>
    </w:p>
    <w:p>
      <w:pPr>
        <w:spacing w:after="0" w:line="2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Consolidated Statements of Operations for the Three and Six Months Ended June 30, 2020 and 2019 (Unaudited)</w:t>
      </w:r>
    </w:p>
    <w:p>
      <w:pPr>
        <w:spacing w:after="0" w:line="23" w:lineRule="exact"/>
        <w:rPr>
          <w:sz w:val="20"/>
          <w:szCs w:val="20"/>
          <w:color w:val="auto"/>
        </w:rPr>
      </w:pPr>
    </w:p>
    <w:p>
      <w:pPr>
        <w:ind w:left="920"/>
        <w:spacing w:after="0"/>
        <w:rPr>
          <w:sz w:val="20"/>
          <w:szCs w:val="20"/>
          <w:color w:val="auto"/>
        </w:rPr>
      </w:pPr>
      <w:r>
        <w:rPr>
          <w:rFonts w:ascii="Arial" w:cs="Arial" w:eastAsia="Arial" w:hAnsi="Arial"/>
          <w:sz w:val="16"/>
          <w:szCs w:val="16"/>
          <w:color w:val="auto"/>
        </w:rPr>
        <w:t>Consolidated Statements of Comprehensive Income for the Three and Six Months Ended June 30, 2020 and 2019 (Unaudited)</w:t>
      </w:r>
    </w:p>
    <w:p>
      <w:pPr>
        <w:spacing w:after="0" w:line="46" w:lineRule="exact"/>
        <w:rPr>
          <w:sz w:val="20"/>
          <w:szCs w:val="20"/>
          <w:color w:val="auto"/>
        </w:rPr>
      </w:pPr>
    </w:p>
    <w:p>
      <w:pPr>
        <w:ind w:left="920"/>
        <w:spacing w:after="0"/>
        <w:rPr>
          <w:sz w:val="20"/>
          <w:szCs w:val="20"/>
          <w:color w:val="auto"/>
        </w:rPr>
      </w:pPr>
      <w:r>
        <w:rPr>
          <w:rFonts w:ascii="Arial" w:cs="Arial" w:eastAsia="Arial" w:hAnsi="Arial"/>
          <w:sz w:val="17"/>
          <w:szCs w:val="17"/>
          <w:color w:val="auto"/>
        </w:rPr>
        <w:t>Consolidated Statements of Cash Flows for the Three and Six Months Ended June 30, 2020 and 2019 (Unaudited)</w:t>
      </w:r>
    </w:p>
    <w:p>
      <w:pPr>
        <w:spacing w:after="0" w:line="34" w:lineRule="exact"/>
        <w:rPr>
          <w:sz w:val="20"/>
          <w:szCs w:val="20"/>
          <w:color w:val="auto"/>
        </w:rPr>
      </w:pPr>
    </w:p>
    <w:p>
      <w:pPr>
        <w:ind w:left="920"/>
        <w:spacing w:after="0"/>
        <w:rPr>
          <w:sz w:val="20"/>
          <w:szCs w:val="20"/>
          <w:color w:val="auto"/>
        </w:rPr>
      </w:pPr>
      <w:r>
        <w:rPr>
          <w:rFonts w:ascii="Arial" w:cs="Arial" w:eastAsia="Arial" w:hAnsi="Arial"/>
          <w:sz w:val="18"/>
          <w:szCs w:val="18"/>
          <w:color w:val="auto"/>
        </w:rPr>
        <w:t>Consolidated Statement of Equity for the Three and Six Months Ended June 30, 2020 and 2019 (Unaudited)</w:t>
      </w:r>
    </w:p>
    <w:p>
      <w:pPr>
        <w:spacing w:after="0" w:line="3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Notes to Consolidated Financial Statements</w:t>
      </w:r>
    </w:p>
    <w:p>
      <w:pPr>
        <w:spacing w:after="0" w:line="63"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2.</w:t>
      </w:r>
      <w:r>
        <w:rPr>
          <w:sz w:val="20"/>
          <w:szCs w:val="20"/>
          <w:color w:val="auto"/>
        </w:rPr>
        <w:tab/>
      </w:r>
      <w:r>
        <w:rPr>
          <w:rFonts w:ascii="Arial" w:cs="Arial" w:eastAsia="Arial" w:hAnsi="Arial"/>
          <w:sz w:val="16"/>
          <w:szCs w:val="16"/>
          <w:color w:val="auto"/>
        </w:rPr>
        <w:t>Management's Discussion and Analysis of Financial Condition and Results of Operations</w:t>
      </w:r>
    </w:p>
    <w:p>
      <w:pPr>
        <w:spacing w:after="0" w:line="63"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3.</w:t>
      </w:r>
      <w:r>
        <w:rPr>
          <w:sz w:val="20"/>
          <w:szCs w:val="20"/>
          <w:color w:val="auto"/>
        </w:rPr>
        <w:tab/>
      </w:r>
      <w:r>
        <w:rPr>
          <w:rFonts w:ascii="Arial" w:cs="Arial" w:eastAsia="Arial" w:hAnsi="Arial"/>
          <w:sz w:val="16"/>
          <w:szCs w:val="16"/>
          <w:color w:val="auto"/>
        </w:rPr>
        <w:t>Quantitative and Qualitative Disclosures about Market Risk</w:t>
      </w:r>
    </w:p>
    <w:p>
      <w:pPr>
        <w:spacing w:after="0" w:line="63"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4.</w:t>
      </w:r>
      <w:r>
        <w:rPr>
          <w:sz w:val="20"/>
          <w:szCs w:val="20"/>
          <w:color w:val="auto"/>
        </w:rPr>
        <w:tab/>
      </w:r>
      <w:r>
        <w:rPr>
          <w:rFonts w:ascii="Arial" w:cs="Arial" w:eastAsia="Arial" w:hAnsi="Arial"/>
          <w:sz w:val="15"/>
          <w:szCs w:val="15"/>
          <w:color w:val="auto"/>
        </w:rPr>
        <w:t>Controls and Procedures</w:t>
      </w:r>
    </w:p>
    <w:p>
      <w:pPr>
        <w:spacing w:after="0" w:line="329" w:lineRule="exact"/>
        <w:rPr>
          <w:sz w:val="20"/>
          <w:szCs w:val="20"/>
          <w:color w:val="auto"/>
        </w:rPr>
      </w:pPr>
    </w:p>
    <w:p>
      <w:pPr>
        <w:jc w:val="center"/>
        <w:ind w:left="920"/>
        <w:spacing w:after="0"/>
        <w:rPr>
          <w:sz w:val="20"/>
          <w:szCs w:val="20"/>
          <w:color w:val="auto"/>
        </w:rPr>
      </w:pPr>
      <w:r>
        <w:rPr>
          <w:rFonts w:ascii="Arial" w:cs="Arial" w:eastAsia="Arial" w:hAnsi="Arial"/>
          <w:sz w:val="18"/>
          <w:szCs w:val="18"/>
          <w:b w:val="1"/>
          <w:bCs w:val="1"/>
          <w:color w:val="auto"/>
        </w:rPr>
        <w:t>PART II – OTHER INFORMATION</w:t>
      </w:r>
    </w:p>
    <w:p>
      <w:pPr>
        <w:spacing w:after="0" w:line="283"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1.</w:t>
      </w:r>
      <w:r>
        <w:rPr>
          <w:sz w:val="20"/>
          <w:szCs w:val="20"/>
          <w:color w:val="auto"/>
        </w:rPr>
        <w:tab/>
      </w:r>
      <w:r>
        <w:rPr>
          <w:rFonts w:ascii="Arial" w:cs="Arial" w:eastAsia="Arial" w:hAnsi="Arial"/>
          <w:sz w:val="15"/>
          <w:szCs w:val="15"/>
          <w:color w:val="auto"/>
        </w:rPr>
        <w:t>Legal Proceedings</w:t>
      </w:r>
    </w:p>
    <w:p>
      <w:pPr>
        <w:spacing w:after="0" w:line="63"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1A.</w:t>
      </w:r>
      <w:r>
        <w:rPr>
          <w:sz w:val="20"/>
          <w:szCs w:val="20"/>
          <w:color w:val="auto"/>
        </w:rPr>
        <w:tab/>
      </w:r>
      <w:r>
        <w:rPr>
          <w:rFonts w:ascii="Arial" w:cs="Arial" w:eastAsia="Arial" w:hAnsi="Arial"/>
          <w:sz w:val="16"/>
          <w:szCs w:val="16"/>
          <w:color w:val="auto"/>
        </w:rPr>
        <w:t>Risk Factors</w:t>
      </w:r>
    </w:p>
    <w:p>
      <w:pPr>
        <w:spacing w:after="0" w:line="63"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2.</w:t>
      </w:r>
      <w:r>
        <w:rPr>
          <w:sz w:val="20"/>
          <w:szCs w:val="20"/>
          <w:color w:val="auto"/>
        </w:rPr>
        <w:tab/>
      </w:r>
      <w:r>
        <w:rPr>
          <w:rFonts w:ascii="Arial" w:cs="Arial" w:eastAsia="Arial" w:hAnsi="Arial"/>
          <w:sz w:val="16"/>
          <w:szCs w:val="16"/>
          <w:color w:val="auto"/>
        </w:rPr>
        <w:t>Unregistered Sales of Equity Securities and Use of Proceeds</w:t>
      </w:r>
    </w:p>
    <w:p>
      <w:pPr>
        <w:spacing w:after="0" w:line="63"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6.</w:t>
      </w:r>
      <w:r>
        <w:rPr>
          <w:sz w:val="20"/>
          <w:szCs w:val="20"/>
          <w:color w:val="auto"/>
        </w:rPr>
        <w:tab/>
      </w:r>
      <w:r>
        <w:rPr>
          <w:rFonts w:ascii="Arial" w:cs="Arial" w:eastAsia="Arial" w:hAnsi="Arial"/>
          <w:sz w:val="17"/>
          <w:szCs w:val="17"/>
          <w:color w:val="auto"/>
        </w:rPr>
        <w:t>Exhibits</w:t>
      </w:r>
    </w:p>
    <w:p>
      <w:pPr>
        <w:spacing w:after="0" w:line="6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Signatures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837565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right"/>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1</w:t>
        </w:r>
      </w:hyperlink>
    </w:p>
    <w:p>
      <w:pPr>
        <w:spacing w:after="0" w:line="23" w:lineRule="exact"/>
        <w:rPr>
          <w:sz w:val="20"/>
          <w:szCs w:val="20"/>
          <w:color w:val="auto"/>
        </w:rPr>
      </w:pPr>
    </w:p>
    <w:p>
      <w:pPr>
        <w:jc w:val="right"/>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2</w:t>
        </w:r>
      </w:hyperlink>
    </w:p>
    <w:p>
      <w:pPr>
        <w:spacing w:after="0" w:line="23" w:lineRule="exact"/>
        <w:rPr>
          <w:sz w:val="20"/>
          <w:szCs w:val="20"/>
          <w:color w:val="auto"/>
        </w:rPr>
      </w:pPr>
    </w:p>
    <w:p>
      <w:pPr>
        <w:jc w:val="right"/>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3</w:t>
        </w:r>
      </w:hyperlink>
    </w:p>
    <w:p>
      <w:pPr>
        <w:spacing w:after="0" w:line="23" w:lineRule="exact"/>
        <w:rPr>
          <w:sz w:val="20"/>
          <w:szCs w:val="20"/>
          <w:color w:val="auto"/>
        </w:rPr>
      </w:pPr>
    </w:p>
    <w:p>
      <w:pPr>
        <w:jc w:val="right"/>
        <w:spacing w:after="0"/>
        <w:rPr>
          <w:rFonts w:ascii="Arial" w:cs="Arial" w:eastAsia="Arial" w:hAnsi="Arial"/>
          <w:sz w:val="18"/>
          <w:szCs w:val="18"/>
          <w:u w:val="single" w:color="auto"/>
          <w:color w:val="0000FF"/>
        </w:rPr>
      </w:pPr>
      <w:hyperlink w:anchor="page5">
        <w:r>
          <w:rPr>
            <w:rFonts w:ascii="Arial" w:cs="Arial" w:eastAsia="Arial" w:hAnsi="Arial"/>
            <w:sz w:val="18"/>
            <w:szCs w:val="18"/>
            <w:u w:val="single" w:color="auto"/>
            <w:color w:val="0000FF"/>
          </w:rPr>
          <w:t>4</w:t>
        </w:r>
      </w:hyperlink>
    </w:p>
    <w:p>
      <w:pPr>
        <w:spacing w:after="0" w:line="23" w:lineRule="exact"/>
        <w:rPr>
          <w:sz w:val="20"/>
          <w:szCs w:val="20"/>
          <w:color w:val="auto"/>
        </w:rPr>
      </w:pPr>
    </w:p>
    <w:p>
      <w:pPr>
        <w:jc w:val="right"/>
        <w:spacing w:after="0"/>
        <w:rPr>
          <w:rFonts w:ascii="Arial" w:cs="Arial" w:eastAsia="Arial" w:hAnsi="Arial"/>
          <w:sz w:val="18"/>
          <w:szCs w:val="18"/>
          <w:u w:val="single" w:color="auto"/>
          <w:color w:val="0000FF"/>
        </w:rPr>
      </w:pPr>
      <w:hyperlink w:anchor="page6">
        <w:r>
          <w:rPr>
            <w:rFonts w:ascii="Arial" w:cs="Arial" w:eastAsia="Arial" w:hAnsi="Arial"/>
            <w:sz w:val="18"/>
            <w:szCs w:val="18"/>
            <w:u w:val="single" w:color="auto"/>
            <w:color w:val="0000FF"/>
          </w:rPr>
          <w:t>5</w:t>
        </w:r>
      </w:hyperlink>
    </w:p>
    <w:p>
      <w:pPr>
        <w:spacing w:after="0" w:line="23" w:lineRule="exact"/>
        <w:rPr>
          <w:sz w:val="20"/>
          <w:szCs w:val="20"/>
          <w:color w:val="auto"/>
        </w:rPr>
      </w:pPr>
    </w:p>
    <w:p>
      <w:pPr>
        <w:jc w:val="right"/>
        <w:spacing w:after="0"/>
        <w:rPr>
          <w:rFonts w:ascii="Arial" w:cs="Arial" w:eastAsia="Arial" w:hAnsi="Arial"/>
          <w:sz w:val="18"/>
          <w:szCs w:val="18"/>
          <w:u w:val="single" w:color="auto"/>
          <w:color w:val="0000FF"/>
        </w:rPr>
      </w:pPr>
      <w:hyperlink w:anchor="page8">
        <w:r>
          <w:rPr>
            <w:rFonts w:ascii="Arial" w:cs="Arial" w:eastAsia="Arial" w:hAnsi="Arial"/>
            <w:sz w:val="18"/>
            <w:szCs w:val="18"/>
            <w:u w:val="single" w:color="auto"/>
            <w:color w:val="0000FF"/>
          </w:rPr>
          <w:t>7</w:t>
        </w:r>
      </w:hyperlink>
    </w:p>
    <w:p>
      <w:pPr>
        <w:spacing w:after="0" w:line="62" w:lineRule="exact"/>
        <w:rPr>
          <w:sz w:val="20"/>
          <w:szCs w:val="20"/>
          <w:color w:val="auto"/>
        </w:rPr>
      </w:pPr>
    </w:p>
    <w:p>
      <w:pPr>
        <w:spacing w:after="0"/>
        <w:rPr>
          <w:rFonts w:ascii="Arial" w:cs="Arial" w:eastAsia="Arial" w:hAnsi="Arial"/>
          <w:sz w:val="16"/>
          <w:szCs w:val="16"/>
          <w:u w:val="single" w:color="auto"/>
          <w:color w:val="0000FF"/>
        </w:rPr>
      </w:pPr>
      <w:hyperlink w:anchor="page33">
        <w:r>
          <w:rPr>
            <w:rFonts w:ascii="Arial" w:cs="Arial" w:eastAsia="Arial" w:hAnsi="Arial"/>
            <w:sz w:val="16"/>
            <w:szCs w:val="16"/>
            <w:u w:val="single" w:color="auto"/>
            <w:color w:val="0000FF"/>
          </w:rPr>
          <w:t>32</w:t>
        </w:r>
      </w:hyperlink>
    </w:p>
    <w:p>
      <w:pPr>
        <w:spacing w:after="0" w:line="86" w:lineRule="exact"/>
        <w:rPr>
          <w:sz w:val="20"/>
          <w:szCs w:val="20"/>
          <w:color w:val="auto"/>
        </w:rPr>
      </w:pPr>
    </w:p>
    <w:p>
      <w:pPr>
        <w:spacing w:after="0"/>
        <w:rPr>
          <w:rFonts w:ascii="Arial" w:cs="Arial" w:eastAsia="Arial" w:hAnsi="Arial"/>
          <w:sz w:val="16"/>
          <w:szCs w:val="16"/>
          <w:u w:val="single" w:color="auto"/>
          <w:color w:val="0000FF"/>
        </w:rPr>
      </w:pPr>
      <w:hyperlink w:anchor="page50">
        <w:r>
          <w:rPr>
            <w:rFonts w:ascii="Arial" w:cs="Arial" w:eastAsia="Arial" w:hAnsi="Arial"/>
            <w:sz w:val="16"/>
            <w:szCs w:val="16"/>
            <w:u w:val="single" w:color="auto"/>
            <w:color w:val="0000FF"/>
          </w:rPr>
          <w:t>49</w:t>
        </w:r>
      </w:hyperlink>
    </w:p>
    <w:p>
      <w:pPr>
        <w:spacing w:after="0" w:line="86" w:lineRule="exact"/>
        <w:rPr>
          <w:sz w:val="20"/>
          <w:szCs w:val="20"/>
          <w:color w:val="auto"/>
        </w:rPr>
      </w:pPr>
    </w:p>
    <w:p>
      <w:pPr>
        <w:spacing w:after="0"/>
        <w:rPr>
          <w:rFonts w:ascii="Arial" w:cs="Arial" w:eastAsia="Arial" w:hAnsi="Arial"/>
          <w:sz w:val="16"/>
          <w:szCs w:val="16"/>
          <w:u w:val="single" w:color="auto"/>
          <w:color w:val="0000FF"/>
        </w:rPr>
      </w:pPr>
      <w:hyperlink w:anchor="page51">
        <w:r>
          <w:rPr>
            <w:rFonts w:ascii="Arial" w:cs="Arial" w:eastAsia="Arial" w:hAnsi="Arial"/>
            <w:sz w:val="16"/>
            <w:szCs w:val="16"/>
            <w:u w:val="single" w:color="auto"/>
            <w:color w:val="0000FF"/>
          </w:rPr>
          <w:t>49</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rFonts w:ascii="Arial" w:cs="Arial" w:eastAsia="Arial" w:hAnsi="Arial"/>
          <w:sz w:val="16"/>
          <w:szCs w:val="16"/>
          <w:u w:val="single" w:color="auto"/>
          <w:color w:val="0000FF"/>
        </w:rPr>
      </w:pPr>
      <w:hyperlink w:anchor="page52">
        <w:r>
          <w:rPr>
            <w:rFonts w:ascii="Arial" w:cs="Arial" w:eastAsia="Arial" w:hAnsi="Arial"/>
            <w:sz w:val="16"/>
            <w:szCs w:val="16"/>
            <w:u w:val="single" w:color="auto"/>
            <w:color w:val="0000FF"/>
          </w:rPr>
          <w:t>50</w:t>
        </w:r>
      </w:hyperlink>
    </w:p>
    <w:p>
      <w:pPr>
        <w:spacing w:after="0" w:line="86" w:lineRule="exact"/>
        <w:rPr>
          <w:sz w:val="20"/>
          <w:szCs w:val="20"/>
          <w:color w:val="auto"/>
        </w:rPr>
      </w:pPr>
    </w:p>
    <w:p>
      <w:pPr>
        <w:spacing w:after="0"/>
        <w:rPr>
          <w:rFonts w:ascii="Arial" w:cs="Arial" w:eastAsia="Arial" w:hAnsi="Arial"/>
          <w:sz w:val="16"/>
          <w:szCs w:val="16"/>
          <w:u w:val="single" w:color="auto"/>
          <w:color w:val="0000FF"/>
        </w:rPr>
      </w:pPr>
      <w:hyperlink w:anchor="page52">
        <w:r>
          <w:rPr>
            <w:rFonts w:ascii="Arial" w:cs="Arial" w:eastAsia="Arial" w:hAnsi="Arial"/>
            <w:sz w:val="16"/>
            <w:szCs w:val="16"/>
            <w:u w:val="single" w:color="auto"/>
            <w:color w:val="0000FF"/>
          </w:rPr>
          <w:t>50</w:t>
        </w:r>
      </w:hyperlink>
    </w:p>
    <w:p>
      <w:pPr>
        <w:spacing w:after="0" w:line="86" w:lineRule="exact"/>
        <w:rPr>
          <w:sz w:val="20"/>
          <w:szCs w:val="20"/>
          <w:color w:val="auto"/>
        </w:rPr>
      </w:pPr>
    </w:p>
    <w:p>
      <w:pPr>
        <w:spacing w:after="0"/>
        <w:rPr>
          <w:rFonts w:ascii="Arial" w:cs="Arial" w:eastAsia="Arial" w:hAnsi="Arial"/>
          <w:sz w:val="16"/>
          <w:szCs w:val="16"/>
          <w:u w:val="single" w:color="auto"/>
          <w:color w:val="0000FF"/>
        </w:rPr>
      </w:pPr>
      <w:hyperlink w:anchor="page52">
        <w:r>
          <w:rPr>
            <w:rFonts w:ascii="Arial" w:cs="Arial" w:eastAsia="Arial" w:hAnsi="Arial"/>
            <w:sz w:val="16"/>
            <w:szCs w:val="16"/>
            <w:u w:val="single" w:color="auto"/>
            <w:color w:val="0000FF"/>
          </w:rPr>
          <w:t>51</w:t>
        </w:r>
      </w:hyperlink>
    </w:p>
    <w:p>
      <w:pPr>
        <w:spacing w:after="0" w:line="86" w:lineRule="exact"/>
        <w:rPr>
          <w:sz w:val="20"/>
          <w:szCs w:val="20"/>
          <w:color w:val="auto"/>
        </w:rPr>
      </w:pPr>
    </w:p>
    <w:p>
      <w:pPr>
        <w:spacing w:after="0"/>
        <w:rPr>
          <w:rFonts w:ascii="Arial" w:cs="Arial" w:eastAsia="Arial" w:hAnsi="Arial"/>
          <w:sz w:val="16"/>
          <w:szCs w:val="16"/>
          <w:u w:val="single" w:color="auto"/>
          <w:color w:val="0000FF"/>
        </w:rPr>
      </w:pPr>
      <w:hyperlink w:anchor="page53">
        <w:r>
          <w:rPr>
            <w:rFonts w:ascii="Arial" w:cs="Arial" w:eastAsia="Arial" w:hAnsi="Arial"/>
            <w:sz w:val="16"/>
            <w:szCs w:val="16"/>
            <w:u w:val="single" w:color="auto"/>
            <w:color w:val="0000FF"/>
          </w:rPr>
          <w:t>52</w:t>
        </w:r>
      </w:hyperlink>
    </w:p>
    <w:p>
      <w:pPr>
        <w:spacing w:after="0" w:line="86" w:lineRule="exact"/>
        <w:rPr>
          <w:sz w:val="20"/>
          <w:szCs w:val="20"/>
          <w:color w:val="auto"/>
        </w:rPr>
      </w:pPr>
    </w:p>
    <w:p>
      <w:pPr>
        <w:spacing w:after="0"/>
        <w:rPr>
          <w:rFonts w:ascii="Arial" w:cs="Arial" w:eastAsia="Arial" w:hAnsi="Arial"/>
          <w:sz w:val="16"/>
          <w:szCs w:val="16"/>
          <w:u w:val="single" w:color="auto"/>
          <w:color w:val="0000FF"/>
        </w:rPr>
      </w:pPr>
      <w:hyperlink w:anchor="page54">
        <w:r>
          <w:rPr>
            <w:rFonts w:ascii="Arial" w:cs="Arial" w:eastAsia="Arial" w:hAnsi="Arial"/>
            <w:sz w:val="16"/>
            <w:szCs w:val="16"/>
            <w:u w:val="single" w:color="auto"/>
            <w:color w:val="0000FF"/>
          </w:rPr>
          <w:t>53</w:t>
        </w:r>
      </w:hyperlink>
    </w:p>
    <w:p>
      <w:pPr>
        <w:sectPr>
          <w:pgSz w:w="11900" w:h="16838" w:orient="portrait"/>
          <w:cols w:equalWidth="0" w:num="2">
            <w:col w:w="10300" w:space="720"/>
            <w:col w:w="180"/>
          </w:cols>
          <w:pgMar w:left="340" w:top="1255" w:right="35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SUN COMMUNITIES, INC.</w:t>
      </w: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CONSOLIDATED FINANCIAL STATEMENTS</w:t>
      </w: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CONSOLIDATED BALANCE SHEETS</w:t>
      </w:r>
    </w:p>
    <w:p>
      <w:pPr>
        <w:spacing w:after="0" w:line="12"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7820" w:type="dxa"/>
            <w:vAlign w:val="bottom"/>
          </w:tcPr>
          <w:p>
            <w:pPr>
              <w:ind w:left="4340"/>
              <w:spacing w:after="0"/>
              <w:rPr>
                <w:sz w:val="20"/>
                <w:szCs w:val="20"/>
                <w:color w:val="auto"/>
              </w:rPr>
            </w:pPr>
            <w:r>
              <w:rPr>
                <w:rFonts w:ascii="Arial" w:cs="Arial" w:eastAsia="Arial" w:hAnsi="Arial"/>
                <w:sz w:val="14"/>
                <w:szCs w:val="14"/>
                <w:b w:val="1"/>
                <w:bCs w:val="1"/>
                <w:color w:val="auto"/>
              </w:rPr>
              <w:t>(In thousands, except per share amounts)</w:t>
            </w:r>
          </w:p>
        </w:tc>
        <w:tc>
          <w:tcPr>
            <w:tcW w:w="2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7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20" w:type="dxa"/>
            <w:vAlign w:val="bottom"/>
            <w:gridSpan w:val="2"/>
          </w:tcPr>
          <w:p>
            <w:pPr>
              <w:ind w:left="200"/>
              <w:spacing w:after="0"/>
              <w:rPr>
                <w:sz w:val="20"/>
                <w:szCs w:val="20"/>
                <w:color w:val="auto"/>
              </w:rPr>
            </w:pPr>
            <w:r>
              <w:rPr>
                <w:rFonts w:ascii="Arial" w:cs="Arial" w:eastAsia="Arial" w:hAnsi="Arial"/>
                <w:sz w:val="15"/>
                <w:szCs w:val="15"/>
                <w:b w:val="1"/>
                <w:bCs w:val="1"/>
                <w:color w:val="auto"/>
              </w:rPr>
              <w:t>(Unaudited)</w:t>
            </w:r>
          </w:p>
        </w:tc>
        <w:tc>
          <w:tcPr>
            <w:tcW w:w="1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7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20" w:type="dxa"/>
            <w:vAlign w:val="bottom"/>
            <w:gridSpan w:val="2"/>
          </w:tcPr>
          <w:p>
            <w:pPr>
              <w:ind w:left="140"/>
              <w:spacing w:after="0"/>
              <w:rPr>
                <w:sz w:val="20"/>
                <w:szCs w:val="20"/>
                <w:color w:val="auto"/>
              </w:rPr>
            </w:pPr>
            <w:r>
              <w:rPr>
                <w:rFonts w:ascii="Arial" w:cs="Arial" w:eastAsia="Arial" w:hAnsi="Arial"/>
                <w:sz w:val="15"/>
                <w:szCs w:val="15"/>
                <w:b w:val="1"/>
                <w:bCs w:val="1"/>
                <w:color w:val="auto"/>
              </w:rPr>
              <w:t>June 30, 2020</w:t>
            </w:r>
          </w:p>
        </w:tc>
        <w:tc>
          <w:tcPr>
            <w:tcW w:w="120" w:type="dxa"/>
            <w:vAlign w:val="bottom"/>
          </w:tcPr>
          <w:p>
            <w:pPr>
              <w:spacing w:after="0"/>
              <w:rPr>
                <w:sz w:val="18"/>
                <w:szCs w:val="18"/>
                <w:color w:val="auto"/>
              </w:rPr>
            </w:pPr>
          </w:p>
        </w:tc>
        <w:tc>
          <w:tcPr>
            <w:tcW w:w="1420" w:type="dxa"/>
            <w:vAlign w:val="bottom"/>
          </w:tcPr>
          <w:p>
            <w:pPr>
              <w:jc w:val="right"/>
              <w:ind w:right="84"/>
              <w:spacing w:after="0"/>
              <w:rPr>
                <w:sz w:val="20"/>
                <w:szCs w:val="20"/>
                <w:color w:val="auto"/>
              </w:rPr>
            </w:pPr>
            <w:r>
              <w:rPr>
                <w:rFonts w:ascii="Arial" w:cs="Arial" w:eastAsia="Arial" w:hAnsi="Arial"/>
                <w:sz w:val="15"/>
                <w:szCs w:val="15"/>
                <w:b w:val="1"/>
                <w:bCs w:val="1"/>
                <w:color w:val="auto"/>
                <w:w w:val="91"/>
              </w:rPr>
              <w:t>December 31, 2019</w:t>
            </w:r>
          </w:p>
        </w:tc>
        <w:tc>
          <w:tcPr>
            <w:tcW w:w="0" w:type="dxa"/>
            <w:vAlign w:val="bottom"/>
          </w:tcPr>
          <w:p>
            <w:pPr>
              <w:spacing w:after="0"/>
              <w:rPr>
                <w:sz w:val="1"/>
                <w:szCs w:val="1"/>
                <w:color w:val="auto"/>
              </w:rPr>
            </w:pPr>
          </w:p>
        </w:tc>
      </w:tr>
      <w:tr>
        <w:trPr>
          <w:trHeight w:val="212"/>
        </w:trPr>
        <w:tc>
          <w:tcPr>
            <w:tcW w:w="7820" w:type="dxa"/>
            <w:vAlign w:val="bottom"/>
          </w:tcPr>
          <w:p>
            <w:pPr>
              <w:ind w:left="20"/>
              <w:spacing w:after="0"/>
              <w:rPr>
                <w:sz w:val="20"/>
                <w:szCs w:val="20"/>
                <w:color w:val="auto"/>
              </w:rPr>
            </w:pPr>
            <w:r>
              <w:rPr>
                <w:rFonts w:ascii="Arial" w:cs="Arial" w:eastAsia="Arial" w:hAnsi="Arial"/>
                <w:sz w:val="15"/>
                <w:szCs w:val="15"/>
                <w:b w:val="1"/>
                <w:bCs w:val="1"/>
                <w:color w:val="auto"/>
              </w:rPr>
              <w:t>Assets</w:t>
            </w:r>
          </w:p>
        </w:tc>
        <w:tc>
          <w:tcPr>
            <w:tcW w:w="20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7820" w:type="dxa"/>
            <w:vAlign w:val="bottom"/>
            <w:shd w:val="clear" w:color="auto" w:fill="CCEEFF"/>
          </w:tcPr>
          <w:p>
            <w:pPr>
              <w:ind w:left="200"/>
              <w:spacing w:after="0"/>
              <w:rPr>
                <w:sz w:val="20"/>
                <w:szCs w:val="20"/>
                <w:color w:val="auto"/>
              </w:rPr>
            </w:pPr>
            <w:r>
              <w:rPr>
                <w:rFonts w:ascii="Arial" w:cs="Arial" w:eastAsia="Arial" w:hAnsi="Arial"/>
                <w:sz w:val="15"/>
                <w:szCs w:val="15"/>
                <w:color w:val="auto"/>
              </w:rPr>
              <w:t>Land</w:t>
            </w:r>
          </w:p>
        </w:tc>
        <w:tc>
          <w:tcPr>
            <w:tcW w:w="2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138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1,433,272</w:t>
            </w: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rPr>
              <w:t>1,414,279</w:t>
            </w:r>
          </w:p>
        </w:tc>
        <w:tc>
          <w:tcPr>
            <w:tcW w:w="0" w:type="dxa"/>
            <w:vAlign w:val="bottom"/>
          </w:tcPr>
          <w:p>
            <w:pPr>
              <w:spacing w:after="0"/>
              <w:rPr>
                <w:sz w:val="1"/>
                <w:szCs w:val="1"/>
                <w:color w:val="auto"/>
              </w:rPr>
            </w:pPr>
          </w:p>
        </w:tc>
      </w:tr>
      <w:tr>
        <w:trPr>
          <w:trHeight w:val="212"/>
        </w:trPr>
        <w:tc>
          <w:tcPr>
            <w:tcW w:w="7820" w:type="dxa"/>
            <w:vAlign w:val="bottom"/>
          </w:tcPr>
          <w:p>
            <w:pPr>
              <w:ind w:left="200"/>
              <w:spacing w:after="0"/>
              <w:rPr>
                <w:sz w:val="20"/>
                <w:szCs w:val="20"/>
                <w:color w:val="auto"/>
              </w:rPr>
            </w:pPr>
            <w:r>
              <w:rPr>
                <w:rFonts w:ascii="Arial" w:cs="Arial" w:eastAsia="Arial" w:hAnsi="Arial"/>
                <w:sz w:val="15"/>
                <w:szCs w:val="15"/>
                <w:color w:val="auto"/>
              </w:rPr>
              <w:t>Land improvements and buildings</w:t>
            </w:r>
          </w:p>
        </w:tc>
        <w:tc>
          <w:tcPr>
            <w:tcW w:w="200" w:type="dxa"/>
            <w:vAlign w:val="bottom"/>
          </w:tcPr>
          <w:p>
            <w:pPr>
              <w:spacing w:after="0"/>
              <w:rPr>
                <w:sz w:val="18"/>
                <w:szCs w:val="18"/>
                <w:color w:val="auto"/>
              </w:rPr>
            </w:pPr>
          </w:p>
        </w:tc>
        <w:tc>
          <w:tcPr>
            <w:tcW w:w="1380" w:type="dxa"/>
            <w:vAlign w:val="bottom"/>
          </w:tcPr>
          <w:p>
            <w:pPr>
              <w:jc w:val="right"/>
              <w:ind w:right="64"/>
              <w:spacing w:after="0"/>
              <w:rPr>
                <w:sz w:val="20"/>
                <w:szCs w:val="20"/>
                <w:color w:val="auto"/>
              </w:rPr>
            </w:pPr>
            <w:r>
              <w:rPr>
                <w:rFonts w:ascii="Arial" w:cs="Arial" w:eastAsia="Arial" w:hAnsi="Arial"/>
                <w:sz w:val="15"/>
                <w:szCs w:val="15"/>
                <w:color w:val="auto"/>
              </w:rPr>
              <w:t>6,826,741</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jc w:val="right"/>
              <w:ind w:right="84"/>
              <w:spacing w:after="0"/>
              <w:rPr>
                <w:sz w:val="20"/>
                <w:szCs w:val="20"/>
                <w:color w:val="auto"/>
              </w:rPr>
            </w:pPr>
            <w:r>
              <w:rPr>
                <w:rFonts w:ascii="Arial" w:cs="Arial" w:eastAsia="Arial" w:hAnsi="Arial"/>
                <w:sz w:val="15"/>
                <w:szCs w:val="15"/>
                <w:color w:val="auto"/>
              </w:rPr>
              <w:t>6,595,272</w:t>
            </w:r>
          </w:p>
        </w:tc>
        <w:tc>
          <w:tcPr>
            <w:tcW w:w="0" w:type="dxa"/>
            <w:vAlign w:val="bottom"/>
          </w:tcPr>
          <w:p>
            <w:pPr>
              <w:spacing w:after="0"/>
              <w:rPr>
                <w:sz w:val="1"/>
                <w:szCs w:val="1"/>
                <w:color w:val="auto"/>
              </w:rPr>
            </w:pPr>
          </w:p>
        </w:tc>
      </w:tr>
      <w:tr>
        <w:trPr>
          <w:trHeight w:val="220"/>
        </w:trPr>
        <w:tc>
          <w:tcPr>
            <w:tcW w:w="7820" w:type="dxa"/>
            <w:vAlign w:val="bottom"/>
            <w:shd w:val="clear" w:color="auto" w:fill="CCEEFF"/>
          </w:tcPr>
          <w:p>
            <w:pPr>
              <w:ind w:left="200"/>
              <w:spacing w:after="0"/>
              <w:rPr>
                <w:sz w:val="20"/>
                <w:szCs w:val="20"/>
                <w:color w:val="auto"/>
              </w:rPr>
            </w:pPr>
            <w:r>
              <w:rPr>
                <w:rFonts w:ascii="Arial" w:cs="Arial" w:eastAsia="Arial" w:hAnsi="Arial"/>
                <w:sz w:val="15"/>
                <w:szCs w:val="15"/>
                <w:color w:val="auto"/>
              </w:rPr>
              <w:t>Rental homes and improvements</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652,177</w:t>
            </w: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rPr>
              <w:t>627,175</w:t>
            </w:r>
          </w:p>
        </w:tc>
        <w:tc>
          <w:tcPr>
            <w:tcW w:w="0" w:type="dxa"/>
            <w:vAlign w:val="bottom"/>
          </w:tcPr>
          <w:p>
            <w:pPr>
              <w:spacing w:after="0"/>
              <w:rPr>
                <w:sz w:val="1"/>
                <w:szCs w:val="1"/>
                <w:color w:val="auto"/>
              </w:rPr>
            </w:pPr>
          </w:p>
        </w:tc>
      </w:tr>
      <w:tr>
        <w:trPr>
          <w:trHeight w:val="212"/>
        </w:trPr>
        <w:tc>
          <w:tcPr>
            <w:tcW w:w="7820" w:type="dxa"/>
            <w:vAlign w:val="bottom"/>
            <w:tcBorders>
              <w:bottom w:val="single" w:sz="8" w:color="CCEEFF"/>
            </w:tcBorders>
          </w:tcPr>
          <w:p>
            <w:pPr>
              <w:ind w:left="200"/>
              <w:spacing w:after="0"/>
              <w:rPr>
                <w:sz w:val="20"/>
                <w:szCs w:val="20"/>
                <w:color w:val="auto"/>
              </w:rPr>
            </w:pPr>
            <w:r>
              <w:rPr>
                <w:rFonts w:ascii="Arial" w:cs="Arial" w:eastAsia="Arial" w:hAnsi="Arial"/>
                <w:sz w:val="15"/>
                <w:szCs w:val="15"/>
                <w:color w:val="auto"/>
              </w:rPr>
              <w:t>Furniture, fixtures and equipment</w:t>
            </w:r>
          </w:p>
        </w:tc>
        <w:tc>
          <w:tcPr>
            <w:tcW w:w="2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color w:val="auto"/>
              </w:rPr>
              <w:t>312,139</w:t>
            </w:r>
          </w:p>
        </w:tc>
        <w:tc>
          <w:tcPr>
            <w:tcW w:w="2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color w:val="auto"/>
              </w:rPr>
              <w:t>282,874</w:t>
            </w:r>
          </w:p>
        </w:tc>
        <w:tc>
          <w:tcPr>
            <w:tcW w:w="0" w:type="dxa"/>
            <w:vAlign w:val="bottom"/>
          </w:tcPr>
          <w:p>
            <w:pPr>
              <w:spacing w:after="0"/>
              <w:rPr>
                <w:sz w:val="1"/>
                <w:szCs w:val="1"/>
                <w:color w:val="auto"/>
              </w:rPr>
            </w:pPr>
          </w:p>
        </w:tc>
      </w:tr>
      <w:tr>
        <w:trPr>
          <w:trHeight w:val="213"/>
        </w:trPr>
        <w:tc>
          <w:tcPr>
            <w:tcW w:w="7820" w:type="dxa"/>
            <w:vAlign w:val="bottom"/>
            <w:shd w:val="clear" w:color="auto" w:fill="CCEEFF"/>
          </w:tcPr>
          <w:p>
            <w:pPr>
              <w:ind w:left="200"/>
              <w:spacing w:after="0"/>
              <w:rPr>
                <w:sz w:val="20"/>
                <w:szCs w:val="20"/>
                <w:color w:val="auto"/>
              </w:rPr>
            </w:pPr>
            <w:r>
              <w:rPr>
                <w:rFonts w:ascii="Arial" w:cs="Arial" w:eastAsia="Arial" w:hAnsi="Arial"/>
                <w:sz w:val="15"/>
                <w:szCs w:val="15"/>
                <w:color w:val="auto"/>
              </w:rPr>
              <w:t>Investment property</w:t>
            </w:r>
          </w:p>
        </w:tc>
        <w:tc>
          <w:tcPr>
            <w:tcW w:w="20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9,224,329</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rPr>
              <w:t>8,919,600</w:t>
            </w:r>
          </w:p>
        </w:tc>
        <w:tc>
          <w:tcPr>
            <w:tcW w:w="0" w:type="dxa"/>
            <w:vAlign w:val="bottom"/>
          </w:tcPr>
          <w:p>
            <w:pPr>
              <w:spacing w:after="0"/>
              <w:rPr>
                <w:sz w:val="1"/>
                <w:szCs w:val="1"/>
                <w:color w:val="auto"/>
              </w:rPr>
            </w:pPr>
          </w:p>
        </w:tc>
      </w:tr>
      <w:tr>
        <w:trPr>
          <w:trHeight w:val="212"/>
        </w:trPr>
        <w:tc>
          <w:tcPr>
            <w:tcW w:w="7820" w:type="dxa"/>
            <w:vAlign w:val="bottom"/>
            <w:tcBorders>
              <w:bottom w:val="single" w:sz="8" w:color="CCEEFF"/>
            </w:tcBorders>
          </w:tcPr>
          <w:p>
            <w:pPr>
              <w:ind w:left="200"/>
              <w:spacing w:after="0"/>
              <w:rPr>
                <w:sz w:val="20"/>
                <w:szCs w:val="20"/>
                <w:color w:val="auto"/>
              </w:rPr>
            </w:pPr>
            <w:r>
              <w:rPr>
                <w:rFonts w:ascii="Arial" w:cs="Arial" w:eastAsia="Arial" w:hAnsi="Arial"/>
                <w:sz w:val="15"/>
                <w:szCs w:val="15"/>
                <w:color w:val="auto"/>
              </w:rPr>
              <w:t>Accumulated depreciation</w:t>
            </w:r>
          </w:p>
        </w:tc>
        <w:tc>
          <w:tcPr>
            <w:tcW w:w="2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(1,826,810)</w:t>
            </w:r>
          </w:p>
        </w:tc>
        <w:tc>
          <w:tcPr>
            <w:tcW w:w="2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(1,686,980)</w:t>
            </w:r>
          </w:p>
        </w:tc>
        <w:tc>
          <w:tcPr>
            <w:tcW w:w="0" w:type="dxa"/>
            <w:vAlign w:val="bottom"/>
          </w:tcPr>
          <w:p>
            <w:pPr>
              <w:spacing w:after="0"/>
              <w:rPr>
                <w:sz w:val="1"/>
                <w:szCs w:val="1"/>
                <w:color w:val="auto"/>
              </w:rPr>
            </w:pPr>
          </w:p>
        </w:tc>
      </w:tr>
      <w:tr>
        <w:trPr>
          <w:trHeight w:val="133"/>
        </w:trPr>
        <w:tc>
          <w:tcPr>
            <w:tcW w:w="7820" w:type="dxa"/>
            <w:vAlign w:val="bottom"/>
            <w:shd w:val="clear" w:color="auto" w:fill="CCEEFF"/>
          </w:tcPr>
          <w:p>
            <w:pPr>
              <w:ind w:left="220"/>
              <w:spacing w:after="0" w:line="133" w:lineRule="exact"/>
              <w:rPr>
                <w:sz w:val="20"/>
                <w:szCs w:val="20"/>
                <w:color w:val="auto"/>
              </w:rPr>
            </w:pPr>
            <w:r>
              <w:rPr>
                <w:rFonts w:ascii="Arial" w:cs="Arial" w:eastAsia="Arial" w:hAnsi="Arial"/>
                <w:sz w:val="15"/>
                <w:szCs w:val="15"/>
                <w:color w:val="auto"/>
                <w:w w:val="96"/>
              </w:rPr>
              <w:t>Investment property, net (including $357,778 and $344,300 for consolidated VIEs at June 30, 2020 and December 31,</w:t>
            </w:r>
          </w:p>
        </w:tc>
        <w:tc>
          <w:tcPr>
            <w:tcW w:w="200" w:type="dxa"/>
            <w:vAlign w:val="bottom"/>
            <w:shd w:val="clear" w:color="auto" w:fill="CCEEFF"/>
          </w:tcPr>
          <w:p>
            <w:pPr>
              <w:spacing w:after="0"/>
              <w:rPr>
                <w:sz w:val="11"/>
                <w:szCs w:val="11"/>
                <w:color w:val="auto"/>
              </w:rPr>
            </w:pPr>
          </w:p>
        </w:tc>
        <w:tc>
          <w:tcPr>
            <w:tcW w:w="1380" w:type="dxa"/>
            <w:vAlign w:val="bottom"/>
            <w:vMerge w:val="restart"/>
            <w:shd w:val="clear" w:color="auto" w:fill="CCEEFF"/>
          </w:tcPr>
          <w:p>
            <w:pPr>
              <w:jc w:val="right"/>
              <w:ind w:right="64"/>
              <w:spacing w:after="0"/>
              <w:rPr>
                <w:sz w:val="20"/>
                <w:szCs w:val="20"/>
                <w:color w:val="auto"/>
              </w:rPr>
            </w:pPr>
            <w:r>
              <w:rPr>
                <w:rFonts w:ascii="Arial" w:cs="Arial" w:eastAsia="Arial" w:hAnsi="Arial"/>
                <w:sz w:val="15"/>
                <w:szCs w:val="15"/>
                <w:color w:val="auto"/>
              </w:rPr>
              <w:t>7,397,519</w:t>
            </w:r>
          </w:p>
        </w:tc>
        <w:tc>
          <w:tcPr>
            <w:tcW w:w="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20" w:type="dxa"/>
            <w:vAlign w:val="bottom"/>
            <w:vMerge w:val="restart"/>
            <w:shd w:val="clear" w:color="auto" w:fill="CCEEFF"/>
          </w:tcPr>
          <w:p>
            <w:pPr>
              <w:jc w:val="right"/>
              <w:ind w:right="84"/>
              <w:spacing w:after="0"/>
              <w:rPr>
                <w:sz w:val="20"/>
                <w:szCs w:val="20"/>
                <w:color w:val="auto"/>
              </w:rPr>
            </w:pPr>
            <w:r>
              <w:rPr>
                <w:rFonts w:ascii="Arial" w:cs="Arial" w:eastAsia="Arial" w:hAnsi="Arial"/>
                <w:sz w:val="15"/>
                <w:szCs w:val="15"/>
                <w:color w:val="auto"/>
              </w:rPr>
              <w:t>7,232,620</w:t>
            </w:r>
          </w:p>
        </w:tc>
        <w:tc>
          <w:tcPr>
            <w:tcW w:w="0" w:type="dxa"/>
            <w:vAlign w:val="bottom"/>
          </w:tcPr>
          <w:p>
            <w:pPr>
              <w:spacing w:after="0"/>
              <w:rPr>
                <w:sz w:val="1"/>
                <w:szCs w:val="1"/>
                <w:color w:val="auto"/>
              </w:rPr>
            </w:pPr>
          </w:p>
        </w:tc>
      </w:tr>
      <w:tr>
        <w:trPr>
          <w:trHeight w:val="202"/>
        </w:trPr>
        <w:tc>
          <w:tcPr>
            <w:tcW w:w="7820" w:type="dxa"/>
            <w:vAlign w:val="bottom"/>
            <w:shd w:val="clear" w:color="auto" w:fill="CCEEFF"/>
          </w:tcPr>
          <w:p>
            <w:pPr>
              <w:ind w:left="220"/>
              <w:spacing w:after="0"/>
              <w:rPr>
                <w:sz w:val="20"/>
                <w:szCs w:val="20"/>
                <w:color w:val="auto"/>
              </w:rPr>
            </w:pPr>
            <w:r>
              <w:rPr>
                <w:rFonts w:ascii="Arial" w:cs="Arial" w:eastAsia="Arial" w:hAnsi="Arial"/>
                <w:sz w:val="15"/>
                <w:szCs w:val="15"/>
                <w:color w:val="auto"/>
              </w:rPr>
              <w:t>2019; see Note 7)</w:t>
            </w:r>
          </w:p>
        </w:tc>
        <w:tc>
          <w:tcPr>
            <w:tcW w:w="200" w:type="dxa"/>
            <w:vAlign w:val="bottom"/>
            <w:shd w:val="clear" w:color="auto" w:fill="CCEEFF"/>
          </w:tcPr>
          <w:p>
            <w:pPr>
              <w:spacing w:after="0"/>
              <w:rPr>
                <w:sz w:val="17"/>
                <w:szCs w:val="17"/>
                <w:color w:val="auto"/>
              </w:rPr>
            </w:pPr>
          </w:p>
        </w:tc>
        <w:tc>
          <w:tcPr>
            <w:tcW w:w="1380" w:type="dxa"/>
            <w:vAlign w:val="bottom"/>
            <w:vMerge w:val="continue"/>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7820" w:type="dxa"/>
            <w:vAlign w:val="bottom"/>
          </w:tcPr>
          <w:p>
            <w:pPr>
              <w:ind w:left="200"/>
              <w:spacing w:after="0"/>
              <w:rPr>
                <w:sz w:val="20"/>
                <w:szCs w:val="20"/>
                <w:color w:val="auto"/>
              </w:rPr>
            </w:pPr>
            <w:r>
              <w:rPr>
                <w:rFonts w:ascii="Arial" w:cs="Arial" w:eastAsia="Arial" w:hAnsi="Arial"/>
                <w:sz w:val="15"/>
                <w:szCs w:val="15"/>
                <w:color w:val="auto"/>
              </w:rPr>
              <w:t>Cash, cash equivalents and restricted cash</w:t>
            </w:r>
          </w:p>
        </w:tc>
        <w:tc>
          <w:tcPr>
            <w:tcW w:w="200" w:type="dxa"/>
            <w:vAlign w:val="bottom"/>
          </w:tcPr>
          <w:p>
            <w:pPr>
              <w:spacing w:after="0"/>
              <w:rPr>
                <w:sz w:val="18"/>
                <w:szCs w:val="18"/>
                <w:color w:val="auto"/>
              </w:rPr>
            </w:pPr>
          </w:p>
        </w:tc>
        <w:tc>
          <w:tcPr>
            <w:tcW w:w="1380" w:type="dxa"/>
            <w:vAlign w:val="bottom"/>
          </w:tcPr>
          <w:p>
            <w:pPr>
              <w:jc w:val="right"/>
              <w:ind w:right="64"/>
              <w:spacing w:after="0"/>
              <w:rPr>
                <w:sz w:val="20"/>
                <w:szCs w:val="20"/>
                <w:color w:val="auto"/>
              </w:rPr>
            </w:pPr>
            <w:r>
              <w:rPr>
                <w:rFonts w:ascii="Arial" w:cs="Arial" w:eastAsia="Arial" w:hAnsi="Arial"/>
                <w:sz w:val="15"/>
                <w:szCs w:val="15"/>
                <w:color w:val="auto"/>
              </w:rPr>
              <w:t>389,214</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jc w:val="right"/>
              <w:ind w:right="84"/>
              <w:spacing w:after="0"/>
              <w:rPr>
                <w:sz w:val="20"/>
                <w:szCs w:val="20"/>
                <w:color w:val="auto"/>
              </w:rPr>
            </w:pPr>
            <w:r>
              <w:rPr>
                <w:rFonts w:ascii="Arial" w:cs="Arial" w:eastAsia="Arial" w:hAnsi="Arial"/>
                <w:sz w:val="15"/>
                <w:szCs w:val="15"/>
                <w:color w:val="auto"/>
              </w:rPr>
              <w:t>34,830</w:t>
            </w:r>
          </w:p>
        </w:tc>
        <w:tc>
          <w:tcPr>
            <w:tcW w:w="0" w:type="dxa"/>
            <w:vAlign w:val="bottom"/>
          </w:tcPr>
          <w:p>
            <w:pPr>
              <w:spacing w:after="0"/>
              <w:rPr>
                <w:sz w:val="1"/>
                <w:szCs w:val="1"/>
                <w:color w:val="auto"/>
              </w:rPr>
            </w:pPr>
          </w:p>
        </w:tc>
      </w:tr>
      <w:tr>
        <w:trPr>
          <w:trHeight w:val="220"/>
        </w:trPr>
        <w:tc>
          <w:tcPr>
            <w:tcW w:w="7820" w:type="dxa"/>
            <w:vAlign w:val="bottom"/>
            <w:shd w:val="clear" w:color="auto" w:fill="CCEEFF"/>
          </w:tcPr>
          <w:p>
            <w:pPr>
              <w:ind w:left="200"/>
              <w:spacing w:after="0"/>
              <w:rPr>
                <w:sz w:val="20"/>
                <w:szCs w:val="20"/>
                <w:color w:val="auto"/>
              </w:rPr>
            </w:pPr>
            <w:r>
              <w:rPr>
                <w:rFonts w:ascii="Arial" w:cs="Arial" w:eastAsia="Arial" w:hAnsi="Arial"/>
                <w:sz w:val="15"/>
                <w:szCs w:val="15"/>
                <w:color w:val="auto"/>
              </w:rPr>
              <w:t>Marketable securities; (see Note 14)</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100,564</w:t>
            </w: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rPr>
              <w:t>94,727</w:t>
            </w:r>
          </w:p>
        </w:tc>
        <w:tc>
          <w:tcPr>
            <w:tcW w:w="0" w:type="dxa"/>
            <w:vAlign w:val="bottom"/>
          </w:tcPr>
          <w:p>
            <w:pPr>
              <w:spacing w:after="0"/>
              <w:rPr>
                <w:sz w:val="1"/>
                <w:szCs w:val="1"/>
                <w:color w:val="auto"/>
              </w:rPr>
            </w:pPr>
          </w:p>
        </w:tc>
      </w:tr>
      <w:tr>
        <w:trPr>
          <w:trHeight w:val="212"/>
        </w:trPr>
        <w:tc>
          <w:tcPr>
            <w:tcW w:w="7820" w:type="dxa"/>
            <w:vAlign w:val="bottom"/>
          </w:tcPr>
          <w:p>
            <w:pPr>
              <w:ind w:left="200"/>
              <w:spacing w:after="0"/>
              <w:rPr>
                <w:sz w:val="20"/>
                <w:szCs w:val="20"/>
                <w:color w:val="auto"/>
              </w:rPr>
            </w:pPr>
            <w:r>
              <w:rPr>
                <w:rFonts w:ascii="Arial" w:cs="Arial" w:eastAsia="Arial" w:hAnsi="Arial"/>
                <w:sz w:val="15"/>
                <w:szCs w:val="15"/>
                <w:color w:val="auto"/>
              </w:rPr>
              <w:t>Inventory of manufactured homes</w:t>
            </w:r>
          </w:p>
        </w:tc>
        <w:tc>
          <w:tcPr>
            <w:tcW w:w="200" w:type="dxa"/>
            <w:vAlign w:val="bottom"/>
          </w:tcPr>
          <w:p>
            <w:pPr>
              <w:spacing w:after="0"/>
              <w:rPr>
                <w:sz w:val="18"/>
                <w:szCs w:val="18"/>
                <w:color w:val="auto"/>
              </w:rPr>
            </w:pPr>
          </w:p>
        </w:tc>
        <w:tc>
          <w:tcPr>
            <w:tcW w:w="1380" w:type="dxa"/>
            <w:vAlign w:val="bottom"/>
          </w:tcPr>
          <w:p>
            <w:pPr>
              <w:jc w:val="right"/>
              <w:ind w:right="64"/>
              <w:spacing w:after="0"/>
              <w:rPr>
                <w:sz w:val="20"/>
                <w:szCs w:val="20"/>
                <w:color w:val="auto"/>
              </w:rPr>
            </w:pPr>
            <w:r>
              <w:rPr>
                <w:rFonts w:ascii="Arial" w:cs="Arial" w:eastAsia="Arial" w:hAnsi="Arial"/>
                <w:sz w:val="15"/>
                <w:szCs w:val="15"/>
                <w:color w:val="auto"/>
              </w:rPr>
              <w:t>58,744</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jc w:val="right"/>
              <w:ind w:right="84"/>
              <w:spacing w:after="0"/>
              <w:rPr>
                <w:sz w:val="20"/>
                <w:szCs w:val="20"/>
                <w:color w:val="auto"/>
              </w:rPr>
            </w:pPr>
            <w:r>
              <w:rPr>
                <w:rFonts w:ascii="Arial" w:cs="Arial" w:eastAsia="Arial" w:hAnsi="Arial"/>
                <w:sz w:val="15"/>
                <w:szCs w:val="15"/>
                <w:color w:val="auto"/>
              </w:rPr>
              <w:t>62,061</w:t>
            </w:r>
          </w:p>
        </w:tc>
        <w:tc>
          <w:tcPr>
            <w:tcW w:w="0" w:type="dxa"/>
            <w:vAlign w:val="bottom"/>
          </w:tcPr>
          <w:p>
            <w:pPr>
              <w:spacing w:after="0"/>
              <w:rPr>
                <w:sz w:val="1"/>
                <w:szCs w:val="1"/>
                <w:color w:val="auto"/>
              </w:rPr>
            </w:pPr>
          </w:p>
        </w:tc>
      </w:tr>
      <w:tr>
        <w:trPr>
          <w:trHeight w:val="220"/>
        </w:trPr>
        <w:tc>
          <w:tcPr>
            <w:tcW w:w="7820" w:type="dxa"/>
            <w:vAlign w:val="bottom"/>
            <w:shd w:val="clear" w:color="auto" w:fill="CCEEFF"/>
          </w:tcPr>
          <w:p>
            <w:pPr>
              <w:ind w:left="200"/>
              <w:spacing w:after="0"/>
              <w:rPr>
                <w:sz w:val="20"/>
                <w:szCs w:val="20"/>
                <w:color w:val="auto"/>
              </w:rPr>
            </w:pPr>
            <w:r>
              <w:rPr>
                <w:rFonts w:ascii="Arial" w:cs="Arial" w:eastAsia="Arial" w:hAnsi="Arial"/>
                <w:sz w:val="15"/>
                <w:szCs w:val="15"/>
                <w:color w:val="auto"/>
              </w:rPr>
              <w:t>Notes and other receivables, net</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180,391</w:t>
            </w: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rPr>
              <w:t>157,926</w:t>
            </w:r>
          </w:p>
        </w:tc>
        <w:tc>
          <w:tcPr>
            <w:tcW w:w="0" w:type="dxa"/>
            <w:vAlign w:val="bottom"/>
          </w:tcPr>
          <w:p>
            <w:pPr>
              <w:spacing w:after="0"/>
              <w:rPr>
                <w:sz w:val="1"/>
                <w:szCs w:val="1"/>
                <w:color w:val="auto"/>
              </w:rPr>
            </w:pPr>
          </w:p>
        </w:tc>
      </w:tr>
      <w:tr>
        <w:trPr>
          <w:trHeight w:val="148"/>
        </w:trPr>
        <w:tc>
          <w:tcPr>
            <w:tcW w:w="7820" w:type="dxa"/>
            <w:vAlign w:val="bottom"/>
          </w:tcPr>
          <w:p>
            <w:pPr>
              <w:ind w:left="220"/>
              <w:spacing w:after="0" w:line="149" w:lineRule="exact"/>
              <w:rPr>
                <w:sz w:val="20"/>
                <w:szCs w:val="20"/>
                <w:color w:val="auto"/>
              </w:rPr>
            </w:pPr>
            <w:r>
              <w:rPr>
                <w:rFonts w:ascii="Arial" w:cs="Arial" w:eastAsia="Arial" w:hAnsi="Arial"/>
                <w:sz w:val="15"/>
                <w:szCs w:val="15"/>
                <w:color w:val="auto"/>
                <w:w w:val="92"/>
              </w:rPr>
              <w:t>Other assets, net (including $27,814 and $23,894 for consolidated VIEs at June 30, 2020 and December 31, 2019; see Note</w:t>
            </w:r>
          </w:p>
        </w:tc>
        <w:tc>
          <w:tcPr>
            <w:tcW w:w="200" w:type="dxa"/>
            <w:vAlign w:val="bottom"/>
          </w:tcPr>
          <w:p>
            <w:pPr>
              <w:spacing w:after="0"/>
              <w:rPr>
                <w:sz w:val="12"/>
                <w:szCs w:val="12"/>
                <w:color w:val="auto"/>
              </w:rPr>
            </w:pPr>
          </w:p>
        </w:tc>
        <w:tc>
          <w:tcPr>
            <w:tcW w:w="1380" w:type="dxa"/>
            <w:vAlign w:val="bottom"/>
            <w:vMerge w:val="restart"/>
          </w:tcPr>
          <w:p>
            <w:pPr>
              <w:jc w:val="right"/>
              <w:ind w:right="64"/>
              <w:spacing w:after="0"/>
              <w:rPr>
                <w:sz w:val="20"/>
                <w:szCs w:val="20"/>
                <w:color w:val="auto"/>
              </w:rPr>
            </w:pPr>
            <w:r>
              <w:rPr>
                <w:rFonts w:ascii="Arial" w:cs="Arial" w:eastAsia="Arial" w:hAnsi="Arial"/>
                <w:sz w:val="15"/>
                <w:szCs w:val="15"/>
                <w:color w:val="auto"/>
              </w:rPr>
              <w:t>222,227</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vMerge w:val="restart"/>
          </w:tcPr>
          <w:p>
            <w:pPr>
              <w:jc w:val="right"/>
              <w:ind w:right="84"/>
              <w:spacing w:after="0"/>
              <w:rPr>
                <w:sz w:val="20"/>
                <w:szCs w:val="20"/>
                <w:color w:val="auto"/>
              </w:rPr>
            </w:pPr>
            <w:r>
              <w:rPr>
                <w:rFonts w:ascii="Arial" w:cs="Arial" w:eastAsia="Arial" w:hAnsi="Arial"/>
                <w:sz w:val="15"/>
                <w:szCs w:val="15"/>
                <w:color w:val="auto"/>
              </w:rPr>
              <w:t>219,896</w:t>
            </w:r>
          </w:p>
        </w:tc>
        <w:tc>
          <w:tcPr>
            <w:tcW w:w="0" w:type="dxa"/>
            <w:vAlign w:val="bottom"/>
          </w:tcPr>
          <w:p>
            <w:pPr>
              <w:spacing w:after="0"/>
              <w:rPr>
                <w:sz w:val="1"/>
                <w:szCs w:val="1"/>
                <w:color w:val="auto"/>
              </w:rPr>
            </w:pPr>
          </w:p>
        </w:tc>
      </w:tr>
      <w:tr>
        <w:trPr>
          <w:trHeight w:val="200"/>
        </w:trPr>
        <w:tc>
          <w:tcPr>
            <w:tcW w:w="7820" w:type="dxa"/>
            <w:vAlign w:val="bottom"/>
            <w:tcBorders>
              <w:bottom w:val="single" w:sz="8" w:color="CCEEFF"/>
            </w:tcBorders>
          </w:tcPr>
          <w:p>
            <w:pPr>
              <w:ind w:left="220"/>
              <w:spacing w:after="0"/>
              <w:rPr>
                <w:sz w:val="20"/>
                <w:szCs w:val="20"/>
                <w:color w:val="auto"/>
              </w:rPr>
            </w:pPr>
            <w:r>
              <w:rPr>
                <w:rFonts w:ascii="Arial" w:cs="Arial" w:eastAsia="Arial" w:hAnsi="Arial"/>
                <w:sz w:val="15"/>
                <w:szCs w:val="15"/>
                <w:color w:val="auto"/>
              </w:rPr>
              <w:t>7</w:t>
            </w:r>
            <w:r>
              <w:rPr>
                <w:rFonts w:ascii="Arial" w:cs="Arial" w:eastAsia="Arial" w:hAnsi="Arial"/>
                <w:sz w:val="15"/>
                <w:szCs w:val="15"/>
                <w:b w:val="1"/>
                <w:bCs w:val="1"/>
                <w:color w:val="auto"/>
              </w:rPr>
              <w:t>)</w:t>
            </w:r>
          </w:p>
        </w:tc>
        <w:tc>
          <w:tcPr>
            <w:tcW w:w="20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vMerge w:val="continue"/>
          </w:tcPr>
          <w:p>
            <w:pPr>
              <w:spacing w:after="0"/>
              <w:rPr>
                <w:sz w:val="17"/>
                <w:szCs w:val="17"/>
                <w:color w:val="auto"/>
              </w:rPr>
            </w:pPr>
          </w:p>
        </w:tc>
        <w:tc>
          <w:tcPr>
            <w:tcW w:w="24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782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5"/>
                <w:szCs w:val="15"/>
                <w:b w:val="1"/>
                <w:bCs w:val="1"/>
                <w:color w:val="auto"/>
              </w:rPr>
              <w:t>Total Assets</w:t>
            </w:r>
          </w:p>
        </w:tc>
        <w:tc>
          <w:tcPr>
            <w:tcW w:w="20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1380" w:type="dxa"/>
            <w:vAlign w:val="bottom"/>
            <w:tcBorders>
              <w:bottom w:val="single" w:sz="8" w:color="auto"/>
            </w:tcBorders>
            <w:shd w:val="clear" w:color="auto" w:fill="CCEEFF"/>
          </w:tcPr>
          <w:p>
            <w:pPr>
              <w:jc w:val="right"/>
              <w:ind w:right="64"/>
              <w:spacing w:after="0"/>
              <w:rPr>
                <w:sz w:val="20"/>
                <w:szCs w:val="20"/>
                <w:color w:val="auto"/>
              </w:rPr>
            </w:pPr>
            <w:r>
              <w:rPr>
                <w:rFonts w:ascii="Arial" w:cs="Arial" w:eastAsia="Arial" w:hAnsi="Arial"/>
                <w:sz w:val="15"/>
                <w:szCs w:val="15"/>
                <w:color w:val="auto"/>
              </w:rPr>
              <w:t>8,348,659</w:t>
            </w:r>
          </w:p>
        </w:tc>
        <w:tc>
          <w:tcPr>
            <w:tcW w:w="2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tcBorders>
              <w:bottom w:val="single" w:sz="8" w:color="auto"/>
            </w:tcBorders>
            <w:shd w:val="clear" w:color="auto" w:fill="CCEEFF"/>
          </w:tcPr>
          <w:p>
            <w:pPr>
              <w:jc w:val="right"/>
              <w:ind w:right="84"/>
              <w:spacing w:after="0"/>
              <w:rPr>
                <w:sz w:val="20"/>
                <w:szCs w:val="20"/>
                <w:color w:val="auto"/>
              </w:rPr>
            </w:pPr>
            <w:r>
              <w:rPr>
                <w:rFonts w:ascii="Arial" w:cs="Arial" w:eastAsia="Arial" w:hAnsi="Arial"/>
                <w:sz w:val="15"/>
                <w:szCs w:val="15"/>
                <w:color w:val="auto"/>
              </w:rPr>
              <w:t>7,802,060</w:t>
            </w:r>
          </w:p>
        </w:tc>
        <w:tc>
          <w:tcPr>
            <w:tcW w:w="0" w:type="dxa"/>
            <w:vAlign w:val="bottom"/>
          </w:tcPr>
          <w:p>
            <w:pPr>
              <w:spacing w:after="0"/>
              <w:rPr>
                <w:sz w:val="1"/>
                <w:szCs w:val="1"/>
                <w:color w:val="auto"/>
              </w:rPr>
            </w:pPr>
          </w:p>
        </w:tc>
      </w:tr>
      <w:tr>
        <w:trPr>
          <w:trHeight w:val="20"/>
        </w:trPr>
        <w:tc>
          <w:tcPr>
            <w:tcW w:w="78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5"/>
                <w:szCs w:val="15"/>
                <w:b w:val="1"/>
                <w:bCs w:val="1"/>
                <w:color w:val="auto"/>
              </w:rPr>
              <w:t>Liabilities</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782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7820" w:type="dxa"/>
            <w:vAlign w:val="bottom"/>
            <w:shd w:val="clear" w:color="auto" w:fill="CCEEFF"/>
          </w:tcPr>
          <w:p>
            <w:pPr>
              <w:ind w:left="220"/>
              <w:spacing w:after="0" w:line="153" w:lineRule="exact"/>
              <w:rPr>
                <w:sz w:val="20"/>
                <w:szCs w:val="20"/>
                <w:color w:val="auto"/>
              </w:rPr>
            </w:pPr>
            <w:r>
              <w:rPr>
                <w:rFonts w:ascii="Arial" w:cs="Arial" w:eastAsia="Arial" w:hAnsi="Arial"/>
                <w:sz w:val="15"/>
                <w:szCs w:val="15"/>
                <w:color w:val="auto"/>
                <w:w w:val="94"/>
              </w:rPr>
              <w:t>Mortgage loans payable (including $46,464 and $46,993 for consolidated VIEs at June 30, 2020 and December 31, 2019;</w:t>
            </w:r>
          </w:p>
        </w:tc>
        <w:tc>
          <w:tcPr>
            <w:tcW w:w="200" w:type="dxa"/>
            <w:vAlign w:val="bottom"/>
            <w:vMerge w:val="restart"/>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1380" w:type="dxa"/>
            <w:vAlign w:val="bottom"/>
            <w:vMerge w:val="restart"/>
            <w:shd w:val="clear" w:color="auto" w:fill="CCEEFF"/>
          </w:tcPr>
          <w:p>
            <w:pPr>
              <w:jc w:val="right"/>
              <w:ind w:right="64"/>
              <w:spacing w:after="0"/>
              <w:rPr>
                <w:sz w:val="20"/>
                <w:szCs w:val="20"/>
                <w:color w:val="auto"/>
              </w:rPr>
            </w:pPr>
            <w:r>
              <w:rPr>
                <w:rFonts w:ascii="Arial" w:cs="Arial" w:eastAsia="Arial" w:hAnsi="Arial"/>
                <w:sz w:val="15"/>
                <w:szCs w:val="15"/>
                <w:color w:val="auto"/>
              </w:rPr>
              <w:t>3,205,507</w:t>
            </w:r>
          </w:p>
        </w:tc>
        <w:tc>
          <w:tcPr>
            <w:tcW w:w="240" w:type="dxa"/>
            <w:vAlign w:val="bottom"/>
            <w:shd w:val="clear" w:color="auto" w:fill="CCEEFF"/>
          </w:tcPr>
          <w:p>
            <w:pPr>
              <w:spacing w:after="0"/>
              <w:rPr>
                <w:sz w:val="13"/>
                <w:szCs w:val="13"/>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vMerge w:val="restart"/>
            <w:shd w:val="clear" w:color="auto" w:fill="CCEEFF"/>
          </w:tcPr>
          <w:p>
            <w:pPr>
              <w:jc w:val="right"/>
              <w:ind w:right="84"/>
              <w:spacing w:after="0"/>
              <w:rPr>
                <w:sz w:val="20"/>
                <w:szCs w:val="20"/>
                <w:color w:val="auto"/>
              </w:rPr>
            </w:pPr>
            <w:r>
              <w:rPr>
                <w:rFonts w:ascii="Arial" w:cs="Arial" w:eastAsia="Arial" w:hAnsi="Arial"/>
                <w:sz w:val="15"/>
                <w:szCs w:val="15"/>
                <w:color w:val="auto"/>
              </w:rPr>
              <w:t>3,180,592</w:t>
            </w:r>
          </w:p>
        </w:tc>
        <w:tc>
          <w:tcPr>
            <w:tcW w:w="0" w:type="dxa"/>
            <w:vAlign w:val="bottom"/>
          </w:tcPr>
          <w:p>
            <w:pPr>
              <w:spacing w:after="0"/>
              <w:rPr>
                <w:sz w:val="1"/>
                <w:szCs w:val="1"/>
                <w:color w:val="auto"/>
              </w:rPr>
            </w:pPr>
          </w:p>
        </w:tc>
      </w:tr>
      <w:tr>
        <w:trPr>
          <w:trHeight w:val="202"/>
        </w:trPr>
        <w:tc>
          <w:tcPr>
            <w:tcW w:w="7820" w:type="dxa"/>
            <w:vAlign w:val="bottom"/>
            <w:shd w:val="clear" w:color="auto" w:fill="CCEEFF"/>
          </w:tcPr>
          <w:p>
            <w:pPr>
              <w:ind w:left="220"/>
              <w:spacing w:after="0"/>
              <w:rPr>
                <w:sz w:val="20"/>
                <w:szCs w:val="20"/>
                <w:color w:val="auto"/>
              </w:rPr>
            </w:pPr>
            <w:r>
              <w:rPr>
                <w:rFonts w:ascii="Arial" w:cs="Arial" w:eastAsia="Arial" w:hAnsi="Arial"/>
                <w:sz w:val="15"/>
                <w:szCs w:val="15"/>
                <w:color w:val="auto"/>
              </w:rPr>
              <w:t>see Note 7)</w:t>
            </w:r>
          </w:p>
        </w:tc>
        <w:tc>
          <w:tcPr>
            <w:tcW w:w="200" w:type="dxa"/>
            <w:vAlign w:val="bottom"/>
            <w:vMerge w:val="continue"/>
            <w:shd w:val="clear" w:color="auto" w:fill="CCEEFF"/>
          </w:tcPr>
          <w:p>
            <w:pPr>
              <w:spacing w:after="0"/>
              <w:rPr>
                <w:sz w:val="17"/>
                <w:szCs w:val="17"/>
                <w:color w:val="auto"/>
              </w:rPr>
            </w:pPr>
          </w:p>
        </w:tc>
        <w:tc>
          <w:tcPr>
            <w:tcW w:w="1380" w:type="dxa"/>
            <w:vAlign w:val="bottom"/>
            <w:vMerge w:val="continue"/>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vMerge w:val="continue"/>
            <w:shd w:val="clear" w:color="auto" w:fill="CCEEFF"/>
          </w:tcPr>
          <w:p>
            <w:pPr>
              <w:spacing w:after="0"/>
              <w:rPr>
                <w:sz w:val="17"/>
                <w:szCs w:val="17"/>
                <w:color w:val="auto"/>
              </w:rPr>
            </w:pPr>
          </w:p>
        </w:tc>
        <w:tc>
          <w:tcPr>
            <w:tcW w:w="14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7820" w:type="dxa"/>
            <w:vAlign w:val="bottom"/>
          </w:tcPr>
          <w:p>
            <w:pPr>
              <w:ind w:left="200"/>
              <w:spacing w:after="0"/>
              <w:rPr>
                <w:sz w:val="20"/>
                <w:szCs w:val="20"/>
                <w:color w:val="auto"/>
              </w:rPr>
            </w:pPr>
            <w:r>
              <w:rPr>
                <w:rFonts w:ascii="Arial" w:cs="Arial" w:eastAsia="Arial" w:hAnsi="Arial"/>
                <w:sz w:val="15"/>
                <w:szCs w:val="15"/>
                <w:color w:val="auto"/>
                <w:w w:val="94"/>
              </w:rPr>
              <w:t>Preferred Equity - Sun NG RV Resorts LLC - mandatorily redeemable (fully attributable to consolidated VIEs; see Note 7)</w:t>
            </w:r>
          </w:p>
        </w:tc>
        <w:tc>
          <w:tcPr>
            <w:tcW w:w="200" w:type="dxa"/>
            <w:vAlign w:val="bottom"/>
          </w:tcPr>
          <w:p>
            <w:pPr>
              <w:spacing w:after="0"/>
              <w:rPr>
                <w:sz w:val="18"/>
                <w:szCs w:val="18"/>
                <w:color w:val="auto"/>
              </w:rPr>
            </w:pPr>
          </w:p>
        </w:tc>
        <w:tc>
          <w:tcPr>
            <w:tcW w:w="1380" w:type="dxa"/>
            <w:vAlign w:val="bottom"/>
          </w:tcPr>
          <w:p>
            <w:pPr>
              <w:jc w:val="right"/>
              <w:ind w:right="64"/>
              <w:spacing w:after="0"/>
              <w:rPr>
                <w:sz w:val="20"/>
                <w:szCs w:val="20"/>
                <w:color w:val="auto"/>
              </w:rPr>
            </w:pPr>
            <w:r>
              <w:rPr>
                <w:rFonts w:ascii="Arial" w:cs="Arial" w:eastAsia="Arial" w:hAnsi="Arial"/>
                <w:sz w:val="15"/>
                <w:szCs w:val="15"/>
                <w:color w:val="auto"/>
              </w:rPr>
              <w:t>35,249</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jc w:val="right"/>
              <w:ind w:right="84"/>
              <w:spacing w:after="0"/>
              <w:rPr>
                <w:sz w:val="20"/>
                <w:szCs w:val="20"/>
                <w:color w:val="auto"/>
              </w:rPr>
            </w:pPr>
            <w:r>
              <w:rPr>
                <w:rFonts w:ascii="Arial" w:cs="Arial" w:eastAsia="Arial" w:hAnsi="Arial"/>
                <w:sz w:val="15"/>
                <w:szCs w:val="15"/>
                <w:color w:val="auto"/>
              </w:rPr>
              <w:t>35,249</w:t>
            </w:r>
          </w:p>
        </w:tc>
        <w:tc>
          <w:tcPr>
            <w:tcW w:w="0" w:type="dxa"/>
            <w:vAlign w:val="bottom"/>
          </w:tcPr>
          <w:p>
            <w:pPr>
              <w:spacing w:after="0"/>
              <w:rPr>
                <w:sz w:val="1"/>
                <w:szCs w:val="1"/>
                <w:color w:val="auto"/>
              </w:rPr>
            </w:pPr>
          </w:p>
        </w:tc>
      </w:tr>
      <w:tr>
        <w:trPr>
          <w:trHeight w:val="220"/>
        </w:trPr>
        <w:tc>
          <w:tcPr>
            <w:tcW w:w="7820" w:type="dxa"/>
            <w:vAlign w:val="bottom"/>
            <w:shd w:val="clear" w:color="auto" w:fill="CCEEFF"/>
          </w:tcPr>
          <w:p>
            <w:pPr>
              <w:ind w:left="200"/>
              <w:spacing w:after="0"/>
              <w:rPr>
                <w:sz w:val="20"/>
                <w:szCs w:val="20"/>
                <w:color w:val="auto"/>
              </w:rPr>
            </w:pPr>
            <w:r>
              <w:rPr>
                <w:rFonts w:ascii="Arial" w:cs="Arial" w:eastAsia="Arial" w:hAnsi="Arial"/>
                <w:sz w:val="15"/>
                <w:szCs w:val="15"/>
                <w:color w:val="auto"/>
              </w:rPr>
              <w:t>Preferred OP units - mandatorily redeemable</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34,663</w:t>
            </w: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rPr>
              <w:t>34,663</w:t>
            </w:r>
          </w:p>
        </w:tc>
        <w:tc>
          <w:tcPr>
            <w:tcW w:w="0" w:type="dxa"/>
            <w:vAlign w:val="bottom"/>
          </w:tcPr>
          <w:p>
            <w:pPr>
              <w:spacing w:after="0"/>
              <w:rPr>
                <w:sz w:val="1"/>
                <w:szCs w:val="1"/>
                <w:color w:val="auto"/>
              </w:rPr>
            </w:pPr>
          </w:p>
        </w:tc>
      </w:tr>
      <w:tr>
        <w:trPr>
          <w:trHeight w:val="212"/>
        </w:trPr>
        <w:tc>
          <w:tcPr>
            <w:tcW w:w="7820" w:type="dxa"/>
            <w:vAlign w:val="bottom"/>
          </w:tcPr>
          <w:p>
            <w:pPr>
              <w:ind w:left="200"/>
              <w:spacing w:after="0"/>
              <w:rPr>
                <w:sz w:val="20"/>
                <w:szCs w:val="20"/>
                <w:color w:val="auto"/>
              </w:rPr>
            </w:pPr>
            <w:r>
              <w:rPr>
                <w:rFonts w:ascii="Arial" w:cs="Arial" w:eastAsia="Arial" w:hAnsi="Arial"/>
                <w:sz w:val="15"/>
                <w:szCs w:val="15"/>
                <w:color w:val="auto"/>
              </w:rPr>
              <w:t>Lines of credit</w:t>
            </w:r>
          </w:p>
        </w:tc>
        <w:tc>
          <w:tcPr>
            <w:tcW w:w="200" w:type="dxa"/>
            <w:vAlign w:val="bottom"/>
          </w:tcPr>
          <w:p>
            <w:pPr>
              <w:spacing w:after="0"/>
              <w:rPr>
                <w:sz w:val="18"/>
                <w:szCs w:val="18"/>
                <w:color w:val="auto"/>
              </w:rPr>
            </w:pPr>
          </w:p>
        </w:tc>
        <w:tc>
          <w:tcPr>
            <w:tcW w:w="1380" w:type="dxa"/>
            <w:vAlign w:val="bottom"/>
          </w:tcPr>
          <w:p>
            <w:pPr>
              <w:jc w:val="right"/>
              <w:ind w:right="64"/>
              <w:spacing w:after="0"/>
              <w:rPr>
                <w:sz w:val="20"/>
                <w:szCs w:val="20"/>
                <w:color w:val="auto"/>
              </w:rPr>
            </w:pPr>
            <w:r>
              <w:rPr>
                <w:rFonts w:ascii="Arial" w:cs="Arial" w:eastAsia="Arial" w:hAnsi="Arial"/>
                <w:sz w:val="15"/>
                <w:szCs w:val="15"/>
                <w:color w:val="auto"/>
              </w:rPr>
              <w:t>115,352</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jc w:val="right"/>
              <w:ind w:right="84"/>
              <w:spacing w:after="0"/>
              <w:rPr>
                <w:sz w:val="20"/>
                <w:szCs w:val="20"/>
                <w:color w:val="auto"/>
              </w:rPr>
            </w:pPr>
            <w:r>
              <w:rPr>
                <w:rFonts w:ascii="Arial" w:cs="Arial" w:eastAsia="Arial" w:hAnsi="Arial"/>
                <w:sz w:val="15"/>
                <w:szCs w:val="15"/>
                <w:color w:val="auto"/>
              </w:rPr>
              <w:t>183,898</w:t>
            </w:r>
          </w:p>
        </w:tc>
        <w:tc>
          <w:tcPr>
            <w:tcW w:w="0" w:type="dxa"/>
            <w:vAlign w:val="bottom"/>
          </w:tcPr>
          <w:p>
            <w:pPr>
              <w:spacing w:after="0"/>
              <w:rPr>
                <w:sz w:val="1"/>
                <w:szCs w:val="1"/>
                <w:color w:val="auto"/>
              </w:rPr>
            </w:pPr>
          </w:p>
        </w:tc>
      </w:tr>
      <w:tr>
        <w:trPr>
          <w:trHeight w:val="220"/>
        </w:trPr>
        <w:tc>
          <w:tcPr>
            <w:tcW w:w="7820" w:type="dxa"/>
            <w:vAlign w:val="bottom"/>
            <w:shd w:val="clear" w:color="auto" w:fill="CCEEFF"/>
          </w:tcPr>
          <w:p>
            <w:pPr>
              <w:ind w:left="200"/>
              <w:spacing w:after="0"/>
              <w:rPr>
                <w:sz w:val="20"/>
                <w:szCs w:val="20"/>
                <w:color w:val="auto"/>
              </w:rPr>
            </w:pPr>
            <w:r>
              <w:rPr>
                <w:rFonts w:ascii="Arial" w:cs="Arial" w:eastAsia="Arial" w:hAnsi="Arial"/>
                <w:sz w:val="15"/>
                <w:szCs w:val="15"/>
                <w:color w:val="auto"/>
              </w:rPr>
              <w:t>Distributions payable</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79,549</w:t>
            </w: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rPr>
              <w:t>71,704</w:t>
            </w:r>
          </w:p>
        </w:tc>
        <w:tc>
          <w:tcPr>
            <w:tcW w:w="0" w:type="dxa"/>
            <w:vAlign w:val="bottom"/>
          </w:tcPr>
          <w:p>
            <w:pPr>
              <w:spacing w:after="0"/>
              <w:rPr>
                <w:sz w:val="1"/>
                <w:szCs w:val="1"/>
                <w:color w:val="auto"/>
              </w:rPr>
            </w:pPr>
          </w:p>
        </w:tc>
      </w:tr>
      <w:tr>
        <w:trPr>
          <w:trHeight w:val="212"/>
        </w:trPr>
        <w:tc>
          <w:tcPr>
            <w:tcW w:w="7820" w:type="dxa"/>
            <w:vAlign w:val="bottom"/>
          </w:tcPr>
          <w:p>
            <w:pPr>
              <w:ind w:left="200"/>
              <w:spacing w:after="0"/>
              <w:rPr>
                <w:sz w:val="20"/>
                <w:szCs w:val="20"/>
                <w:color w:val="auto"/>
              </w:rPr>
            </w:pPr>
            <w:r>
              <w:rPr>
                <w:rFonts w:ascii="Arial" w:cs="Arial" w:eastAsia="Arial" w:hAnsi="Arial"/>
                <w:sz w:val="15"/>
                <w:szCs w:val="15"/>
                <w:color w:val="auto"/>
              </w:rPr>
              <w:t>Advanced reservation deposits and rent</w:t>
            </w:r>
          </w:p>
        </w:tc>
        <w:tc>
          <w:tcPr>
            <w:tcW w:w="200" w:type="dxa"/>
            <w:vAlign w:val="bottom"/>
          </w:tcPr>
          <w:p>
            <w:pPr>
              <w:spacing w:after="0"/>
              <w:rPr>
                <w:sz w:val="18"/>
                <w:szCs w:val="18"/>
                <w:color w:val="auto"/>
              </w:rPr>
            </w:pPr>
          </w:p>
        </w:tc>
        <w:tc>
          <w:tcPr>
            <w:tcW w:w="1380" w:type="dxa"/>
            <w:vAlign w:val="bottom"/>
          </w:tcPr>
          <w:p>
            <w:pPr>
              <w:jc w:val="right"/>
              <w:ind w:right="64"/>
              <w:spacing w:after="0"/>
              <w:rPr>
                <w:sz w:val="20"/>
                <w:szCs w:val="20"/>
                <w:color w:val="auto"/>
              </w:rPr>
            </w:pPr>
            <w:r>
              <w:rPr>
                <w:rFonts w:ascii="Arial" w:cs="Arial" w:eastAsia="Arial" w:hAnsi="Arial"/>
                <w:sz w:val="15"/>
                <w:szCs w:val="15"/>
                <w:color w:val="auto"/>
              </w:rPr>
              <w:t>169,931</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jc w:val="right"/>
              <w:ind w:right="84"/>
              <w:spacing w:after="0"/>
              <w:rPr>
                <w:sz w:val="20"/>
                <w:szCs w:val="20"/>
                <w:color w:val="auto"/>
              </w:rPr>
            </w:pPr>
            <w:r>
              <w:rPr>
                <w:rFonts w:ascii="Arial" w:cs="Arial" w:eastAsia="Arial" w:hAnsi="Arial"/>
                <w:sz w:val="15"/>
                <w:szCs w:val="15"/>
                <w:color w:val="auto"/>
              </w:rPr>
              <w:t>133,420</w:t>
            </w:r>
          </w:p>
        </w:tc>
        <w:tc>
          <w:tcPr>
            <w:tcW w:w="0" w:type="dxa"/>
            <w:vAlign w:val="bottom"/>
          </w:tcPr>
          <w:p>
            <w:pPr>
              <w:spacing w:after="0"/>
              <w:rPr>
                <w:sz w:val="1"/>
                <w:szCs w:val="1"/>
                <w:color w:val="auto"/>
              </w:rPr>
            </w:pPr>
          </w:p>
        </w:tc>
      </w:tr>
      <w:tr>
        <w:trPr>
          <w:trHeight w:val="220"/>
        </w:trPr>
        <w:tc>
          <w:tcPr>
            <w:tcW w:w="7820" w:type="dxa"/>
            <w:vAlign w:val="bottom"/>
            <w:shd w:val="clear" w:color="auto" w:fill="CCEEFF"/>
          </w:tcPr>
          <w:p>
            <w:pPr>
              <w:ind w:left="200"/>
              <w:spacing w:after="0"/>
              <w:rPr>
                <w:sz w:val="20"/>
                <w:szCs w:val="20"/>
                <w:color w:val="auto"/>
              </w:rPr>
            </w:pPr>
            <w:r>
              <w:rPr>
                <w:rFonts w:ascii="Arial" w:cs="Arial" w:eastAsia="Arial" w:hAnsi="Arial"/>
                <w:sz w:val="15"/>
                <w:szCs w:val="15"/>
                <w:color w:val="auto"/>
              </w:rPr>
              <w:t>Accrued expenses and accounts payable</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124,324</w:t>
            </w: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rPr>
              <w:t>127,289</w:t>
            </w:r>
          </w:p>
        </w:tc>
        <w:tc>
          <w:tcPr>
            <w:tcW w:w="0" w:type="dxa"/>
            <w:vAlign w:val="bottom"/>
          </w:tcPr>
          <w:p>
            <w:pPr>
              <w:spacing w:after="0"/>
              <w:rPr>
                <w:sz w:val="1"/>
                <w:szCs w:val="1"/>
                <w:color w:val="auto"/>
              </w:rPr>
            </w:pPr>
          </w:p>
        </w:tc>
      </w:tr>
      <w:tr>
        <w:trPr>
          <w:trHeight w:val="149"/>
        </w:trPr>
        <w:tc>
          <w:tcPr>
            <w:tcW w:w="7820" w:type="dxa"/>
            <w:vAlign w:val="bottom"/>
          </w:tcPr>
          <w:p>
            <w:pPr>
              <w:ind w:left="220"/>
              <w:spacing w:after="0" w:line="149" w:lineRule="exact"/>
              <w:rPr>
                <w:sz w:val="20"/>
                <w:szCs w:val="20"/>
                <w:color w:val="auto"/>
              </w:rPr>
            </w:pPr>
            <w:r>
              <w:rPr>
                <w:rFonts w:ascii="Arial" w:cs="Arial" w:eastAsia="Arial" w:hAnsi="Arial"/>
                <w:sz w:val="15"/>
                <w:szCs w:val="15"/>
                <w:color w:val="auto"/>
                <w:w w:val="93"/>
              </w:rPr>
              <w:t>Other liabilities (including $26,524 and $13,631 for consolidated VIEs at June 30, 2020 and December 31, 2019; see Note</w:t>
            </w:r>
          </w:p>
        </w:tc>
        <w:tc>
          <w:tcPr>
            <w:tcW w:w="200" w:type="dxa"/>
            <w:vAlign w:val="bottom"/>
          </w:tcPr>
          <w:p>
            <w:pPr>
              <w:spacing w:after="0"/>
              <w:rPr>
                <w:sz w:val="12"/>
                <w:szCs w:val="12"/>
                <w:color w:val="auto"/>
              </w:rPr>
            </w:pPr>
          </w:p>
        </w:tc>
        <w:tc>
          <w:tcPr>
            <w:tcW w:w="1380" w:type="dxa"/>
            <w:vAlign w:val="bottom"/>
            <w:vMerge w:val="restart"/>
          </w:tcPr>
          <w:p>
            <w:pPr>
              <w:jc w:val="right"/>
              <w:ind w:right="64"/>
              <w:spacing w:after="0"/>
              <w:rPr>
                <w:sz w:val="20"/>
                <w:szCs w:val="20"/>
                <w:color w:val="auto"/>
              </w:rPr>
            </w:pPr>
            <w:r>
              <w:rPr>
                <w:rFonts w:ascii="Arial" w:cs="Arial" w:eastAsia="Arial" w:hAnsi="Arial"/>
                <w:sz w:val="15"/>
                <w:szCs w:val="15"/>
                <w:color w:val="auto"/>
              </w:rPr>
              <w:t>80,733</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vMerge w:val="restart"/>
          </w:tcPr>
          <w:p>
            <w:pPr>
              <w:jc w:val="right"/>
              <w:ind w:right="84"/>
              <w:spacing w:after="0"/>
              <w:rPr>
                <w:sz w:val="20"/>
                <w:szCs w:val="20"/>
                <w:color w:val="auto"/>
              </w:rPr>
            </w:pPr>
            <w:r>
              <w:rPr>
                <w:rFonts w:ascii="Arial" w:cs="Arial" w:eastAsia="Arial" w:hAnsi="Arial"/>
                <w:sz w:val="15"/>
                <w:szCs w:val="15"/>
                <w:color w:val="auto"/>
              </w:rPr>
              <w:t>81,289</w:t>
            </w:r>
          </w:p>
        </w:tc>
        <w:tc>
          <w:tcPr>
            <w:tcW w:w="0" w:type="dxa"/>
            <w:vAlign w:val="bottom"/>
          </w:tcPr>
          <w:p>
            <w:pPr>
              <w:spacing w:after="0"/>
              <w:rPr>
                <w:sz w:val="1"/>
                <w:szCs w:val="1"/>
                <w:color w:val="auto"/>
              </w:rPr>
            </w:pPr>
          </w:p>
        </w:tc>
      </w:tr>
      <w:tr>
        <w:trPr>
          <w:trHeight w:val="198"/>
        </w:trPr>
        <w:tc>
          <w:tcPr>
            <w:tcW w:w="7820" w:type="dxa"/>
            <w:vAlign w:val="bottom"/>
            <w:tcBorders>
              <w:bottom w:val="single" w:sz="8" w:color="CCEEFF"/>
            </w:tcBorders>
          </w:tcPr>
          <w:p>
            <w:pPr>
              <w:ind w:left="220"/>
              <w:spacing w:after="0"/>
              <w:rPr>
                <w:sz w:val="20"/>
                <w:szCs w:val="20"/>
                <w:color w:val="auto"/>
              </w:rPr>
            </w:pPr>
            <w:r>
              <w:rPr>
                <w:rFonts w:ascii="Arial" w:cs="Arial" w:eastAsia="Arial" w:hAnsi="Arial"/>
                <w:sz w:val="15"/>
                <w:szCs w:val="15"/>
                <w:color w:val="auto"/>
              </w:rPr>
              <w:t>7)</w:t>
            </w:r>
          </w:p>
        </w:tc>
        <w:tc>
          <w:tcPr>
            <w:tcW w:w="20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vMerge w:val="continue"/>
          </w:tcPr>
          <w:p>
            <w:pPr>
              <w:spacing w:after="0"/>
              <w:rPr>
                <w:sz w:val="17"/>
                <w:szCs w:val="17"/>
                <w:color w:val="auto"/>
              </w:rPr>
            </w:pPr>
          </w:p>
        </w:tc>
        <w:tc>
          <w:tcPr>
            <w:tcW w:w="24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7820" w:type="dxa"/>
            <w:vAlign w:val="bottom"/>
            <w:shd w:val="clear" w:color="auto" w:fill="CCEEFF"/>
          </w:tcPr>
          <w:p>
            <w:pPr>
              <w:ind w:left="440"/>
              <w:spacing w:after="0"/>
              <w:rPr>
                <w:sz w:val="20"/>
                <w:szCs w:val="20"/>
                <w:color w:val="auto"/>
              </w:rPr>
            </w:pPr>
            <w:r>
              <w:rPr>
                <w:rFonts w:ascii="Arial" w:cs="Arial" w:eastAsia="Arial" w:hAnsi="Arial"/>
                <w:sz w:val="15"/>
                <w:szCs w:val="15"/>
                <w:b w:val="1"/>
                <w:bCs w:val="1"/>
                <w:color w:val="auto"/>
              </w:rPr>
              <w:t>Total Liabilities</w:t>
            </w:r>
          </w:p>
        </w:tc>
        <w:tc>
          <w:tcPr>
            <w:tcW w:w="20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ind w:right="64"/>
              <w:spacing w:after="0"/>
              <w:rPr>
                <w:sz w:val="20"/>
                <w:szCs w:val="20"/>
                <w:color w:val="auto"/>
              </w:rPr>
            </w:pPr>
            <w:r>
              <w:rPr>
                <w:rFonts w:ascii="Arial" w:cs="Arial" w:eastAsia="Arial" w:hAnsi="Arial"/>
                <w:sz w:val="15"/>
                <w:szCs w:val="15"/>
                <w:color w:val="auto"/>
              </w:rPr>
              <w:t>3,845,308</w:t>
            </w:r>
          </w:p>
        </w:tc>
        <w:tc>
          <w:tcPr>
            <w:tcW w:w="2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ind w:right="84"/>
              <w:spacing w:after="0"/>
              <w:rPr>
                <w:sz w:val="20"/>
                <w:szCs w:val="20"/>
                <w:color w:val="auto"/>
              </w:rPr>
            </w:pPr>
            <w:r>
              <w:rPr>
                <w:rFonts w:ascii="Arial" w:cs="Arial" w:eastAsia="Arial" w:hAnsi="Arial"/>
                <w:sz w:val="15"/>
                <w:szCs w:val="15"/>
                <w:color w:val="auto"/>
              </w:rPr>
              <w:t>3,848,104</w:t>
            </w:r>
          </w:p>
        </w:tc>
        <w:tc>
          <w:tcPr>
            <w:tcW w:w="0" w:type="dxa"/>
            <w:vAlign w:val="bottom"/>
          </w:tcPr>
          <w:p>
            <w:pPr>
              <w:spacing w:after="0"/>
              <w:rPr>
                <w:sz w:val="1"/>
                <w:szCs w:val="1"/>
                <w:color w:val="auto"/>
              </w:rPr>
            </w:pPr>
          </w:p>
        </w:tc>
      </w:tr>
      <w:tr>
        <w:trPr>
          <w:trHeight w:val="192"/>
        </w:trPr>
        <w:tc>
          <w:tcPr>
            <w:tcW w:w="7820" w:type="dxa"/>
            <w:vAlign w:val="bottom"/>
          </w:tcPr>
          <w:p>
            <w:pPr>
              <w:ind w:left="200"/>
              <w:spacing w:after="0"/>
              <w:rPr>
                <w:sz w:val="20"/>
                <w:szCs w:val="20"/>
                <w:color w:val="auto"/>
              </w:rPr>
            </w:pPr>
            <w:r>
              <w:rPr>
                <w:rFonts w:ascii="Arial" w:cs="Arial" w:eastAsia="Arial" w:hAnsi="Arial"/>
                <w:sz w:val="15"/>
                <w:szCs w:val="15"/>
                <w:color w:val="auto"/>
              </w:rPr>
              <w:t>Commitments and contingencies (see Note 15)</w:t>
            </w:r>
          </w:p>
        </w:tc>
        <w:tc>
          <w:tcPr>
            <w:tcW w:w="2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7820" w:type="dxa"/>
            <w:vAlign w:val="bottom"/>
            <w:shd w:val="clear" w:color="auto" w:fill="CCEEFF"/>
          </w:tcPr>
          <w:p>
            <w:pPr>
              <w:ind w:left="200"/>
              <w:spacing w:after="0"/>
              <w:rPr>
                <w:sz w:val="20"/>
                <w:szCs w:val="20"/>
                <w:color w:val="auto"/>
              </w:rPr>
            </w:pPr>
            <w:r>
              <w:rPr>
                <w:rFonts w:ascii="Arial" w:cs="Arial" w:eastAsia="Arial" w:hAnsi="Arial"/>
                <w:sz w:val="15"/>
                <w:szCs w:val="15"/>
                <w:color w:val="auto"/>
              </w:rPr>
              <w:t>Series D preferred OP units</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50,171</w:t>
            </w: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rPr>
              <w:t>50,913</w:t>
            </w:r>
          </w:p>
        </w:tc>
        <w:tc>
          <w:tcPr>
            <w:tcW w:w="0" w:type="dxa"/>
            <w:vAlign w:val="bottom"/>
          </w:tcPr>
          <w:p>
            <w:pPr>
              <w:spacing w:after="0"/>
              <w:rPr>
                <w:sz w:val="1"/>
                <w:szCs w:val="1"/>
                <w:color w:val="auto"/>
              </w:rPr>
            </w:pPr>
          </w:p>
        </w:tc>
      </w:tr>
      <w:tr>
        <w:trPr>
          <w:trHeight w:val="212"/>
        </w:trPr>
        <w:tc>
          <w:tcPr>
            <w:tcW w:w="7820" w:type="dxa"/>
            <w:vAlign w:val="bottom"/>
          </w:tcPr>
          <w:p>
            <w:pPr>
              <w:ind w:left="200"/>
              <w:spacing w:after="0"/>
              <w:rPr>
                <w:sz w:val="20"/>
                <w:szCs w:val="20"/>
                <w:color w:val="auto"/>
              </w:rPr>
            </w:pPr>
            <w:r>
              <w:rPr>
                <w:rFonts w:ascii="Arial" w:cs="Arial" w:eastAsia="Arial" w:hAnsi="Arial"/>
                <w:sz w:val="15"/>
                <w:szCs w:val="15"/>
                <w:color w:val="auto"/>
              </w:rPr>
              <w:t>Series F preferred OP units</w:t>
            </w:r>
          </w:p>
        </w:tc>
        <w:tc>
          <w:tcPr>
            <w:tcW w:w="200" w:type="dxa"/>
            <w:vAlign w:val="bottom"/>
          </w:tcPr>
          <w:p>
            <w:pPr>
              <w:spacing w:after="0"/>
              <w:rPr>
                <w:sz w:val="18"/>
                <w:szCs w:val="18"/>
                <w:color w:val="auto"/>
              </w:rPr>
            </w:pPr>
          </w:p>
        </w:tc>
        <w:tc>
          <w:tcPr>
            <w:tcW w:w="1380" w:type="dxa"/>
            <w:vAlign w:val="bottom"/>
          </w:tcPr>
          <w:p>
            <w:pPr>
              <w:jc w:val="right"/>
              <w:ind w:right="64"/>
              <w:spacing w:after="0"/>
              <w:rPr>
                <w:sz w:val="20"/>
                <w:szCs w:val="20"/>
                <w:color w:val="auto"/>
              </w:rPr>
            </w:pPr>
            <w:r>
              <w:rPr>
                <w:rFonts w:ascii="Arial" w:cs="Arial" w:eastAsia="Arial" w:hAnsi="Arial"/>
                <w:sz w:val="15"/>
                <w:szCs w:val="15"/>
                <w:color w:val="auto"/>
              </w:rPr>
              <w:t>8,948</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jc w:val="right"/>
              <w:ind w:right="8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20"/>
        </w:trPr>
        <w:tc>
          <w:tcPr>
            <w:tcW w:w="7820" w:type="dxa"/>
            <w:vAlign w:val="bottom"/>
            <w:shd w:val="clear" w:color="auto" w:fill="CCEEFF"/>
          </w:tcPr>
          <w:p>
            <w:pPr>
              <w:ind w:left="200"/>
              <w:spacing w:after="0"/>
              <w:rPr>
                <w:sz w:val="20"/>
                <w:szCs w:val="20"/>
                <w:color w:val="auto"/>
              </w:rPr>
            </w:pPr>
            <w:r>
              <w:rPr>
                <w:rFonts w:ascii="Arial" w:cs="Arial" w:eastAsia="Arial" w:hAnsi="Arial"/>
                <w:sz w:val="15"/>
                <w:szCs w:val="15"/>
                <w:color w:val="auto"/>
              </w:rPr>
              <w:t>Equity interests - NG Sun LLC and NG Sun Whitewater LLC (fully attributable to consolidated VIEs; see Note 7)</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24,863</w:t>
            </w: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rPr>
              <w:t>27,091</w:t>
            </w:r>
          </w:p>
        </w:tc>
        <w:tc>
          <w:tcPr>
            <w:tcW w:w="0" w:type="dxa"/>
            <w:vAlign w:val="bottom"/>
          </w:tcPr>
          <w:p>
            <w:pPr>
              <w:spacing w:after="0"/>
              <w:rPr>
                <w:sz w:val="1"/>
                <w:szCs w:val="1"/>
                <w:color w:val="auto"/>
              </w:rPr>
            </w:pPr>
          </w:p>
        </w:tc>
      </w:tr>
      <w:tr>
        <w:trPr>
          <w:trHeight w:val="212"/>
        </w:trPr>
        <w:tc>
          <w:tcPr>
            <w:tcW w:w="7820" w:type="dxa"/>
            <w:vAlign w:val="bottom"/>
          </w:tcPr>
          <w:p>
            <w:pPr>
              <w:ind w:left="20"/>
              <w:spacing w:after="0"/>
              <w:rPr>
                <w:sz w:val="20"/>
                <w:szCs w:val="20"/>
                <w:color w:val="auto"/>
              </w:rPr>
            </w:pPr>
            <w:r>
              <w:rPr>
                <w:rFonts w:ascii="Arial" w:cs="Arial" w:eastAsia="Arial" w:hAnsi="Arial"/>
                <w:sz w:val="15"/>
                <w:szCs w:val="15"/>
                <w:b w:val="1"/>
                <w:bCs w:val="1"/>
                <w:color w:val="auto"/>
              </w:rPr>
              <w:t>Stockholders' Equity</w:t>
            </w:r>
          </w:p>
        </w:tc>
        <w:tc>
          <w:tcPr>
            <w:tcW w:w="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3"/>
        </w:trPr>
        <w:tc>
          <w:tcPr>
            <w:tcW w:w="7820" w:type="dxa"/>
            <w:vAlign w:val="bottom"/>
            <w:shd w:val="clear" w:color="auto" w:fill="CCEEFF"/>
          </w:tcPr>
          <w:p>
            <w:pPr>
              <w:ind w:left="220"/>
              <w:spacing w:after="0" w:line="153" w:lineRule="exact"/>
              <w:rPr>
                <w:sz w:val="20"/>
                <w:szCs w:val="20"/>
                <w:color w:val="auto"/>
              </w:rPr>
            </w:pPr>
            <w:r>
              <w:rPr>
                <w:rFonts w:ascii="Arial" w:cs="Arial" w:eastAsia="Arial" w:hAnsi="Arial"/>
                <w:sz w:val="15"/>
                <w:szCs w:val="15"/>
                <w:color w:val="auto"/>
                <w:w w:val="94"/>
              </w:rPr>
              <w:t>Common stock, $0.01 par value. Authorized: 180,000 shares; Issued and outstanding: 98,274 June 30, 2020 and 93,180</w:t>
            </w:r>
          </w:p>
        </w:tc>
        <w:tc>
          <w:tcPr>
            <w:tcW w:w="200" w:type="dxa"/>
            <w:vAlign w:val="bottom"/>
            <w:shd w:val="clear" w:color="auto" w:fill="CCEEFF"/>
          </w:tcPr>
          <w:p>
            <w:pPr>
              <w:spacing w:after="0"/>
              <w:rPr>
                <w:sz w:val="13"/>
                <w:szCs w:val="13"/>
                <w:color w:val="auto"/>
              </w:rPr>
            </w:pPr>
          </w:p>
        </w:tc>
        <w:tc>
          <w:tcPr>
            <w:tcW w:w="1380" w:type="dxa"/>
            <w:vAlign w:val="bottom"/>
            <w:vMerge w:val="restart"/>
            <w:shd w:val="clear" w:color="auto" w:fill="CCEEFF"/>
          </w:tcPr>
          <w:p>
            <w:pPr>
              <w:jc w:val="right"/>
              <w:ind w:right="64"/>
              <w:spacing w:after="0"/>
              <w:rPr>
                <w:sz w:val="20"/>
                <w:szCs w:val="20"/>
                <w:color w:val="auto"/>
              </w:rPr>
            </w:pPr>
            <w:r>
              <w:rPr>
                <w:rFonts w:ascii="Arial" w:cs="Arial" w:eastAsia="Arial" w:hAnsi="Arial"/>
                <w:sz w:val="15"/>
                <w:szCs w:val="15"/>
                <w:color w:val="auto"/>
              </w:rPr>
              <w:t>983</w:t>
            </w:r>
          </w:p>
        </w:tc>
        <w:tc>
          <w:tcPr>
            <w:tcW w:w="2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20" w:type="dxa"/>
            <w:vAlign w:val="bottom"/>
            <w:vMerge w:val="restart"/>
            <w:shd w:val="clear" w:color="auto" w:fill="CCEEFF"/>
          </w:tcPr>
          <w:p>
            <w:pPr>
              <w:jc w:val="right"/>
              <w:ind w:right="84"/>
              <w:spacing w:after="0"/>
              <w:rPr>
                <w:sz w:val="20"/>
                <w:szCs w:val="20"/>
                <w:color w:val="auto"/>
              </w:rPr>
            </w:pPr>
            <w:r>
              <w:rPr>
                <w:rFonts w:ascii="Arial" w:cs="Arial" w:eastAsia="Arial" w:hAnsi="Arial"/>
                <w:sz w:val="15"/>
                <w:szCs w:val="15"/>
                <w:color w:val="auto"/>
              </w:rPr>
              <w:t>932</w:t>
            </w:r>
          </w:p>
        </w:tc>
        <w:tc>
          <w:tcPr>
            <w:tcW w:w="0" w:type="dxa"/>
            <w:vAlign w:val="bottom"/>
          </w:tcPr>
          <w:p>
            <w:pPr>
              <w:spacing w:after="0"/>
              <w:rPr>
                <w:sz w:val="1"/>
                <w:szCs w:val="1"/>
                <w:color w:val="auto"/>
              </w:rPr>
            </w:pPr>
          </w:p>
        </w:tc>
      </w:tr>
      <w:tr>
        <w:trPr>
          <w:trHeight w:val="202"/>
        </w:trPr>
        <w:tc>
          <w:tcPr>
            <w:tcW w:w="7820" w:type="dxa"/>
            <w:vAlign w:val="bottom"/>
            <w:shd w:val="clear" w:color="auto" w:fill="CCEEFF"/>
          </w:tcPr>
          <w:p>
            <w:pPr>
              <w:ind w:left="220"/>
              <w:spacing w:after="0"/>
              <w:rPr>
                <w:sz w:val="20"/>
                <w:szCs w:val="20"/>
                <w:color w:val="auto"/>
              </w:rPr>
            </w:pPr>
            <w:r>
              <w:rPr>
                <w:rFonts w:ascii="Arial" w:cs="Arial" w:eastAsia="Arial" w:hAnsi="Arial"/>
                <w:sz w:val="15"/>
                <w:szCs w:val="15"/>
                <w:color w:val="auto"/>
              </w:rPr>
              <w:t>December 31, 2019</w:t>
            </w:r>
          </w:p>
        </w:tc>
        <w:tc>
          <w:tcPr>
            <w:tcW w:w="200" w:type="dxa"/>
            <w:vAlign w:val="bottom"/>
            <w:shd w:val="clear" w:color="auto" w:fill="CCEEFF"/>
          </w:tcPr>
          <w:p>
            <w:pPr>
              <w:spacing w:after="0"/>
              <w:rPr>
                <w:sz w:val="17"/>
                <w:szCs w:val="17"/>
                <w:color w:val="auto"/>
              </w:rPr>
            </w:pPr>
          </w:p>
        </w:tc>
        <w:tc>
          <w:tcPr>
            <w:tcW w:w="1380" w:type="dxa"/>
            <w:vAlign w:val="bottom"/>
            <w:vMerge w:val="continue"/>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7820" w:type="dxa"/>
            <w:vAlign w:val="bottom"/>
          </w:tcPr>
          <w:p>
            <w:pPr>
              <w:ind w:left="200"/>
              <w:spacing w:after="0"/>
              <w:rPr>
                <w:sz w:val="20"/>
                <w:szCs w:val="20"/>
                <w:color w:val="auto"/>
              </w:rPr>
            </w:pPr>
            <w:r>
              <w:rPr>
                <w:rFonts w:ascii="Arial" w:cs="Arial" w:eastAsia="Arial" w:hAnsi="Arial"/>
                <w:sz w:val="15"/>
                <w:szCs w:val="15"/>
                <w:color w:val="auto"/>
              </w:rPr>
              <w:t>Additional paid-in capital</w:t>
            </w:r>
          </w:p>
        </w:tc>
        <w:tc>
          <w:tcPr>
            <w:tcW w:w="200" w:type="dxa"/>
            <w:vAlign w:val="bottom"/>
          </w:tcPr>
          <w:p>
            <w:pPr>
              <w:spacing w:after="0"/>
              <w:rPr>
                <w:sz w:val="18"/>
                <w:szCs w:val="18"/>
                <w:color w:val="auto"/>
              </w:rPr>
            </w:pPr>
          </w:p>
        </w:tc>
        <w:tc>
          <w:tcPr>
            <w:tcW w:w="1380" w:type="dxa"/>
            <w:vAlign w:val="bottom"/>
          </w:tcPr>
          <w:p>
            <w:pPr>
              <w:jc w:val="right"/>
              <w:ind w:right="64"/>
              <w:spacing w:after="0"/>
              <w:rPr>
                <w:sz w:val="20"/>
                <w:szCs w:val="20"/>
                <w:color w:val="auto"/>
              </w:rPr>
            </w:pPr>
            <w:r>
              <w:rPr>
                <w:rFonts w:ascii="Arial" w:cs="Arial" w:eastAsia="Arial" w:hAnsi="Arial"/>
                <w:sz w:val="15"/>
                <w:szCs w:val="15"/>
                <w:color w:val="auto"/>
              </w:rPr>
              <w:t>5,847,598</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jc w:val="right"/>
              <w:ind w:right="84"/>
              <w:spacing w:after="0"/>
              <w:rPr>
                <w:sz w:val="20"/>
                <w:szCs w:val="20"/>
                <w:color w:val="auto"/>
              </w:rPr>
            </w:pPr>
            <w:r>
              <w:rPr>
                <w:rFonts w:ascii="Arial" w:cs="Arial" w:eastAsia="Arial" w:hAnsi="Arial"/>
                <w:sz w:val="15"/>
                <w:szCs w:val="15"/>
                <w:color w:val="auto"/>
              </w:rPr>
              <w:t>5,213,264</w:t>
            </w:r>
          </w:p>
        </w:tc>
        <w:tc>
          <w:tcPr>
            <w:tcW w:w="0" w:type="dxa"/>
            <w:vAlign w:val="bottom"/>
          </w:tcPr>
          <w:p>
            <w:pPr>
              <w:spacing w:after="0"/>
              <w:rPr>
                <w:sz w:val="1"/>
                <w:szCs w:val="1"/>
                <w:color w:val="auto"/>
              </w:rPr>
            </w:pPr>
          </w:p>
        </w:tc>
      </w:tr>
      <w:tr>
        <w:trPr>
          <w:trHeight w:val="220"/>
        </w:trPr>
        <w:tc>
          <w:tcPr>
            <w:tcW w:w="7820" w:type="dxa"/>
            <w:vAlign w:val="bottom"/>
            <w:shd w:val="clear" w:color="auto" w:fill="CCEEFF"/>
          </w:tcPr>
          <w:p>
            <w:pPr>
              <w:ind w:left="200"/>
              <w:spacing w:after="0"/>
              <w:rPr>
                <w:sz w:val="20"/>
                <w:szCs w:val="20"/>
                <w:color w:val="auto"/>
              </w:rPr>
            </w:pPr>
            <w:r>
              <w:rPr>
                <w:rFonts w:ascii="Arial" w:cs="Arial" w:eastAsia="Arial" w:hAnsi="Arial"/>
                <w:sz w:val="15"/>
                <w:szCs w:val="15"/>
                <w:color w:val="auto"/>
              </w:rPr>
              <w:t>Accumulated other comprehensive loss</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(4,475)</w:t>
            </w: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(1,331)</w:t>
            </w:r>
          </w:p>
        </w:tc>
        <w:tc>
          <w:tcPr>
            <w:tcW w:w="0" w:type="dxa"/>
            <w:vAlign w:val="bottom"/>
          </w:tcPr>
          <w:p>
            <w:pPr>
              <w:spacing w:after="0"/>
              <w:rPr>
                <w:sz w:val="1"/>
                <w:szCs w:val="1"/>
                <w:color w:val="auto"/>
              </w:rPr>
            </w:pPr>
          </w:p>
        </w:tc>
      </w:tr>
      <w:tr>
        <w:trPr>
          <w:trHeight w:val="212"/>
        </w:trPr>
        <w:tc>
          <w:tcPr>
            <w:tcW w:w="7820" w:type="dxa"/>
            <w:vAlign w:val="bottom"/>
            <w:tcBorders>
              <w:bottom w:val="single" w:sz="8" w:color="CCEEFF"/>
            </w:tcBorders>
          </w:tcPr>
          <w:p>
            <w:pPr>
              <w:ind w:left="200"/>
              <w:spacing w:after="0"/>
              <w:rPr>
                <w:sz w:val="20"/>
                <w:szCs w:val="20"/>
                <w:color w:val="auto"/>
              </w:rPr>
            </w:pPr>
            <w:r>
              <w:rPr>
                <w:rFonts w:ascii="Arial" w:cs="Arial" w:eastAsia="Arial" w:hAnsi="Arial"/>
                <w:sz w:val="15"/>
                <w:szCs w:val="15"/>
                <w:color w:val="auto"/>
              </w:rPr>
              <w:t>Distributions in excess of accumulated earnings</w:t>
            </w:r>
          </w:p>
        </w:tc>
        <w:tc>
          <w:tcPr>
            <w:tcW w:w="2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(1,496,542)</w:t>
            </w:r>
          </w:p>
        </w:tc>
        <w:tc>
          <w:tcPr>
            <w:tcW w:w="2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(1,393,141)</w:t>
            </w:r>
          </w:p>
        </w:tc>
        <w:tc>
          <w:tcPr>
            <w:tcW w:w="0" w:type="dxa"/>
            <w:vAlign w:val="bottom"/>
          </w:tcPr>
          <w:p>
            <w:pPr>
              <w:spacing w:after="0"/>
              <w:rPr>
                <w:sz w:val="1"/>
                <w:szCs w:val="1"/>
                <w:color w:val="auto"/>
              </w:rPr>
            </w:pPr>
          </w:p>
        </w:tc>
      </w:tr>
      <w:tr>
        <w:trPr>
          <w:trHeight w:val="214"/>
        </w:trPr>
        <w:tc>
          <w:tcPr>
            <w:tcW w:w="7820" w:type="dxa"/>
            <w:vAlign w:val="bottom"/>
            <w:shd w:val="clear" w:color="auto" w:fill="CCEEFF"/>
          </w:tcPr>
          <w:p>
            <w:pPr>
              <w:ind w:left="320"/>
              <w:spacing w:after="0"/>
              <w:rPr>
                <w:sz w:val="20"/>
                <w:szCs w:val="20"/>
                <w:color w:val="auto"/>
              </w:rPr>
            </w:pPr>
            <w:r>
              <w:rPr>
                <w:rFonts w:ascii="Arial" w:cs="Arial" w:eastAsia="Arial" w:hAnsi="Arial"/>
                <w:sz w:val="15"/>
                <w:szCs w:val="15"/>
                <w:color w:val="auto"/>
              </w:rPr>
              <w:t>Total Sun Communities, Inc. stockholders' equity</w:t>
            </w:r>
          </w:p>
        </w:tc>
        <w:tc>
          <w:tcPr>
            <w:tcW w:w="20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4,347,564</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rPr>
              <w:t>3,819,724</w:t>
            </w:r>
          </w:p>
        </w:tc>
        <w:tc>
          <w:tcPr>
            <w:tcW w:w="0" w:type="dxa"/>
            <w:vAlign w:val="bottom"/>
          </w:tcPr>
          <w:p>
            <w:pPr>
              <w:spacing w:after="0"/>
              <w:rPr>
                <w:sz w:val="1"/>
                <w:szCs w:val="1"/>
                <w:color w:val="auto"/>
              </w:rPr>
            </w:pPr>
          </w:p>
        </w:tc>
      </w:tr>
      <w:tr>
        <w:trPr>
          <w:trHeight w:val="212"/>
        </w:trPr>
        <w:tc>
          <w:tcPr>
            <w:tcW w:w="7820" w:type="dxa"/>
            <w:vAlign w:val="bottom"/>
          </w:tcPr>
          <w:p>
            <w:pPr>
              <w:ind w:left="200"/>
              <w:spacing w:after="0"/>
              <w:rPr>
                <w:sz w:val="20"/>
                <w:szCs w:val="20"/>
                <w:color w:val="auto"/>
              </w:rPr>
            </w:pPr>
            <w:r>
              <w:rPr>
                <w:rFonts w:ascii="Arial" w:cs="Arial" w:eastAsia="Arial" w:hAnsi="Arial"/>
                <w:sz w:val="15"/>
                <w:szCs w:val="15"/>
                <w:color w:val="auto"/>
              </w:rPr>
              <w:t>Noncontrolling interests</w:t>
            </w:r>
          </w:p>
        </w:tc>
        <w:tc>
          <w:tcPr>
            <w:tcW w:w="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7820" w:type="dxa"/>
            <w:vAlign w:val="bottom"/>
            <w:shd w:val="clear" w:color="auto" w:fill="CCEEFF"/>
          </w:tcPr>
          <w:p>
            <w:pPr>
              <w:ind w:left="320"/>
              <w:spacing w:after="0"/>
              <w:rPr>
                <w:sz w:val="20"/>
                <w:szCs w:val="20"/>
                <w:color w:val="auto"/>
              </w:rPr>
            </w:pPr>
            <w:r>
              <w:rPr>
                <w:rFonts w:ascii="Arial" w:cs="Arial" w:eastAsia="Arial" w:hAnsi="Arial"/>
                <w:sz w:val="15"/>
                <w:szCs w:val="15"/>
                <w:color w:val="auto"/>
              </w:rPr>
              <w:t>Common and preferred OP units</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61,555</w:t>
            </w: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rPr>
              <w:t>47,686</w:t>
            </w:r>
          </w:p>
        </w:tc>
        <w:tc>
          <w:tcPr>
            <w:tcW w:w="0" w:type="dxa"/>
            <w:vAlign w:val="bottom"/>
          </w:tcPr>
          <w:p>
            <w:pPr>
              <w:spacing w:after="0"/>
              <w:rPr>
                <w:sz w:val="1"/>
                <w:szCs w:val="1"/>
                <w:color w:val="auto"/>
              </w:rPr>
            </w:pPr>
          </w:p>
        </w:tc>
      </w:tr>
      <w:tr>
        <w:trPr>
          <w:trHeight w:val="212"/>
        </w:trPr>
        <w:tc>
          <w:tcPr>
            <w:tcW w:w="7820" w:type="dxa"/>
            <w:vAlign w:val="bottom"/>
            <w:tcBorders>
              <w:bottom w:val="single" w:sz="8" w:color="CCEEFF"/>
            </w:tcBorders>
          </w:tcPr>
          <w:p>
            <w:pPr>
              <w:ind w:left="320"/>
              <w:spacing w:after="0"/>
              <w:rPr>
                <w:sz w:val="20"/>
                <w:szCs w:val="20"/>
                <w:color w:val="auto"/>
              </w:rPr>
            </w:pPr>
            <w:r>
              <w:rPr>
                <w:rFonts w:ascii="Arial" w:cs="Arial" w:eastAsia="Arial" w:hAnsi="Arial"/>
                <w:sz w:val="15"/>
                <w:szCs w:val="15"/>
                <w:color w:val="auto"/>
              </w:rPr>
              <w:t>Consolidated VIEs</w:t>
            </w:r>
          </w:p>
        </w:tc>
        <w:tc>
          <w:tcPr>
            <w:tcW w:w="2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color w:val="auto"/>
              </w:rPr>
              <w:t>10,250</w:t>
            </w:r>
          </w:p>
        </w:tc>
        <w:tc>
          <w:tcPr>
            <w:tcW w:w="2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color w:val="auto"/>
              </w:rPr>
              <w:t>8,542</w:t>
            </w:r>
          </w:p>
        </w:tc>
        <w:tc>
          <w:tcPr>
            <w:tcW w:w="0" w:type="dxa"/>
            <w:vAlign w:val="bottom"/>
          </w:tcPr>
          <w:p>
            <w:pPr>
              <w:spacing w:after="0"/>
              <w:rPr>
                <w:sz w:val="1"/>
                <w:szCs w:val="1"/>
                <w:color w:val="auto"/>
              </w:rPr>
            </w:pPr>
          </w:p>
        </w:tc>
      </w:tr>
      <w:tr>
        <w:trPr>
          <w:trHeight w:val="214"/>
        </w:trPr>
        <w:tc>
          <w:tcPr>
            <w:tcW w:w="7820" w:type="dxa"/>
            <w:vAlign w:val="bottom"/>
            <w:shd w:val="clear" w:color="auto" w:fill="CCEEFF"/>
          </w:tcPr>
          <w:p>
            <w:pPr>
              <w:ind w:left="320"/>
              <w:spacing w:after="0"/>
              <w:rPr>
                <w:sz w:val="20"/>
                <w:szCs w:val="20"/>
                <w:color w:val="auto"/>
              </w:rPr>
            </w:pPr>
            <w:r>
              <w:rPr>
                <w:rFonts w:ascii="Arial" w:cs="Arial" w:eastAsia="Arial" w:hAnsi="Arial"/>
                <w:sz w:val="15"/>
                <w:szCs w:val="15"/>
                <w:color w:val="auto"/>
              </w:rPr>
              <w:t>Total noncontrolling interests</w:t>
            </w:r>
          </w:p>
        </w:tc>
        <w:tc>
          <w:tcPr>
            <w:tcW w:w="20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ind w:right="64"/>
              <w:spacing w:after="0"/>
              <w:rPr>
                <w:sz w:val="20"/>
                <w:szCs w:val="20"/>
                <w:color w:val="auto"/>
              </w:rPr>
            </w:pPr>
            <w:r>
              <w:rPr>
                <w:rFonts w:ascii="Arial" w:cs="Arial" w:eastAsia="Arial" w:hAnsi="Arial"/>
                <w:sz w:val="15"/>
                <w:szCs w:val="15"/>
                <w:color w:val="auto"/>
              </w:rPr>
              <w:t>71,805</w:t>
            </w:r>
          </w:p>
        </w:tc>
        <w:tc>
          <w:tcPr>
            <w:tcW w:w="2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ind w:right="84"/>
              <w:spacing w:after="0"/>
              <w:rPr>
                <w:sz w:val="20"/>
                <w:szCs w:val="20"/>
                <w:color w:val="auto"/>
              </w:rPr>
            </w:pPr>
            <w:r>
              <w:rPr>
                <w:rFonts w:ascii="Arial" w:cs="Arial" w:eastAsia="Arial" w:hAnsi="Arial"/>
                <w:sz w:val="15"/>
                <w:szCs w:val="15"/>
                <w:color w:val="auto"/>
              </w:rPr>
              <w:t>56,228</w:t>
            </w:r>
          </w:p>
        </w:tc>
        <w:tc>
          <w:tcPr>
            <w:tcW w:w="0" w:type="dxa"/>
            <w:vAlign w:val="bottom"/>
          </w:tcPr>
          <w:p>
            <w:pPr>
              <w:spacing w:after="0"/>
              <w:rPr>
                <w:sz w:val="1"/>
                <w:szCs w:val="1"/>
                <w:color w:val="auto"/>
              </w:rPr>
            </w:pPr>
          </w:p>
        </w:tc>
      </w:tr>
      <w:tr>
        <w:trPr>
          <w:trHeight w:val="205"/>
        </w:trPr>
        <w:tc>
          <w:tcPr>
            <w:tcW w:w="7820" w:type="dxa"/>
            <w:vAlign w:val="bottom"/>
            <w:tcBorders>
              <w:bottom w:val="single" w:sz="8" w:color="CCEEFF"/>
            </w:tcBorders>
          </w:tcPr>
          <w:p>
            <w:pPr>
              <w:ind w:left="440"/>
              <w:spacing w:after="0"/>
              <w:rPr>
                <w:sz w:val="20"/>
                <w:szCs w:val="20"/>
                <w:color w:val="auto"/>
              </w:rPr>
            </w:pPr>
            <w:r>
              <w:rPr>
                <w:rFonts w:ascii="Arial" w:cs="Arial" w:eastAsia="Arial" w:hAnsi="Arial"/>
                <w:sz w:val="15"/>
                <w:szCs w:val="15"/>
                <w:b w:val="1"/>
                <w:bCs w:val="1"/>
                <w:color w:val="auto"/>
              </w:rPr>
              <w:t>Total Stockholders' Equity</w:t>
            </w:r>
          </w:p>
        </w:tc>
        <w:tc>
          <w:tcPr>
            <w:tcW w:w="20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color w:val="auto"/>
              </w:rPr>
              <w:t>4,419,369</w:t>
            </w:r>
          </w:p>
        </w:tc>
        <w:tc>
          <w:tcPr>
            <w:tcW w:w="24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color w:val="auto"/>
              </w:rPr>
              <w:t>3,875,952</w:t>
            </w:r>
          </w:p>
        </w:tc>
        <w:tc>
          <w:tcPr>
            <w:tcW w:w="0" w:type="dxa"/>
            <w:vAlign w:val="bottom"/>
          </w:tcPr>
          <w:p>
            <w:pPr>
              <w:spacing w:after="0"/>
              <w:rPr>
                <w:sz w:val="1"/>
                <w:szCs w:val="1"/>
                <w:color w:val="auto"/>
              </w:rPr>
            </w:pPr>
          </w:p>
        </w:tc>
      </w:tr>
      <w:tr>
        <w:trPr>
          <w:trHeight w:val="239"/>
        </w:trPr>
        <w:tc>
          <w:tcPr>
            <w:tcW w:w="78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5"/>
                <w:szCs w:val="15"/>
                <w:b w:val="1"/>
                <w:bCs w:val="1"/>
                <w:color w:val="auto"/>
              </w:rPr>
              <w:t>Total Liabilities, Temporary Equity and Stockholders' Equity</w:t>
            </w:r>
          </w:p>
        </w:tc>
        <w:tc>
          <w:tcPr>
            <w:tcW w:w="20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1380" w:type="dxa"/>
            <w:vAlign w:val="bottom"/>
            <w:tcBorders>
              <w:bottom w:val="single" w:sz="8" w:color="auto"/>
            </w:tcBorders>
            <w:shd w:val="clear" w:color="auto" w:fill="CCEEFF"/>
          </w:tcPr>
          <w:p>
            <w:pPr>
              <w:jc w:val="right"/>
              <w:ind w:right="64"/>
              <w:spacing w:after="0"/>
              <w:rPr>
                <w:sz w:val="20"/>
                <w:szCs w:val="20"/>
                <w:color w:val="auto"/>
              </w:rPr>
            </w:pPr>
            <w:r>
              <w:rPr>
                <w:rFonts w:ascii="Arial" w:cs="Arial" w:eastAsia="Arial" w:hAnsi="Arial"/>
                <w:sz w:val="15"/>
                <w:szCs w:val="15"/>
                <w:color w:val="auto"/>
              </w:rPr>
              <w:t>8,348,659</w:t>
            </w:r>
          </w:p>
        </w:tc>
        <w:tc>
          <w:tcPr>
            <w:tcW w:w="2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tcBorders>
              <w:bottom w:val="single" w:sz="8" w:color="auto"/>
            </w:tcBorders>
            <w:shd w:val="clear" w:color="auto" w:fill="CCEEFF"/>
          </w:tcPr>
          <w:p>
            <w:pPr>
              <w:jc w:val="right"/>
              <w:ind w:right="84"/>
              <w:spacing w:after="0"/>
              <w:rPr>
                <w:sz w:val="20"/>
                <w:szCs w:val="20"/>
                <w:color w:val="auto"/>
              </w:rPr>
            </w:pPr>
            <w:r>
              <w:rPr>
                <w:rFonts w:ascii="Arial" w:cs="Arial" w:eastAsia="Arial" w:hAnsi="Arial"/>
                <w:sz w:val="15"/>
                <w:szCs w:val="15"/>
                <w:color w:val="auto"/>
              </w:rPr>
              <w:t>7,802,060</w:t>
            </w:r>
          </w:p>
        </w:tc>
        <w:tc>
          <w:tcPr>
            <w:tcW w:w="0" w:type="dxa"/>
            <w:vAlign w:val="bottom"/>
          </w:tcPr>
          <w:p>
            <w:pPr>
              <w:spacing w:after="0"/>
              <w:rPr>
                <w:sz w:val="1"/>
                <w:szCs w:val="1"/>
                <w:color w:val="auto"/>
              </w:rPr>
            </w:pPr>
          </w:p>
        </w:tc>
      </w:tr>
      <w:tr>
        <w:trPr>
          <w:trHeight w:val="20"/>
        </w:trPr>
        <w:tc>
          <w:tcPr>
            <w:tcW w:w="78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7"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ectPr>
          <w:pgSz w:w="11900" w:h="16838" w:orient="portrait"/>
          <w:cols w:equalWidth="0" w:num="1">
            <w:col w:w="11220"/>
          </w:cols>
          <w:pgMar w:left="320" w:top="364"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64" w:right="359" w:bottom="1440" w:gutter="0" w:footer="0" w:header="0"/>
          <w:type w:val="continuous"/>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SUN COMMUNITIES, INC.</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except per share amounts) (Unaudited)</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536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660" w:type="dxa"/>
            <w:vAlign w:val="bottom"/>
            <w:tcBorders>
              <w:bottom w:val="single" w:sz="8" w:color="auto"/>
            </w:tcBorders>
            <w:gridSpan w:val="4"/>
          </w:tcPr>
          <w:p>
            <w:pPr>
              <w:jc w:val="right"/>
              <w:ind w:right="644"/>
              <w:spacing w:after="0"/>
              <w:rPr>
                <w:sz w:val="20"/>
                <w:szCs w:val="20"/>
                <w:color w:val="auto"/>
              </w:rPr>
            </w:pPr>
            <w:r>
              <w:rPr>
                <w:rFonts w:ascii="Arial" w:cs="Arial" w:eastAsia="Arial" w:hAnsi="Arial"/>
                <w:sz w:val="15"/>
                <w:szCs w:val="15"/>
                <w:b w:val="1"/>
                <w:bCs w:val="1"/>
                <w:color w:val="auto"/>
              </w:rPr>
              <w:t>Three Months Ended</w:t>
            </w:r>
          </w:p>
        </w:tc>
        <w:tc>
          <w:tcPr>
            <w:tcW w:w="2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660" w:type="dxa"/>
            <w:vAlign w:val="bottom"/>
            <w:tcBorders>
              <w:bottom w:val="single" w:sz="8" w:color="auto"/>
            </w:tcBorders>
            <w:gridSpan w:val="4"/>
          </w:tcPr>
          <w:p>
            <w:pPr>
              <w:jc w:val="right"/>
              <w:ind w:right="744"/>
              <w:spacing w:after="0"/>
              <w:rPr>
                <w:sz w:val="20"/>
                <w:szCs w:val="20"/>
                <w:color w:val="auto"/>
              </w:rPr>
            </w:pPr>
            <w:r>
              <w:rPr>
                <w:rFonts w:ascii="Arial" w:cs="Arial" w:eastAsia="Arial" w:hAnsi="Arial"/>
                <w:sz w:val="15"/>
                <w:szCs w:val="15"/>
                <w:b w:val="1"/>
                <w:bCs w:val="1"/>
                <w:color w:val="auto"/>
              </w:rPr>
              <w:t>Six Months Ended</w:t>
            </w:r>
          </w:p>
        </w:tc>
      </w:tr>
      <w:tr>
        <w:trPr>
          <w:trHeight w:val="207"/>
        </w:trPr>
        <w:tc>
          <w:tcPr>
            <w:tcW w:w="5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ind w:left="80"/>
              <w:spacing w:after="0"/>
              <w:rPr>
                <w:sz w:val="20"/>
                <w:szCs w:val="20"/>
                <w:color w:val="auto"/>
              </w:rPr>
            </w:pPr>
            <w:r>
              <w:rPr>
                <w:rFonts w:ascii="Arial" w:cs="Arial" w:eastAsia="Arial" w:hAnsi="Arial"/>
                <w:sz w:val="15"/>
                <w:szCs w:val="15"/>
                <w:b w:val="1"/>
                <w:bCs w:val="1"/>
                <w:color w:val="auto"/>
              </w:rPr>
              <w:t>June 30, 2020</w:t>
            </w:r>
          </w:p>
        </w:tc>
        <w:tc>
          <w:tcPr>
            <w:tcW w:w="180" w:type="dxa"/>
            <w:vAlign w:val="bottom"/>
          </w:tcPr>
          <w:p>
            <w:pPr>
              <w:spacing w:after="0"/>
              <w:rPr>
                <w:sz w:val="18"/>
                <w:szCs w:val="18"/>
                <w:color w:val="auto"/>
              </w:rPr>
            </w:pPr>
          </w:p>
        </w:tc>
        <w:tc>
          <w:tcPr>
            <w:tcW w:w="1400" w:type="dxa"/>
            <w:vAlign w:val="bottom"/>
            <w:gridSpan w:val="2"/>
          </w:tcPr>
          <w:p>
            <w:pPr>
              <w:ind w:left="80"/>
              <w:spacing w:after="0"/>
              <w:rPr>
                <w:sz w:val="20"/>
                <w:szCs w:val="20"/>
                <w:color w:val="auto"/>
              </w:rPr>
            </w:pPr>
            <w:r>
              <w:rPr>
                <w:rFonts w:ascii="Arial" w:cs="Arial" w:eastAsia="Arial" w:hAnsi="Arial"/>
                <w:sz w:val="15"/>
                <w:szCs w:val="15"/>
                <w:b w:val="1"/>
                <w:bCs w:val="1"/>
                <w:color w:val="auto"/>
              </w:rPr>
              <w:t>June 30, 2019</w:t>
            </w:r>
          </w:p>
        </w:tc>
        <w:tc>
          <w:tcPr>
            <w:tcW w:w="180" w:type="dxa"/>
            <w:vAlign w:val="bottom"/>
          </w:tcPr>
          <w:p>
            <w:pPr>
              <w:spacing w:after="0"/>
              <w:rPr>
                <w:sz w:val="18"/>
                <w:szCs w:val="18"/>
                <w:color w:val="auto"/>
              </w:rPr>
            </w:pPr>
          </w:p>
        </w:tc>
        <w:tc>
          <w:tcPr>
            <w:tcW w:w="1280" w:type="dxa"/>
            <w:vAlign w:val="bottom"/>
            <w:gridSpan w:val="2"/>
          </w:tcPr>
          <w:p>
            <w:pPr>
              <w:ind w:left="60"/>
              <w:spacing w:after="0"/>
              <w:rPr>
                <w:sz w:val="20"/>
                <w:szCs w:val="20"/>
                <w:color w:val="auto"/>
              </w:rPr>
            </w:pPr>
            <w:r>
              <w:rPr>
                <w:rFonts w:ascii="Arial" w:cs="Arial" w:eastAsia="Arial" w:hAnsi="Arial"/>
                <w:sz w:val="15"/>
                <w:szCs w:val="15"/>
                <w:b w:val="1"/>
                <w:bCs w:val="1"/>
                <w:color w:val="auto"/>
              </w:rPr>
              <w:t>June 30, 2020</w:t>
            </w:r>
          </w:p>
        </w:tc>
        <w:tc>
          <w:tcPr>
            <w:tcW w:w="180" w:type="dxa"/>
            <w:vAlign w:val="bottom"/>
          </w:tcPr>
          <w:p>
            <w:pPr>
              <w:spacing w:after="0"/>
              <w:rPr>
                <w:sz w:val="18"/>
                <w:szCs w:val="18"/>
                <w:color w:val="auto"/>
              </w:rPr>
            </w:pPr>
          </w:p>
        </w:tc>
        <w:tc>
          <w:tcPr>
            <w:tcW w:w="1200" w:type="dxa"/>
            <w:vAlign w:val="bottom"/>
          </w:tcPr>
          <w:p>
            <w:pPr>
              <w:jc w:val="right"/>
              <w:ind w:right="164"/>
              <w:spacing w:after="0"/>
              <w:rPr>
                <w:sz w:val="20"/>
                <w:szCs w:val="20"/>
                <w:color w:val="auto"/>
              </w:rPr>
            </w:pPr>
            <w:r>
              <w:rPr>
                <w:rFonts w:ascii="Arial" w:cs="Arial" w:eastAsia="Arial" w:hAnsi="Arial"/>
                <w:sz w:val="15"/>
                <w:szCs w:val="15"/>
                <w:b w:val="1"/>
                <w:bCs w:val="1"/>
                <w:color w:val="auto"/>
                <w:w w:val="96"/>
              </w:rPr>
              <w:t>June 30, 2019</w:t>
            </w:r>
          </w:p>
        </w:tc>
      </w:tr>
      <w:tr>
        <w:trPr>
          <w:trHeight w:val="212"/>
        </w:trPr>
        <w:tc>
          <w:tcPr>
            <w:tcW w:w="5360" w:type="dxa"/>
            <w:vAlign w:val="bottom"/>
          </w:tcPr>
          <w:p>
            <w:pPr>
              <w:ind w:left="20"/>
              <w:spacing w:after="0"/>
              <w:rPr>
                <w:sz w:val="20"/>
                <w:szCs w:val="20"/>
                <w:color w:val="auto"/>
              </w:rPr>
            </w:pPr>
            <w:r>
              <w:rPr>
                <w:rFonts w:ascii="Arial" w:cs="Arial" w:eastAsia="Arial" w:hAnsi="Arial"/>
                <w:sz w:val="15"/>
                <w:szCs w:val="15"/>
                <w:b w:val="1"/>
                <w:bCs w:val="1"/>
                <w:color w:val="auto"/>
              </w:rPr>
              <w:t>Revenues</w:t>
            </w:r>
          </w:p>
        </w:tc>
        <w:tc>
          <w:tcPr>
            <w:tcW w:w="1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r>
      <w:tr>
        <w:trPr>
          <w:trHeight w:val="220"/>
        </w:trPr>
        <w:tc>
          <w:tcPr>
            <w:tcW w:w="5360" w:type="dxa"/>
            <w:vAlign w:val="bottom"/>
            <w:shd w:val="clear" w:color="auto" w:fill="CCEEFF"/>
          </w:tcPr>
          <w:p>
            <w:pPr>
              <w:ind w:left="220"/>
              <w:spacing w:after="0"/>
              <w:rPr>
                <w:sz w:val="20"/>
                <w:szCs w:val="20"/>
                <w:color w:val="auto"/>
              </w:rPr>
            </w:pPr>
            <w:r>
              <w:rPr>
                <w:rFonts w:ascii="Arial" w:cs="Arial" w:eastAsia="Arial" w:hAnsi="Arial"/>
                <w:sz w:val="15"/>
                <w:szCs w:val="15"/>
                <w:color w:val="auto"/>
              </w:rPr>
              <w:t>Income from real property</w:t>
            </w:r>
          </w:p>
        </w:tc>
        <w:tc>
          <w:tcPr>
            <w:tcW w:w="1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95"/>
              </w:rPr>
              <w:t>$</w:t>
            </w:r>
          </w:p>
        </w:tc>
        <w:tc>
          <w:tcPr>
            <w:tcW w:w="120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231,484</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95"/>
              </w:rPr>
              <w:t>$</w:t>
            </w:r>
          </w:p>
        </w:tc>
        <w:tc>
          <w:tcPr>
            <w:tcW w:w="120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223,644</w:t>
            </w: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95"/>
              </w:rPr>
              <w:t>$</w:t>
            </w:r>
          </w:p>
        </w:tc>
        <w:tc>
          <w:tcPr>
            <w:tcW w:w="120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469,269</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95"/>
              </w:rPr>
              <w:t>$</w:t>
            </w:r>
          </w:p>
        </w:tc>
        <w:tc>
          <w:tcPr>
            <w:tcW w:w="120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438,727</w:t>
            </w:r>
          </w:p>
        </w:tc>
      </w:tr>
      <w:tr>
        <w:trPr>
          <w:trHeight w:val="212"/>
        </w:trPr>
        <w:tc>
          <w:tcPr>
            <w:tcW w:w="5360" w:type="dxa"/>
            <w:vAlign w:val="bottom"/>
          </w:tcPr>
          <w:p>
            <w:pPr>
              <w:ind w:left="220"/>
              <w:spacing w:after="0"/>
              <w:rPr>
                <w:sz w:val="20"/>
                <w:szCs w:val="20"/>
                <w:color w:val="auto"/>
              </w:rPr>
            </w:pPr>
            <w:r>
              <w:rPr>
                <w:rFonts w:ascii="Arial" w:cs="Arial" w:eastAsia="Arial" w:hAnsi="Arial"/>
                <w:sz w:val="15"/>
                <w:szCs w:val="15"/>
                <w:color w:val="auto"/>
              </w:rPr>
              <w:t>Revenue from home sales</w:t>
            </w:r>
          </w:p>
        </w:tc>
        <w:tc>
          <w:tcPr>
            <w:tcW w:w="180" w:type="dxa"/>
            <w:vAlign w:val="bottom"/>
          </w:tcPr>
          <w:p>
            <w:pPr>
              <w:spacing w:after="0"/>
              <w:rPr>
                <w:sz w:val="18"/>
                <w:szCs w:val="18"/>
                <w:color w:val="auto"/>
              </w:rPr>
            </w:pPr>
          </w:p>
        </w:tc>
        <w:tc>
          <w:tcPr>
            <w:tcW w:w="1200" w:type="dxa"/>
            <w:vAlign w:val="bottom"/>
          </w:tcPr>
          <w:p>
            <w:pPr>
              <w:jc w:val="right"/>
              <w:ind w:right="64"/>
              <w:spacing w:after="0"/>
              <w:rPr>
                <w:sz w:val="20"/>
                <w:szCs w:val="20"/>
                <w:color w:val="auto"/>
              </w:rPr>
            </w:pPr>
            <w:r>
              <w:rPr>
                <w:rFonts w:ascii="Arial" w:cs="Arial" w:eastAsia="Arial" w:hAnsi="Arial"/>
                <w:sz w:val="15"/>
                <w:szCs w:val="15"/>
                <w:color w:val="auto"/>
              </w:rPr>
              <w:t>38,530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right"/>
              <w:ind w:right="64"/>
              <w:spacing w:after="0"/>
              <w:rPr>
                <w:sz w:val="20"/>
                <w:szCs w:val="20"/>
                <w:color w:val="auto"/>
              </w:rPr>
            </w:pPr>
            <w:r>
              <w:rPr>
                <w:rFonts w:ascii="Arial" w:cs="Arial" w:eastAsia="Arial" w:hAnsi="Arial"/>
                <w:sz w:val="15"/>
                <w:szCs w:val="15"/>
                <w:color w:val="auto"/>
              </w:rPr>
              <w:t>47,242</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right"/>
              <w:ind w:right="64"/>
              <w:spacing w:after="0"/>
              <w:rPr>
                <w:sz w:val="20"/>
                <w:szCs w:val="20"/>
                <w:color w:val="auto"/>
              </w:rPr>
            </w:pPr>
            <w:r>
              <w:rPr>
                <w:rFonts w:ascii="Arial" w:cs="Arial" w:eastAsia="Arial" w:hAnsi="Arial"/>
                <w:sz w:val="15"/>
                <w:szCs w:val="15"/>
                <w:color w:val="auto"/>
              </w:rPr>
              <w:t>79,117</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right"/>
              <w:ind w:right="64"/>
              <w:spacing w:after="0"/>
              <w:rPr>
                <w:sz w:val="20"/>
                <w:szCs w:val="20"/>
                <w:color w:val="auto"/>
              </w:rPr>
            </w:pPr>
            <w:r>
              <w:rPr>
                <w:rFonts w:ascii="Arial" w:cs="Arial" w:eastAsia="Arial" w:hAnsi="Arial"/>
                <w:sz w:val="15"/>
                <w:szCs w:val="15"/>
                <w:color w:val="auto"/>
              </w:rPr>
              <w:t>86,860</w:t>
            </w:r>
          </w:p>
        </w:tc>
      </w:tr>
      <w:tr>
        <w:trPr>
          <w:trHeight w:val="220"/>
        </w:trPr>
        <w:tc>
          <w:tcPr>
            <w:tcW w:w="5360" w:type="dxa"/>
            <w:vAlign w:val="bottom"/>
            <w:shd w:val="clear" w:color="auto" w:fill="CCEEFF"/>
          </w:tcPr>
          <w:p>
            <w:pPr>
              <w:ind w:left="220"/>
              <w:spacing w:after="0"/>
              <w:rPr>
                <w:sz w:val="20"/>
                <w:szCs w:val="20"/>
                <w:color w:val="auto"/>
              </w:rPr>
            </w:pPr>
            <w:r>
              <w:rPr>
                <w:rFonts w:ascii="Arial" w:cs="Arial" w:eastAsia="Arial" w:hAnsi="Arial"/>
                <w:sz w:val="15"/>
                <w:szCs w:val="15"/>
                <w:color w:val="auto"/>
              </w:rPr>
              <w:t>Rental home revenue</w:t>
            </w: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14,968</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14,412</w:t>
            </w: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30,440</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28,383</w:t>
            </w:r>
          </w:p>
        </w:tc>
      </w:tr>
      <w:tr>
        <w:trPr>
          <w:trHeight w:val="212"/>
        </w:trPr>
        <w:tc>
          <w:tcPr>
            <w:tcW w:w="5360" w:type="dxa"/>
            <w:vAlign w:val="bottom"/>
          </w:tcPr>
          <w:p>
            <w:pPr>
              <w:ind w:left="220"/>
              <w:spacing w:after="0"/>
              <w:rPr>
                <w:sz w:val="20"/>
                <w:szCs w:val="20"/>
                <w:color w:val="auto"/>
              </w:rPr>
            </w:pPr>
            <w:r>
              <w:rPr>
                <w:rFonts w:ascii="Arial" w:cs="Arial" w:eastAsia="Arial" w:hAnsi="Arial"/>
                <w:sz w:val="15"/>
                <w:szCs w:val="15"/>
                <w:color w:val="auto"/>
              </w:rPr>
              <w:t>Ancillary revenue</w:t>
            </w:r>
          </w:p>
        </w:tc>
        <w:tc>
          <w:tcPr>
            <w:tcW w:w="180" w:type="dxa"/>
            <w:vAlign w:val="bottom"/>
          </w:tcPr>
          <w:p>
            <w:pPr>
              <w:spacing w:after="0"/>
              <w:rPr>
                <w:sz w:val="18"/>
                <w:szCs w:val="18"/>
                <w:color w:val="auto"/>
              </w:rPr>
            </w:pPr>
          </w:p>
        </w:tc>
        <w:tc>
          <w:tcPr>
            <w:tcW w:w="1200" w:type="dxa"/>
            <w:vAlign w:val="bottom"/>
          </w:tcPr>
          <w:p>
            <w:pPr>
              <w:jc w:val="right"/>
              <w:ind w:right="64"/>
              <w:spacing w:after="0"/>
              <w:rPr>
                <w:sz w:val="20"/>
                <w:szCs w:val="20"/>
                <w:color w:val="auto"/>
              </w:rPr>
            </w:pPr>
            <w:r>
              <w:rPr>
                <w:rFonts w:ascii="Arial" w:cs="Arial" w:eastAsia="Arial" w:hAnsi="Arial"/>
                <w:sz w:val="15"/>
                <w:szCs w:val="15"/>
                <w:color w:val="auto"/>
              </w:rPr>
              <w:t>12,375</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right"/>
              <w:ind w:right="64"/>
              <w:spacing w:after="0"/>
              <w:rPr>
                <w:sz w:val="20"/>
                <w:szCs w:val="20"/>
                <w:color w:val="auto"/>
              </w:rPr>
            </w:pPr>
            <w:r>
              <w:rPr>
                <w:rFonts w:ascii="Arial" w:cs="Arial" w:eastAsia="Arial" w:hAnsi="Arial"/>
                <w:sz w:val="15"/>
                <w:szCs w:val="15"/>
                <w:color w:val="auto"/>
              </w:rPr>
              <w:t>19,720</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right"/>
              <w:ind w:right="64"/>
              <w:spacing w:after="0"/>
              <w:rPr>
                <w:sz w:val="20"/>
                <w:szCs w:val="20"/>
                <w:color w:val="auto"/>
              </w:rPr>
            </w:pPr>
            <w:r>
              <w:rPr>
                <w:rFonts w:ascii="Arial" w:cs="Arial" w:eastAsia="Arial" w:hAnsi="Arial"/>
                <w:sz w:val="15"/>
                <w:szCs w:val="15"/>
                <w:color w:val="auto"/>
              </w:rPr>
              <w:t>22,570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right"/>
              <w:ind w:right="64"/>
              <w:spacing w:after="0"/>
              <w:rPr>
                <w:sz w:val="20"/>
                <w:szCs w:val="20"/>
                <w:color w:val="auto"/>
              </w:rPr>
            </w:pPr>
            <w:r>
              <w:rPr>
                <w:rFonts w:ascii="Arial" w:cs="Arial" w:eastAsia="Arial" w:hAnsi="Arial"/>
                <w:sz w:val="15"/>
                <w:szCs w:val="15"/>
                <w:color w:val="auto"/>
              </w:rPr>
              <w:t>29,898</w:t>
            </w:r>
          </w:p>
        </w:tc>
      </w:tr>
      <w:tr>
        <w:trPr>
          <w:trHeight w:val="220"/>
        </w:trPr>
        <w:tc>
          <w:tcPr>
            <w:tcW w:w="5360" w:type="dxa"/>
            <w:vAlign w:val="bottom"/>
            <w:shd w:val="clear" w:color="auto" w:fill="CCEEFF"/>
          </w:tcPr>
          <w:p>
            <w:pPr>
              <w:ind w:left="220"/>
              <w:spacing w:after="0"/>
              <w:rPr>
                <w:sz w:val="20"/>
                <w:szCs w:val="20"/>
                <w:color w:val="auto"/>
              </w:rPr>
            </w:pPr>
            <w:r>
              <w:rPr>
                <w:rFonts w:ascii="Arial" w:cs="Arial" w:eastAsia="Arial" w:hAnsi="Arial"/>
                <w:sz w:val="15"/>
                <w:szCs w:val="15"/>
                <w:color w:val="auto"/>
              </w:rPr>
              <w:t>Interest income</w:t>
            </w: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2,635</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4,919</w:t>
            </w: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4,985</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9,719</w:t>
            </w:r>
          </w:p>
        </w:tc>
      </w:tr>
      <w:tr>
        <w:trPr>
          <w:trHeight w:val="212"/>
        </w:trPr>
        <w:tc>
          <w:tcPr>
            <w:tcW w:w="5360" w:type="dxa"/>
            <w:vAlign w:val="bottom"/>
            <w:tcBorders>
              <w:bottom w:val="single" w:sz="8" w:color="CCEEFF"/>
            </w:tcBorders>
          </w:tcPr>
          <w:p>
            <w:pPr>
              <w:ind w:left="220"/>
              <w:spacing w:after="0"/>
              <w:rPr>
                <w:sz w:val="20"/>
                <w:szCs w:val="20"/>
                <w:color w:val="auto"/>
              </w:rPr>
            </w:pPr>
            <w:r>
              <w:rPr>
                <w:rFonts w:ascii="Arial" w:cs="Arial" w:eastAsia="Arial" w:hAnsi="Arial"/>
                <w:sz w:val="15"/>
                <w:szCs w:val="15"/>
                <w:color w:val="auto"/>
              </w:rPr>
              <w:t>Brokerage commissions and other revenues, net</w:t>
            </w:r>
          </w:p>
        </w:tc>
        <w:tc>
          <w:tcPr>
            <w:tcW w:w="1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color w:val="auto"/>
              </w:rPr>
              <w:t>3,274</w:t>
            </w: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color w:val="auto"/>
              </w:rPr>
              <w:t>2,508</w:t>
            </w:r>
          </w:p>
        </w:tc>
        <w:tc>
          <w:tcPr>
            <w:tcW w:w="2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color w:val="auto"/>
              </w:rPr>
              <w:t>7,187</w:t>
            </w: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color w:val="auto"/>
              </w:rPr>
              <w:t>6,188</w:t>
            </w:r>
          </w:p>
        </w:tc>
      </w:tr>
      <w:tr>
        <w:trPr>
          <w:trHeight w:val="213"/>
        </w:trPr>
        <w:tc>
          <w:tcPr>
            <w:tcW w:w="5360" w:type="dxa"/>
            <w:vAlign w:val="bottom"/>
            <w:shd w:val="clear" w:color="auto" w:fill="CCEEFF"/>
          </w:tcPr>
          <w:p>
            <w:pPr>
              <w:ind w:left="340"/>
              <w:spacing w:after="0"/>
              <w:rPr>
                <w:sz w:val="20"/>
                <w:szCs w:val="20"/>
                <w:color w:val="auto"/>
              </w:rPr>
            </w:pPr>
            <w:r>
              <w:rPr>
                <w:rFonts w:ascii="Arial" w:cs="Arial" w:eastAsia="Arial" w:hAnsi="Arial"/>
                <w:sz w:val="15"/>
                <w:szCs w:val="15"/>
                <w:b w:val="1"/>
                <w:bCs w:val="1"/>
                <w:color w:val="auto"/>
              </w:rPr>
              <w:t>Total Revenues</w:t>
            </w:r>
          </w:p>
        </w:tc>
        <w:tc>
          <w:tcPr>
            <w:tcW w:w="1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ind w:right="64"/>
              <w:spacing w:after="0"/>
              <w:rPr>
                <w:sz w:val="20"/>
                <w:szCs w:val="20"/>
                <w:color w:val="auto"/>
              </w:rPr>
            </w:pPr>
            <w:r>
              <w:rPr>
                <w:rFonts w:ascii="Arial" w:cs="Arial" w:eastAsia="Arial" w:hAnsi="Arial"/>
                <w:sz w:val="15"/>
                <w:szCs w:val="15"/>
                <w:color w:val="auto"/>
              </w:rPr>
              <w:t>303,266</w:t>
            </w: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ind w:right="64"/>
              <w:spacing w:after="0"/>
              <w:rPr>
                <w:sz w:val="20"/>
                <w:szCs w:val="20"/>
                <w:color w:val="auto"/>
              </w:rPr>
            </w:pPr>
            <w:r>
              <w:rPr>
                <w:rFonts w:ascii="Arial" w:cs="Arial" w:eastAsia="Arial" w:hAnsi="Arial"/>
                <w:sz w:val="15"/>
                <w:szCs w:val="15"/>
                <w:color w:val="auto"/>
              </w:rPr>
              <w:t>312,445</w:t>
            </w:r>
          </w:p>
        </w:tc>
        <w:tc>
          <w:tcPr>
            <w:tcW w:w="2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ind w:right="64"/>
              <w:spacing w:after="0"/>
              <w:rPr>
                <w:sz w:val="20"/>
                <w:szCs w:val="20"/>
                <w:color w:val="auto"/>
              </w:rPr>
            </w:pPr>
            <w:r>
              <w:rPr>
                <w:rFonts w:ascii="Arial" w:cs="Arial" w:eastAsia="Arial" w:hAnsi="Arial"/>
                <w:sz w:val="15"/>
                <w:szCs w:val="15"/>
                <w:color w:val="auto"/>
              </w:rPr>
              <w:t>613,568</w:t>
            </w: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ind w:right="64"/>
              <w:spacing w:after="0"/>
              <w:rPr>
                <w:sz w:val="20"/>
                <w:szCs w:val="20"/>
                <w:color w:val="auto"/>
              </w:rPr>
            </w:pPr>
            <w:r>
              <w:rPr>
                <w:rFonts w:ascii="Arial" w:cs="Arial" w:eastAsia="Arial" w:hAnsi="Arial"/>
                <w:sz w:val="15"/>
                <w:szCs w:val="15"/>
                <w:color w:val="auto"/>
              </w:rPr>
              <w:t>599,775</w:t>
            </w:r>
          </w:p>
        </w:tc>
      </w:tr>
      <w:tr>
        <w:trPr>
          <w:trHeight w:val="206"/>
        </w:trPr>
        <w:tc>
          <w:tcPr>
            <w:tcW w:w="5360" w:type="dxa"/>
            <w:vAlign w:val="bottom"/>
          </w:tcPr>
          <w:p>
            <w:pPr>
              <w:ind w:left="20"/>
              <w:spacing w:after="0"/>
              <w:rPr>
                <w:sz w:val="20"/>
                <w:szCs w:val="20"/>
                <w:color w:val="auto"/>
              </w:rPr>
            </w:pPr>
            <w:r>
              <w:rPr>
                <w:rFonts w:ascii="Arial" w:cs="Arial" w:eastAsia="Arial" w:hAnsi="Arial"/>
                <w:sz w:val="15"/>
                <w:szCs w:val="15"/>
                <w:b w:val="1"/>
                <w:bCs w:val="1"/>
                <w:color w:val="auto"/>
              </w:rPr>
              <w:t>Expenses</w:t>
            </w: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20"/>
        </w:trPr>
        <w:tc>
          <w:tcPr>
            <w:tcW w:w="5360" w:type="dxa"/>
            <w:vAlign w:val="bottom"/>
            <w:shd w:val="clear" w:color="auto" w:fill="CCEEFF"/>
          </w:tcPr>
          <w:p>
            <w:pPr>
              <w:ind w:left="220"/>
              <w:spacing w:after="0"/>
              <w:rPr>
                <w:sz w:val="20"/>
                <w:szCs w:val="20"/>
                <w:color w:val="auto"/>
              </w:rPr>
            </w:pPr>
            <w:r>
              <w:rPr>
                <w:rFonts w:ascii="Arial" w:cs="Arial" w:eastAsia="Arial" w:hAnsi="Arial"/>
                <w:sz w:val="15"/>
                <w:szCs w:val="15"/>
                <w:color w:val="auto"/>
              </w:rPr>
              <w:t>Property operating and maintenance</w:t>
            </w: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65,204</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65,888</w:t>
            </w: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129,261</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123,797</w:t>
            </w:r>
          </w:p>
        </w:tc>
      </w:tr>
      <w:tr>
        <w:trPr>
          <w:trHeight w:val="212"/>
        </w:trPr>
        <w:tc>
          <w:tcPr>
            <w:tcW w:w="5360" w:type="dxa"/>
            <w:vAlign w:val="bottom"/>
          </w:tcPr>
          <w:p>
            <w:pPr>
              <w:ind w:left="220"/>
              <w:spacing w:after="0"/>
              <w:rPr>
                <w:sz w:val="20"/>
                <w:szCs w:val="20"/>
                <w:color w:val="auto"/>
              </w:rPr>
            </w:pPr>
            <w:r>
              <w:rPr>
                <w:rFonts w:ascii="Arial" w:cs="Arial" w:eastAsia="Arial" w:hAnsi="Arial"/>
                <w:sz w:val="15"/>
                <w:szCs w:val="15"/>
                <w:color w:val="auto"/>
              </w:rPr>
              <w:t>Real estate taxes</w:t>
            </w:r>
          </w:p>
        </w:tc>
        <w:tc>
          <w:tcPr>
            <w:tcW w:w="180" w:type="dxa"/>
            <w:vAlign w:val="bottom"/>
          </w:tcPr>
          <w:p>
            <w:pPr>
              <w:spacing w:after="0"/>
              <w:rPr>
                <w:sz w:val="18"/>
                <w:szCs w:val="18"/>
                <w:color w:val="auto"/>
              </w:rPr>
            </w:pPr>
          </w:p>
        </w:tc>
        <w:tc>
          <w:tcPr>
            <w:tcW w:w="1200" w:type="dxa"/>
            <w:vAlign w:val="bottom"/>
          </w:tcPr>
          <w:p>
            <w:pPr>
              <w:jc w:val="right"/>
              <w:ind w:right="64"/>
              <w:spacing w:after="0"/>
              <w:rPr>
                <w:sz w:val="20"/>
                <w:szCs w:val="20"/>
                <w:color w:val="auto"/>
              </w:rPr>
            </w:pPr>
            <w:r>
              <w:rPr>
                <w:rFonts w:ascii="Arial" w:cs="Arial" w:eastAsia="Arial" w:hAnsi="Arial"/>
                <w:sz w:val="15"/>
                <w:szCs w:val="15"/>
                <w:color w:val="auto"/>
              </w:rPr>
              <w:t>17,723</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right"/>
              <w:ind w:right="64"/>
              <w:spacing w:after="0"/>
              <w:rPr>
                <w:sz w:val="20"/>
                <w:szCs w:val="20"/>
                <w:color w:val="auto"/>
              </w:rPr>
            </w:pPr>
            <w:r>
              <w:rPr>
                <w:rFonts w:ascii="Arial" w:cs="Arial" w:eastAsia="Arial" w:hAnsi="Arial"/>
                <w:sz w:val="15"/>
                <w:szCs w:val="15"/>
                <w:color w:val="auto"/>
              </w:rPr>
              <w:t>15,726</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right"/>
              <w:ind w:right="64"/>
              <w:spacing w:after="0"/>
              <w:rPr>
                <w:sz w:val="20"/>
                <w:szCs w:val="20"/>
                <w:color w:val="auto"/>
              </w:rPr>
            </w:pPr>
            <w:r>
              <w:rPr>
                <w:rFonts w:ascii="Arial" w:cs="Arial" w:eastAsia="Arial" w:hAnsi="Arial"/>
                <w:sz w:val="15"/>
                <w:szCs w:val="15"/>
                <w:color w:val="auto"/>
              </w:rPr>
              <w:t>34,899</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right"/>
              <w:ind w:right="64"/>
              <w:spacing w:after="0"/>
              <w:rPr>
                <w:sz w:val="20"/>
                <w:szCs w:val="20"/>
                <w:color w:val="auto"/>
              </w:rPr>
            </w:pPr>
            <w:r>
              <w:rPr>
                <w:rFonts w:ascii="Arial" w:cs="Arial" w:eastAsia="Arial" w:hAnsi="Arial"/>
                <w:sz w:val="15"/>
                <w:szCs w:val="15"/>
                <w:color w:val="auto"/>
              </w:rPr>
              <w:t>31,056</w:t>
            </w:r>
          </w:p>
        </w:tc>
      </w:tr>
      <w:tr>
        <w:trPr>
          <w:trHeight w:val="220"/>
        </w:trPr>
        <w:tc>
          <w:tcPr>
            <w:tcW w:w="5360" w:type="dxa"/>
            <w:vAlign w:val="bottom"/>
            <w:shd w:val="clear" w:color="auto" w:fill="CCEEFF"/>
          </w:tcPr>
          <w:p>
            <w:pPr>
              <w:ind w:left="220"/>
              <w:spacing w:after="0"/>
              <w:rPr>
                <w:sz w:val="20"/>
                <w:szCs w:val="20"/>
                <w:color w:val="auto"/>
              </w:rPr>
            </w:pPr>
            <w:r>
              <w:rPr>
                <w:rFonts w:ascii="Arial" w:cs="Arial" w:eastAsia="Arial" w:hAnsi="Arial"/>
                <w:sz w:val="15"/>
                <w:szCs w:val="15"/>
                <w:color w:val="auto"/>
              </w:rPr>
              <w:t>Cost of home sales</w:t>
            </w: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29,181</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34,435</w:t>
            </w: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59,213</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63,712</w:t>
            </w:r>
          </w:p>
        </w:tc>
      </w:tr>
      <w:tr>
        <w:trPr>
          <w:trHeight w:val="212"/>
        </w:trPr>
        <w:tc>
          <w:tcPr>
            <w:tcW w:w="5360" w:type="dxa"/>
            <w:vAlign w:val="bottom"/>
          </w:tcPr>
          <w:p>
            <w:pPr>
              <w:ind w:left="220"/>
              <w:spacing w:after="0"/>
              <w:rPr>
                <w:sz w:val="20"/>
                <w:szCs w:val="20"/>
                <w:color w:val="auto"/>
              </w:rPr>
            </w:pPr>
            <w:r>
              <w:rPr>
                <w:rFonts w:ascii="Arial" w:cs="Arial" w:eastAsia="Arial" w:hAnsi="Arial"/>
                <w:sz w:val="15"/>
                <w:szCs w:val="15"/>
                <w:color w:val="auto"/>
              </w:rPr>
              <w:t>Rental home operating and maintenance</w:t>
            </w:r>
          </w:p>
        </w:tc>
        <w:tc>
          <w:tcPr>
            <w:tcW w:w="180" w:type="dxa"/>
            <w:vAlign w:val="bottom"/>
          </w:tcPr>
          <w:p>
            <w:pPr>
              <w:spacing w:after="0"/>
              <w:rPr>
                <w:sz w:val="18"/>
                <w:szCs w:val="18"/>
                <w:color w:val="auto"/>
              </w:rPr>
            </w:pPr>
          </w:p>
        </w:tc>
        <w:tc>
          <w:tcPr>
            <w:tcW w:w="1200" w:type="dxa"/>
            <w:vAlign w:val="bottom"/>
          </w:tcPr>
          <w:p>
            <w:pPr>
              <w:jc w:val="right"/>
              <w:ind w:right="64"/>
              <w:spacing w:after="0"/>
              <w:rPr>
                <w:sz w:val="20"/>
                <w:szCs w:val="20"/>
                <w:color w:val="auto"/>
              </w:rPr>
            </w:pPr>
            <w:r>
              <w:rPr>
                <w:rFonts w:ascii="Arial" w:cs="Arial" w:eastAsia="Arial" w:hAnsi="Arial"/>
                <w:sz w:val="15"/>
                <w:szCs w:val="15"/>
                <w:color w:val="auto"/>
              </w:rPr>
              <w:t>4,685</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right"/>
              <w:ind w:right="64"/>
              <w:spacing w:after="0"/>
              <w:rPr>
                <w:sz w:val="20"/>
                <w:szCs w:val="20"/>
                <w:color w:val="auto"/>
              </w:rPr>
            </w:pPr>
            <w:r>
              <w:rPr>
                <w:rFonts w:ascii="Arial" w:cs="Arial" w:eastAsia="Arial" w:hAnsi="Arial"/>
                <w:sz w:val="15"/>
                <w:szCs w:val="15"/>
                <w:color w:val="auto"/>
              </w:rPr>
              <w:t>5,177</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right"/>
              <w:ind w:right="64"/>
              <w:spacing w:after="0"/>
              <w:rPr>
                <w:sz w:val="20"/>
                <w:szCs w:val="20"/>
                <w:color w:val="auto"/>
              </w:rPr>
            </w:pPr>
            <w:r>
              <w:rPr>
                <w:rFonts w:ascii="Arial" w:cs="Arial" w:eastAsia="Arial" w:hAnsi="Arial"/>
                <w:sz w:val="15"/>
                <w:szCs w:val="15"/>
                <w:color w:val="auto"/>
              </w:rPr>
              <w:t>10,179</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right"/>
              <w:ind w:right="64"/>
              <w:spacing w:after="0"/>
              <w:rPr>
                <w:sz w:val="20"/>
                <w:szCs w:val="20"/>
                <w:color w:val="auto"/>
              </w:rPr>
            </w:pPr>
            <w:r>
              <w:rPr>
                <w:rFonts w:ascii="Arial" w:cs="Arial" w:eastAsia="Arial" w:hAnsi="Arial"/>
                <w:sz w:val="15"/>
                <w:szCs w:val="15"/>
                <w:color w:val="auto"/>
              </w:rPr>
              <w:t>10,009</w:t>
            </w:r>
          </w:p>
        </w:tc>
      </w:tr>
      <w:tr>
        <w:trPr>
          <w:trHeight w:val="220"/>
        </w:trPr>
        <w:tc>
          <w:tcPr>
            <w:tcW w:w="5360" w:type="dxa"/>
            <w:vAlign w:val="bottom"/>
            <w:shd w:val="clear" w:color="auto" w:fill="CCEEFF"/>
          </w:tcPr>
          <w:p>
            <w:pPr>
              <w:ind w:left="220"/>
              <w:spacing w:after="0"/>
              <w:rPr>
                <w:sz w:val="20"/>
                <w:szCs w:val="20"/>
                <w:color w:val="auto"/>
              </w:rPr>
            </w:pPr>
            <w:r>
              <w:rPr>
                <w:rFonts w:ascii="Arial" w:cs="Arial" w:eastAsia="Arial" w:hAnsi="Arial"/>
                <w:sz w:val="15"/>
                <w:szCs w:val="15"/>
                <w:color w:val="auto"/>
              </w:rPr>
              <w:t>Ancillary expenses</w:t>
            </w: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8,226</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12,480</w:t>
            </w: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15,708</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19,581</w:t>
            </w:r>
          </w:p>
        </w:tc>
      </w:tr>
      <w:tr>
        <w:trPr>
          <w:trHeight w:val="212"/>
        </w:trPr>
        <w:tc>
          <w:tcPr>
            <w:tcW w:w="5360" w:type="dxa"/>
            <w:vAlign w:val="bottom"/>
          </w:tcPr>
          <w:p>
            <w:pPr>
              <w:ind w:left="220"/>
              <w:spacing w:after="0"/>
              <w:rPr>
                <w:sz w:val="20"/>
                <w:szCs w:val="20"/>
                <w:color w:val="auto"/>
              </w:rPr>
            </w:pPr>
            <w:r>
              <w:rPr>
                <w:rFonts w:ascii="Arial" w:cs="Arial" w:eastAsia="Arial" w:hAnsi="Arial"/>
                <w:sz w:val="15"/>
                <w:szCs w:val="15"/>
                <w:color w:val="auto"/>
              </w:rPr>
              <w:t>Home selling expenses</w:t>
            </w:r>
          </w:p>
        </w:tc>
        <w:tc>
          <w:tcPr>
            <w:tcW w:w="180" w:type="dxa"/>
            <w:vAlign w:val="bottom"/>
          </w:tcPr>
          <w:p>
            <w:pPr>
              <w:spacing w:after="0"/>
              <w:rPr>
                <w:sz w:val="18"/>
                <w:szCs w:val="18"/>
                <w:color w:val="auto"/>
              </w:rPr>
            </w:pPr>
          </w:p>
        </w:tc>
        <w:tc>
          <w:tcPr>
            <w:tcW w:w="1200" w:type="dxa"/>
            <w:vAlign w:val="bottom"/>
          </w:tcPr>
          <w:p>
            <w:pPr>
              <w:jc w:val="right"/>
              <w:ind w:right="64"/>
              <w:spacing w:after="0"/>
              <w:rPr>
                <w:sz w:val="20"/>
                <w:szCs w:val="20"/>
                <w:color w:val="auto"/>
              </w:rPr>
            </w:pPr>
            <w:r>
              <w:rPr>
                <w:rFonts w:ascii="Arial" w:cs="Arial" w:eastAsia="Arial" w:hAnsi="Arial"/>
                <w:sz w:val="15"/>
                <w:szCs w:val="15"/>
                <w:color w:val="auto"/>
              </w:rPr>
              <w:t>2,864</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right"/>
              <w:ind w:right="64"/>
              <w:spacing w:after="0"/>
              <w:rPr>
                <w:sz w:val="20"/>
                <w:szCs w:val="20"/>
                <w:color w:val="auto"/>
              </w:rPr>
            </w:pPr>
            <w:r>
              <w:rPr>
                <w:rFonts w:ascii="Arial" w:cs="Arial" w:eastAsia="Arial" w:hAnsi="Arial"/>
                <w:sz w:val="15"/>
                <w:szCs w:val="15"/>
                <w:color w:val="auto"/>
              </w:rPr>
              <w:t>3,626</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right"/>
              <w:ind w:right="64"/>
              <w:spacing w:after="0"/>
              <w:rPr>
                <w:sz w:val="20"/>
                <w:szCs w:val="20"/>
                <w:color w:val="auto"/>
              </w:rPr>
            </w:pPr>
            <w:r>
              <w:rPr>
                <w:rFonts w:ascii="Arial" w:cs="Arial" w:eastAsia="Arial" w:hAnsi="Arial"/>
                <w:sz w:val="15"/>
                <w:szCs w:val="15"/>
                <w:color w:val="auto"/>
              </w:rPr>
              <w:t>6,856</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right"/>
              <w:ind w:right="64"/>
              <w:spacing w:after="0"/>
              <w:rPr>
                <w:sz w:val="20"/>
                <w:szCs w:val="20"/>
                <w:color w:val="auto"/>
              </w:rPr>
            </w:pPr>
            <w:r>
              <w:rPr>
                <w:rFonts w:ascii="Arial" w:cs="Arial" w:eastAsia="Arial" w:hAnsi="Arial"/>
                <w:sz w:val="15"/>
                <w:szCs w:val="15"/>
                <w:color w:val="auto"/>
              </w:rPr>
              <w:t>6,950</w:t>
            </w:r>
          </w:p>
        </w:tc>
      </w:tr>
      <w:tr>
        <w:trPr>
          <w:trHeight w:val="220"/>
        </w:trPr>
        <w:tc>
          <w:tcPr>
            <w:tcW w:w="5360" w:type="dxa"/>
            <w:vAlign w:val="bottom"/>
            <w:shd w:val="clear" w:color="auto" w:fill="CCEEFF"/>
          </w:tcPr>
          <w:p>
            <w:pPr>
              <w:ind w:left="220"/>
              <w:spacing w:after="0"/>
              <w:rPr>
                <w:sz w:val="20"/>
                <w:szCs w:val="20"/>
                <w:color w:val="auto"/>
              </w:rPr>
            </w:pPr>
            <w:r>
              <w:rPr>
                <w:rFonts w:ascii="Arial" w:cs="Arial" w:eastAsia="Arial" w:hAnsi="Arial"/>
                <w:sz w:val="15"/>
                <w:szCs w:val="15"/>
                <w:color w:val="auto"/>
              </w:rPr>
              <w:t>General and administrative expenses</w:t>
            </w: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26,733</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23,697</w:t>
            </w: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52,250</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45,584</w:t>
            </w:r>
          </w:p>
        </w:tc>
      </w:tr>
      <w:tr>
        <w:trPr>
          <w:trHeight w:val="212"/>
        </w:trPr>
        <w:tc>
          <w:tcPr>
            <w:tcW w:w="5360" w:type="dxa"/>
            <w:vAlign w:val="bottom"/>
          </w:tcPr>
          <w:p>
            <w:pPr>
              <w:ind w:left="220"/>
              <w:spacing w:after="0"/>
              <w:rPr>
                <w:sz w:val="20"/>
                <w:szCs w:val="20"/>
                <w:color w:val="auto"/>
              </w:rPr>
            </w:pPr>
            <w:r>
              <w:rPr>
                <w:rFonts w:ascii="Arial" w:cs="Arial" w:eastAsia="Arial" w:hAnsi="Arial"/>
                <w:sz w:val="15"/>
                <w:szCs w:val="15"/>
                <w:color w:val="auto"/>
              </w:rPr>
              <w:t>Catastrophic weather-related charges, net</w:t>
            </w:r>
          </w:p>
        </w:tc>
        <w:tc>
          <w:tcPr>
            <w:tcW w:w="180" w:type="dxa"/>
            <w:vAlign w:val="bottom"/>
          </w:tcPr>
          <w:p>
            <w:pPr>
              <w:spacing w:after="0"/>
              <w:rPr>
                <w:sz w:val="18"/>
                <w:szCs w:val="18"/>
                <w:color w:val="auto"/>
              </w:rPr>
            </w:pPr>
          </w:p>
        </w:tc>
        <w:tc>
          <w:tcPr>
            <w:tcW w:w="1200" w:type="dxa"/>
            <w:vAlign w:val="bottom"/>
          </w:tcPr>
          <w:p>
            <w:pPr>
              <w:jc w:val="right"/>
              <w:ind w:right="24"/>
              <w:spacing w:after="0"/>
              <w:rPr>
                <w:sz w:val="20"/>
                <w:szCs w:val="20"/>
                <w:color w:val="auto"/>
              </w:rPr>
            </w:pPr>
            <w:r>
              <w:rPr>
                <w:rFonts w:ascii="Arial" w:cs="Arial" w:eastAsia="Arial" w:hAnsi="Arial"/>
                <w:sz w:val="15"/>
                <w:szCs w:val="15"/>
                <w:color w:val="auto"/>
              </w:rPr>
              <w:t>(566)</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right"/>
              <w:ind w:right="64"/>
              <w:spacing w:after="0"/>
              <w:rPr>
                <w:sz w:val="20"/>
                <w:szCs w:val="20"/>
                <w:color w:val="auto"/>
              </w:rPr>
            </w:pPr>
            <w:r>
              <w:rPr>
                <w:rFonts w:ascii="Arial" w:cs="Arial" w:eastAsia="Arial" w:hAnsi="Arial"/>
                <w:sz w:val="15"/>
                <w:szCs w:val="15"/>
                <w:color w:val="auto"/>
              </w:rPr>
              <w:t>179</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right"/>
              <w:ind w:right="64"/>
              <w:spacing w:after="0"/>
              <w:rPr>
                <w:sz w:val="20"/>
                <w:szCs w:val="20"/>
                <w:color w:val="auto"/>
              </w:rPr>
            </w:pPr>
            <w:r>
              <w:rPr>
                <w:rFonts w:ascii="Arial" w:cs="Arial" w:eastAsia="Arial" w:hAnsi="Arial"/>
                <w:sz w:val="15"/>
                <w:szCs w:val="15"/>
                <w:color w:val="auto"/>
              </w:rPr>
              <w:t>40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right"/>
              <w:ind w:right="64"/>
              <w:spacing w:after="0"/>
              <w:rPr>
                <w:sz w:val="20"/>
                <w:szCs w:val="20"/>
                <w:color w:val="auto"/>
              </w:rPr>
            </w:pPr>
            <w:r>
              <w:rPr>
                <w:rFonts w:ascii="Arial" w:cs="Arial" w:eastAsia="Arial" w:hAnsi="Arial"/>
                <w:sz w:val="15"/>
                <w:szCs w:val="15"/>
                <w:color w:val="auto"/>
              </w:rPr>
              <w:t>961</w:t>
            </w:r>
          </w:p>
        </w:tc>
      </w:tr>
      <w:tr>
        <w:trPr>
          <w:trHeight w:val="220"/>
        </w:trPr>
        <w:tc>
          <w:tcPr>
            <w:tcW w:w="5360" w:type="dxa"/>
            <w:vAlign w:val="bottom"/>
            <w:shd w:val="clear" w:color="auto" w:fill="CCEEFF"/>
          </w:tcPr>
          <w:p>
            <w:pPr>
              <w:ind w:left="220"/>
              <w:spacing w:after="0"/>
              <w:rPr>
                <w:sz w:val="20"/>
                <w:szCs w:val="20"/>
                <w:color w:val="auto"/>
              </w:rPr>
            </w:pPr>
            <w:r>
              <w:rPr>
                <w:rFonts w:ascii="Arial" w:cs="Arial" w:eastAsia="Arial" w:hAnsi="Arial"/>
                <w:sz w:val="15"/>
                <w:szCs w:val="15"/>
                <w:color w:val="auto"/>
              </w:rPr>
              <w:t>Depreciation and amortization</w:t>
            </w: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87,265</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76,153</w:t>
            </w: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170,954</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152,709</w:t>
            </w:r>
          </w:p>
        </w:tc>
      </w:tr>
      <w:tr>
        <w:trPr>
          <w:trHeight w:val="212"/>
        </w:trPr>
        <w:tc>
          <w:tcPr>
            <w:tcW w:w="5360" w:type="dxa"/>
            <w:vAlign w:val="bottom"/>
          </w:tcPr>
          <w:p>
            <w:pPr>
              <w:ind w:left="220"/>
              <w:spacing w:after="0"/>
              <w:rPr>
                <w:sz w:val="20"/>
                <w:szCs w:val="20"/>
                <w:color w:val="auto"/>
              </w:rPr>
            </w:pPr>
            <w:r>
              <w:rPr>
                <w:rFonts w:ascii="Arial" w:cs="Arial" w:eastAsia="Arial" w:hAnsi="Arial"/>
                <w:sz w:val="15"/>
                <w:szCs w:val="15"/>
                <w:color w:val="auto"/>
              </w:rPr>
              <w:t>Loss on extinguishment of debt (see Note 8)</w:t>
            </w:r>
          </w:p>
        </w:tc>
        <w:tc>
          <w:tcPr>
            <w:tcW w:w="180" w:type="dxa"/>
            <w:vAlign w:val="bottom"/>
          </w:tcPr>
          <w:p>
            <w:pPr>
              <w:spacing w:after="0"/>
              <w:rPr>
                <w:sz w:val="18"/>
                <w:szCs w:val="18"/>
                <w:color w:val="auto"/>
              </w:rPr>
            </w:pPr>
          </w:p>
        </w:tc>
        <w:tc>
          <w:tcPr>
            <w:tcW w:w="1200" w:type="dxa"/>
            <w:vAlign w:val="bottom"/>
          </w:tcPr>
          <w:p>
            <w:pPr>
              <w:jc w:val="right"/>
              <w:ind w:right="64"/>
              <w:spacing w:after="0"/>
              <w:rPr>
                <w:sz w:val="20"/>
                <w:szCs w:val="20"/>
                <w:color w:val="auto"/>
              </w:rPr>
            </w:pPr>
            <w:r>
              <w:rPr>
                <w:rFonts w:ascii="Arial" w:cs="Arial" w:eastAsia="Arial" w:hAnsi="Arial"/>
                <w:sz w:val="15"/>
                <w:szCs w:val="15"/>
                <w:color w:val="auto"/>
              </w:rPr>
              <w:t>1,930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right"/>
              <w:ind w:right="64"/>
              <w:spacing w:after="0"/>
              <w:rPr>
                <w:sz w:val="20"/>
                <w:szCs w:val="20"/>
                <w:color w:val="auto"/>
              </w:rPr>
            </w:pPr>
            <w:r>
              <w:rPr>
                <w:rFonts w:ascii="Arial" w:cs="Arial" w:eastAsia="Arial" w:hAnsi="Arial"/>
                <w:sz w:val="15"/>
                <w:szCs w:val="15"/>
                <w:color w:val="auto"/>
              </w:rPr>
              <w:t>70</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right"/>
              <w:ind w:right="64"/>
              <w:spacing w:after="0"/>
              <w:rPr>
                <w:sz w:val="20"/>
                <w:szCs w:val="20"/>
                <w:color w:val="auto"/>
              </w:rPr>
            </w:pPr>
            <w:r>
              <w:rPr>
                <w:rFonts w:ascii="Arial" w:cs="Arial" w:eastAsia="Arial" w:hAnsi="Arial"/>
                <w:sz w:val="15"/>
                <w:szCs w:val="15"/>
                <w:color w:val="auto"/>
              </w:rPr>
              <w:t>5,209</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right"/>
              <w:ind w:right="64"/>
              <w:spacing w:after="0"/>
              <w:rPr>
                <w:sz w:val="20"/>
                <w:szCs w:val="20"/>
                <w:color w:val="auto"/>
              </w:rPr>
            </w:pPr>
            <w:r>
              <w:rPr>
                <w:rFonts w:ascii="Arial" w:cs="Arial" w:eastAsia="Arial" w:hAnsi="Arial"/>
                <w:sz w:val="15"/>
                <w:szCs w:val="15"/>
                <w:color w:val="auto"/>
              </w:rPr>
              <w:t>723</w:t>
            </w:r>
          </w:p>
        </w:tc>
      </w:tr>
      <w:tr>
        <w:trPr>
          <w:trHeight w:val="220"/>
        </w:trPr>
        <w:tc>
          <w:tcPr>
            <w:tcW w:w="5360" w:type="dxa"/>
            <w:vAlign w:val="bottom"/>
            <w:shd w:val="clear" w:color="auto" w:fill="CCEEFF"/>
          </w:tcPr>
          <w:p>
            <w:pPr>
              <w:ind w:left="220"/>
              <w:spacing w:after="0"/>
              <w:rPr>
                <w:sz w:val="20"/>
                <w:szCs w:val="20"/>
                <w:color w:val="auto"/>
              </w:rPr>
            </w:pPr>
            <w:r>
              <w:rPr>
                <w:rFonts w:ascii="Arial" w:cs="Arial" w:eastAsia="Arial" w:hAnsi="Arial"/>
                <w:sz w:val="15"/>
                <w:szCs w:val="15"/>
                <w:color w:val="auto"/>
              </w:rPr>
              <w:t>Interest expense</w:t>
            </w: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31,428</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33,661</w:t>
            </w: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63,844</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67,675</w:t>
            </w:r>
          </w:p>
        </w:tc>
      </w:tr>
      <w:tr>
        <w:trPr>
          <w:trHeight w:val="212"/>
        </w:trPr>
        <w:tc>
          <w:tcPr>
            <w:tcW w:w="5360" w:type="dxa"/>
            <w:vAlign w:val="bottom"/>
            <w:tcBorders>
              <w:bottom w:val="single" w:sz="8" w:color="CCEEFF"/>
            </w:tcBorders>
          </w:tcPr>
          <w:p>
            <w:pPr>
              <w:ind w:left="220"/>
              <w:spacing w:after="0"/>
              <w:rPr>
                <w:sz w:val="20"/>
                <w:szCs w:val="20"/>
                <w:color w:val="auto"/>
              </w:rPr>
            </w:pPr>
            <w:r>
              <w:rPr>
                <w:rFonts w:ascii="Arial" w:cs="Arial" w:eastAsia="Arial" w:hAnsi="Arial"/>
                <w:sz w:val="15"/>
                <w:szCs w:val="15"/>
                <w:color w:val="auto"/>
              </w:rPr>
              <w:t>Interest on mandatorily redeemable preferred OP units / equity</w:t>
            </w:r>
          </w:p>
        </w:tc>
        <w:tc>
          <w:tcPr>
            <w:tcW w:w="1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color w:val="auto"/>
              </w:rPr>
              <w:t>1,042</w:t>
            </w: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color w:val="auto"/>
              </w:rPr>
              <w:t>1,181</w:t>
            </w:r>
          </w:p>
        </w:tc>
        <w:tc>
          <w:tcPr>
            <w:tcW w:w="2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color w:val="auto"/>
              </w:rPr>
              <w:t>2,083</w:t>
            </w: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color w:val="auto"/>
              </w:rPr>
              <w:t>2,275</w:t>
            </w:r>
          </w:p>
        </w:tc>
      </w:tr>
      <w:tr>
        <w:trPr>
          <w:trHeight w:val="214"/>
        </w:trPr>
        <w:tc>
          <w:tcPr>
            <w:tcW w:w="5360" w:type="dxa"/>
            <w:vAlign w:val="bottom"/>
            <w:shd w:val="clear" w:color="auto" w:fill="CCEEFF"/>
          </w:tcPr>
          <w:p>
            <w:pPr>
              <w:ind w:left="340"/>
              <w:spacing w:after="0"/>
              <w:rPr>
                <w:sz w:val="20"/>
                <w:szCs w:val="20"/>
                <w:color w:val="auto"/>
              </w:rPr>
            </w:pPr>
            <w:r>
              <w:rPr>
                <w:rFonts w:ascii="Arial" w:cs="Arial" w:eastAsia="Arial" w:hAnsi="Arial"/>
                <w:sz w:val="15"/>
                <w:szCs w:val="15"/>
                <w:b w:val="1"/>
                <w:bCs w:val="1"/>
                <w:color w:val="auto"/>
              </w:rPr>
              <w:t>Total Expenses</w:t>
            </w:r>
          </w:p>
        </w:tc>
        <w:tc>
          <w:tcPr>
            <w:tcW w:w="1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ind w:right="64"/>
              <w:spacing w:after="0"/>
              <w:rPr>
                <w:sz w:val="20"/>
                <w:szCs w:val="20"/>
                <w:color w:val="auto"/>
              </w:rPr>
            </w:pPr>
            <w:r>
              <w:rPr>
                <w:rFonts w:ascii="Arial" w:cs="Arial" w:eastAsia="Arial" w:hAnsi="Arial"/>
                <w:sz w:val="15"/>
                <w:szCs w:val="15"/>
                <w:color w:val="auto"/>
              </w:rPr>
              <w:t>275,715</w:t>
            </w: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ind w:right="64"/>
              <w:spacing w:after="0"/>
              <w:rPr>
                <w:sz w:val="20"/>
                <w:szCs w:val="20"/>
                <w:color w:val="auto"/>
              </w:rPr>
            </w:pPr>
            <w:r>
              <w:rPr>
                <w:rFonts w:ascii="Arial" w:cs="Arial" w:eastAsia="Arial" w:hAnsi="Arial"/>
                <w:sz w:val="15"/>
                <w:szCs w:val="15"/>
                <w:color w:val="auto"/>
              </w:rPr>
              <w:t>272,273</w:t>
            </w:r>
          </w:p>
        </w:tc>
        <w:tc>
          <w:tcPr>
            <w:tcW w:w="2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ind w:right="64"/>
              <w:spacing w:after="0"/>
              <w:rPr>
                <w:sz w:val="20"/>
                <w:szCs w:val="20"/>
                <w:color w:val="auto"/>
              </w:rPr>
            </w:pPr>
            <w:r>
              <w:rPr>
                <w:rFonts w:ascii="Arial" w:cs="Arial" w:eastAsia="Arial" w:hAnsi="Arial"/>
                <w:sz w:val="15"/>
                <w:szCs w:val="15"/>
                <w:color w:val="auto"/>
              </w:rPr>
              <w:t>550,496</w:t>
            </w: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ind w:right="64"/>
              <w:spacing w:after="0"/>
              <w:rPr>
                <w:sz w:val="20"/>
                <w:szCs w:val="20"/>
                <w:color w:val="auto"/>
              </w:rPr>
            </w:pPr>
            <w:r>
              <w:rPr>
                <w:rFonts w:ascii="Arial" w:cs="Arial" w:eastAsia="Arial" w:hAnsi="Arial"/>
                <w:sz w:val="15"/>
                <w:szCs w:val="15"/>
                <w:color w:val="auto"/>
              </w:rPr>
              <w:t>525,032</w:t>
            </w:r>
          </w:p>
        </w:tc>
      </w:tr>
      <w:tr>
        <w:trPr>
          <w:trHeight w:val="205"/>
        </w:trPr>
        <w:tc>
          <w:tcPr>
            <w:tcW w:w="5360" w:type="dxa"/>
            <w:vAlign w:val="bottom"/>
          </w:tcPr>
          <w:p>
            <w:pPr>
              <w:ind w:left="20"/>
              <w:spacing w:after="0"/>
              <w:rPr>
                <w:sz w:val="20"/>
                <w:szCs w:val="20"/>
                <w:color w:val="auto"/>
              </w:rPr>
            </w:pPr>
            <w:r>
              <w:rPr>
                <w:rFonts w:ascii="Arial" w:cs="Arial" w:eastAsia="Arial" w:hAnsi="Arial"/>
                <w:sz w:val="15"/>
                <w:szCs w:val="15"/>
                <w:b w:val="1"/>
                <w:bCs w:val="1"/>
                <w:color w:val="auto"/>
              </w:rPr>
              <w:t>Income Before Other Items</w:t>
            </w:r>
          </w:p>
        </w:tc>
        <w:tc>
          <w:tcPr>
            <w:tcW w:w="180" w:type="dxa"/>
            <w:vAlign w:val="bottom"/>
          </w:tcPr>
          <w:p>
            <w:pPr>
              <w:spacing w:after="0"/>
              <w:rPr>
                <w:sz w:val="17"/>
                <w:szCs w:val="17"/>
                <w:color w:val="auto"/>
              </w:rPr>
            </w:pPr>
          </w:p>
        </w:tc>
        <w:tc>
          <w:tcPr>
            <w:tcW w:w="1200" w:type="dxa"/>
            <w:vAlign w:val="bottom"/>
          </w:tcPr>
          <w:p>
            <w:pPr>
              <w:jc w:val="right"/>
              <w:ind w:right="64"/>
              <w:spacing w:after="0"/>
              <w:rPr>
                <w:sz w:val="20"/>
                <w:szCs w:val="20"/>
                <w:color w:val="auto"/>
              </w:rPr>
            </w:pPr>
            <w:r>
              <w:rPr>
                <w:rFonts w:ascii="Arial" w:cs="Arial" w:eastAsia="Arial" w:hAnsi="Arial"/>
                <w:sz w:val="15"/>
                <w:szCs w:val="15"/>
                <w:color w:val="auto"/>
              </w:rPr>
              <w:t>27,551</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jc w:val="right"/>
              <w:ind w:right="64"/>
              <w:spacing w:after="0"/>
              <w:rPr>
                <w:sz w:val="20"/>
                <w:szCs w:val="20"/>
                <w:color w:val="auto"/>
              </w:rPr>
            </w:pPr>
            <w:r>
              <w:rPr>
                <w:rFonts w:ascii="Arial" w:cs="Arial" w:eastAsia="Arial" w:hAnsi="Arial"/>
                <w:sz w:val="15"/>
                <w:szCs w:val="15"/>
                <w:color w:val="auto"/>
              </w:rPr>
              <w:t>40,172</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jc w:val="right"/>
              <w:ind w:right="64"/>
              <w:spacing w:after="0"/>
              <w:rPr>
                <w:sz w:val="20"/>
                <w:szCs w:val="20"/>
                <w:color w:val="auto"/>
              </w:rPr>
            </w:pPr>
            <w:r>
              <w:rPr>
                <w:rFonts w:ascii="Arial" w:cs="Arial" w:eastAsia="Arial" w:hAnsi="Arial"/>
                <w:sz w:val="15"/>
                <w:szCs w:val="15"/>
                <w:color w:val="auto"/>
              </w:rPr>
              <w:t>63,072</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jc w:val="right"/>
              <w:ind w:right="64"/>
              <w:spacing w:after="0"/>
              <w:rPr>
                <w:sz w:val="20"/>
                <w:szCs w:val="20"/>
                <w:color w:val="auto"/>
              </w:rPr>
            </w:pPr>
            <w:r>
              <w:rPr>
                <w:rFonts w:ascii="Arial" w:cs="Arial" w:eastAsia="Arial" w:hAnsi="Arial"/>
                <w:sz w:val="15"/>
                <w:szCs w:val="15"/>
                <w:color w:val="auto"/>
              </w:rPr>
              <w:t>74,743</w:t>
            </w:r>
          </w:p>
        </w:tc>
      </w:tr>
      <w:tr>
        <w:trPr>
          <w:trHeight w:val="220"/>
        </w:trPr>
        <w:tc>
          <w:tcPr>
            <w:tcW w:w="5360" w:type="dxa"/>
            <w:vAlign w:val="bottom"/>
            <w:shd w:val="clear" w:color="auto" w:fill="CCEEFF"/>
          </w:tcPr>
          <w:p>
            <w:pPr>
              <w:ind w:left="220"/>
              <w:spacing w:after="0"/>
              <w:rPr>
                <w:sz w:val="20"/>
                <w:szCs w:val="20"/>
                <w:color w:val="auto"/>
              </w:rPr>
            </w:pPr>
            <w:r>
              <w:rPr>
                <w:rFonts w:ascii="Arial" w:cs="Arial" w:eastAsia="Arial" w:hAnsi="Arial"/>
                <w:sz w:val="15"/>
                <w:szCs w:val="15"/>
                <w:color w:val="auto"/>
              </w:rPr>
              <w:t>Gain / (loss) on remeasurement of marketable securities (see Note 14)</w:t>
            </w: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24,519</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3,620</w:t>
            </w: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(4,128)</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3,887</w:t>
            </w:r>
          </w:p>
        </w:tc>
      </w:tr>
      <w:tr>
        <w:trPr>
          <w:trHeight w:val="212"/>
        </w:trPr>
        <w:tc>
          <w:tcPr>
            <w:tcW w:w="5360" w:type="dxa"/>
            <w:vAlign w:val="bottom"/>
          </w:tcPr>
          <w:p>
            <w:pPr>
              <w:ind w:left="220"/>
              <w:spacing w:after="0"/>
              <w:rPr>
                <w:sz w:val="20"/>
                <w:szCs w:val="20"/>
                <w:color w:val="auto"/>
              </w:rPr>
            </w:pPr>
            <w:r>
              <w:rPr>
                <w:rFonts w:ascii="Arial" w:cs="Arial" w:eastAsia="Arial" w:hAnsi="Arial"/>
                <w:sz w:val="15"/>
                <w:szCs w:val="15"/>
                <w:color w:val="auto"/>
              </w:rPr>
              <w:t>Gain / (loss) on foreign currency translation</w:t>
            </w:r>
          </w:p>
        </w:tc>
        <w:tc>
          <w:tcPr>
            <w:tcW w:w="180" w:type="dxa"/>
            <w:vAlign w:val="bottom"/>
          </w:tcPr>
          <w:p>
            <w:pPr>
              <w:spacing w:after="0"/>
              <w:rPr>
                <w:sz w:val="18"/>
                <w:szCs w:val="18"/>
                <w:color w:val="auto"/>
              </w:rPr>
            </w:pPr>
          </w:p>
        </w:tc>
        <w:tc>
          <w:tcPr>
            <w:tcW w:w="1200" w:type="dxa"/>
            <w:vAlign w:val="bottom"/>
          </w:tcPr>
          <w:p>
            <w:pPr>
              <w:jc w:val="right"/>
              <w:ind w:right="64"/>
              <w:spacing w:after="0"/>
              <w:rPr>
                <w:sz w:val="20"/>
                <w:szCs w:val="20"/>
                <w:color w:val="auto"/>
              </w:rPr>
            </w:pPr>
            <w:r>
              <w:rPr>
                <w:rFonts w:ascii="Arial" w:cs="Arial" w:eastAsia="Arial" w:hAnsi="Arial"/>
                <w:sz w:val="15"/>
                <w:szCs w:val="15"/>
                <w:color w:val="auto"/>
              </w:rPr>
              <w:t>10,374</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right"/>
              <w:ind w:right="64"/>
              <w:spacing w:after="0"/>
              <w:rPr>
                <w:sz w:val="20"/>
                <w:szCs w:val="20"/>
                <w:color w:val="auto"/>
              </w:rPr>
            </w:pPr>
            <w:r>
              <w:rPr>
                <w:rFonts w:ascii="Arial" w:cs="Arial" w:eastAsia="Arial" w:hAnsi="Arial"/>
                <w:sz w:val="15"/>
                <w:szCs w:val="15"/>
                <w:color w:val="auto"/>
              </w:rPr>
              <w:t>1,116</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right"/>
              <w:ind w:right="24"/>
              <w:spacing w:after="0"/>
              <w:rPr>
                <w:sz w:val="20"/>
                <w:szCs w:val="20"/>
                <w:color w:val="auto"/>
              </w:rPr>
            </w:pPr>
            <w:r>
              <w:rPr>
                <w:rFonts w:ascii="Arial" w:cs="Arial" w:eastAsia="Arial" w:hAnsi="Arial"/>
                <w:sz w:val="15"/>
                <w:szCs w:val="15"/>
                <w:color w:val="auto"/>
              </w:rPr>
              <w:t>(7,105)</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right"/>
              <w:ind w:right="64"/>
              <w:spacing w:after="0"/>
              <w:rPr>
                <w:sz w:val="20"/>
                <w:szCs w:val="20"/>
                <w:color w:val="auto"/>
              </w:rPr>
            </w:pPr>
            <w:r>
              <w:rPr>
                <w:rFonts w:ascii="Arial" w:cs="Arial" w:eastAsia="Arial" w:hAnsi="Arial"/>
                <w:sz w:val="15"/>
                <w:szCs w:val="15"/>
                <w:color w:val="auto"/>
              </w:rPr>
              <w:t>3,081</w:t>
            </w:r>
          </w:p>
        </w:tc>
      </w:tr>
      <w:tr>
        <w:trPr>
          <w:trHeight w:val="220"/>
        </w:trPr>
        <w:tc>
          <w:tcPr>
            <w:tcW w:w="5360" w:type="dxa"/>
            <w:vAlign w:val="bottom"/>
            <w:shd w:val="clear" w:color="auto" w:fill="CCEEFF"/>
          </w:tcPr>
          <w:p>
            <w:pPr>
              <w:ind w:left="220"/>
              <w:spacing w:after="0"/>
              <w:rPr>
                <w:sz w:val="20"/>
                <w:szCs w:val="20"/>
                <w:color w:val="auto"/>
              </w:rPr>
            </w:pPr>
            <w:r>
              <w:rPr>
                <w:rFonts w:ascii="Arial" w:cs="Arial" w:eastAsia="Arial" w:hAnsi="Arial"/>
                <w:sz w:val="15"/>
                <w:szCs w:val="15"/>
                <w:color w:val="auto"/>
              </w:rPr>
              <w:t>Other expense, net</w:t>
            </w: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(552)</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(95)</w:t>
            </w: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(854)</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(162)</w:t>
            </w:r>
          </w:p>
        </w:tc>
      </w:tr>
      <w:tr>
        <w:trPr>
          <w:trHeight w:val="212"/>
        </w:trPr>
        <w:tc>
          <w:tcPr>
            <w:tcW w:w="5360" w:type="dxa"/>
            <w:vAlign w:val="bottom"/>
          </w:tcPr>
          <w:p>
            <w:pPr>
              <w:ind w:left="220"/>
              <w:spacing w:after="0"/>
              <w:rPr>
                <w:sz w:val="20"/>
                <w:szCs w:val="20"/>
                <w:color w:val="auto"/>
              </w:rPr>
            </w:pPr>
            <w:r>
              <w:rPr>
                <w:rFonts w:ascii="Arial" w:cs="Arial" w:eastAsia="Arial" w:hAnsi="Arial"/>
                <w:sz w:val="15"/>
                <w:szCs w:val="15"/>
                <w:color w:val="auto"/>
              </w:rPr>
              <w:t>Gain / (loss) on remeasurement of notes receivable (see Note 4)</w:t>
            </w:r>
          </w:p>
        </w:tc>
        <w:tc>
          <w:tcPr>
            <w:tcW w:w="180" w:type="dxa"/>
            <w:vAlign w:val="bottom"/>
          </w:tcPr>
          <w:p>
            <w:pPr>
              <w:spacing w:after="0"/>
              <w:rPr>
                <w:sz w:val="18"/>
                <w:szCs w:val="18"/>
                <w:color w:val="auto"/>
              </w:rPr>
            </w:pPr>
          </w:p>
        </w:tc>
        <w:tc>
          <w:tcPr>
            <w:tcW w:w="1200" w:type="dxa"/>
            <w:vAlign w:val="bottom"/>
          </w:tcPr>
          <w:p>
            <w:pPr>
              <w:jc w:val="right"/>
              <w:ind w:right="64"/>
              <w:spacing w:after="0"/>
              <w:rPr>
                <w:sz w:val="20"/>
                <w:szCs w:val="20"/>
                <w:color w:val="auto"/>
              </w:rPr>
            </w:pPr>
            <w:r>
              <w:rPr>
                <w:rFonts w:ascii="Arial" w:cs="Arial" w:eastAsia="Arial" w:hAnsi="Arial"/>
                <w:sz w:val="15"/>
                <w:szCs w:val="15"/>
                <w:color w:val="auto"/>
              </w:rPr>
              <w:t>246</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right"/>
              <w:ind w:right="34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8"/>
                <w:szCs w:val="18"/>
                <w:color w:val="auto"/>
              </w:rPr>
            </w:pPr>
          </w:p>
        </w:tc>
        <w:tc>
          <w:tcPr>
            <w:tcW w:w="1200" w:type="dxa"/>
            <w:vAlign w:val="bottom"/>
          </w:tcPr>
          <w:p>
            <w:pPr>
              <w:jc w:val="right"/>
              <w:ind w:right="24"/>
              <w:spacing w:after="0"/>
              <w:rPr>
                <w:sz w:val="20"/>
                <w:szCs w:val="20"/>
                <w:color w:val="auto"/>
              </w:rPr>
            </w:pPr>
            <w:r>
              <w:rPr>
                <w:rFonts w:ascii="Arial" w:cs="Arial" w:eastAsia="Arial" w:hAnsi="Arial"/>
                <w:sz w:val="15"/>
                <w:szCs w:val="15"/>
                <w:color w:val="auto"/>
              </w:rPr>
              <w:t>(1,866)</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right"/>
              <w:ind w:right="64"/>
              <w:spacing w:after="0"/>
              <w:rPr>
                <w:sz w:val="20"/>
                <w:szCs w:val="20"/>
                <w:color w:val="auto"/>
              </w:rPr>
            </w:pPr>
            <w:r>
              <w:rPr>
                <w:rFonts w:ascii="Arial" w:cs="Arial" w:eastAsia="Arial" w:hAnsi="Arial"/>
                <w:sz w:val="15"/>
                <w:szCs w:val="15"/>
                <w:color w:val="auto"/>
              </w:rPr>
              <w:t>—</w:t>
            </w:r>
          </w:p>
        </w:tc>
      </w:tr>
      <w:tr>
        <w:trPr>
          <w:trHeight w:val="220"/>
        </w:trPr>
        <w:tc>
          <w:tcPr>
            <w:tcW w:w="5360" w:type="dxa"/>
            <w:vAlign w:val="bottom"/>
            <w:shd w:val="clear" w:color="auto" w:fill="CCEEFF"/>
          </w:tcPr>
          <w:p>
            <w:pPr>
              <w:ind w:left="220"/>
              <w:spacing w:after="0"/>
              <w:rPr>
                <w:sz w:val="20"/>
                <w:szCs w:val="20"/>
                <w:color w:val="auto"/>
              </w:rPr>
            </w:pPr>
            <w:r>
              <w:rPr>
                <w:rFonts w:ascii="Arial" w:cs="Arial" w:eastAsia="Arial" w:hAnsi="Arial"/>
                <w:sz w:val="15"/>
                <w:szCs w:val="15"/>
                <w:color w:val="auto"/>
              </w:rPr>
              <w:t>Income from nonconsolidated affiliates (see Note 6)</w:t>
            </w: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92</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479</w:t>
            </w: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144</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867</w:t>
            </w:r>
          </w:p>
        </w:tc>
      </w:tr>
      <w:tr>
        <w:trPr>
          <w:trHeight w:val="176"/>
        </w:trPr>
        <w:tc>
          <w:tcPr>
            <w:tcW w:w="5360" w:type="dxa"/>
            <w:vAlign w:val="bottom"/>
          </w:tcPr>
          <w:p>
            <w:pPr>
              <w:ind w:left="220"/>
              <w:spacing w:after="0"/>
              <w:rPr>
                <w:sz w:val="20"/>
                <w:szCs w:val="20"/>
                <w:color w:val="auto"/>
              </w:rPr>
            </w:pPr>
            <w:r>
              <w:rPr>
                <w:rFonts w:ascii="Arial" w:cs="Arial" w:eastAsia="Arial" w:hAnsi="Arial"/>
                <w:sz w:val="15"/>
                <w:szCs w:val="15"/>
                <w:color w:val="auto"/>
                <w:w w:val="97"/>
              </w:rPr>
              <w:t>Gain / (loss) on remeasurement of investment in nonconsolidated affiliates (see</w:t>
            </w:r>
          </w:p>
        </w:tc>
        <w:tc>
          <w:tcPr>
            <w:tcW w:w="1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198"/>
        </w:trPr>
        <w:tc>
          <w:tcPr>
            <w:tcW w:w="5360" w:type="dxa"/>
            <w:vAlign w:val="bottom"/>
          </w:tcPr>
          <w:p>
            <w:pPr>
              <w:ind w:left="220"/>
              <w:spacing w:after="0"/>
              <w:rPr>
                <w:sz w:val="20"/>
                <w:szCs w:val="20"/>
                <w:color w:val="auto"/>
              </w:rPr>
            </w:pPr>
            <w:r>
              <w:rPr>
                <w:rFonts w:ascii="Arial" w:cs="Arial" w:eastAsia="Arial" w:hAnsi="Arial"/>
                <w:sz w:val="15"/>
                <w:szCs w:val="15"/>
                <w:color w:val="auto"/>
              </w:rPr>
              <w:t>Note 6)</w:t>
            </w:r>
          </w:p>
        </w:tc>
        <w:tc>
          <w:tcPr>
            <w:tcW w:w="180" w:type="dxa"/>
            <w:vAlign w:val="bottom"/>
          </w:tcPr>
          <w:p>
            <w:pPr>
              <w:spacing w:after="0"/>
              <w:rPr>
                <w:sz w:val="17"/>
                <w:szCs w:val="17"/>
                <w:color w:val="auto"/>
              </w:rPr>
            </w:pPr>
          </w:p>
        </w:tc>
        <w:tc>
          <w:tcPr>
            <w:tcW w:w="1200" w:type="dxa"/>
            <w:vAlign w:val="bottom"/>
          </w:tcPr>
          <w:p>
            <w:pPr>
              <w:jc w:val="right"/>
              <w:ind w:right="64"/>
              <w:spacing w:after="0"/>
              <w:rPr>
                <w:sz w:val="20"/>
                <w:szCs w:val="20"/>
                <w:color w:val="auto"/>
              </w:rPr>
            </w:pPr>
            <w:r>
              <w:rPr>
                <w:rFonts w:ascii="Arial" w:cs="Arial" w:eastAsia="Arial" w:hAnsi="Arial"/>
                <w:sz w:val="15"/>
                <w:szCs w:val="15"/>
                <w:color w:val="auto"/>
              </w:rPr>
              <w:t>1,132</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gridSpan w:val="2"/>
          </w:tcPr>
          <w:p>
            <w:pPr>
              <w:jc w:val="right"/>
              <w:ind w:right="34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7"/>
                <w:szCs w:val="17"/>
                <w:color w:val="auto"/>
              </w:rPr>
            </w:pPr>
          </w:p>
        </w:tc>
        <w:tc>
          <w:tcPr>
            <w:tcW w:w="1200" w:type="dxa"/>
            <w:vAlign w:val="bottom"/>
          </w:tcPr>
          <w:p>
            <w:pPr>
              <w:jc w:val="right"/>
              <w:ind w:right="24"/>
              <w:spacing w:after="0"/>
              <w:rPr>
                <w:sz w:val="20"/>
                <w:szCs w:val="20"/>
                <w:color w:val="auto"/>
              </w:rPr>
            </w:pPr>
            <w:r>
              <w:rPr>
                <w:rFonts w:ascii="Arial" w:cs="Arial" w:eastAsia="Arial" w:hAnsi="Arial"/>
                <w:sz w:val="15"/>
                <w:szCs w:val="15"/>
                <w:color w:val="auto"/>
              </w:rPr>
              <w:t>(1,059)</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jc w:val="right"/>
              <w:ind w:right="64"/>
              <w:spacing w:after="0"/>
              <w:rPr>
                <w:sz w:val="20"/>
                <w:szCs w:val="20"/>
                <w:color w:val="auto"/>
              </w:rPr>
            </w:pPr>
            <w:r>
              <w:rPr>
                <w:rFonts w:ascii="Arial" w:cs="Arial" w:eastAsia="Arial" w:hAnsi="Arial"/>
                <w:sz w:val="15"/>
                <w:szCs w:val="15"/>
                <w:color w:val="auto"/>
              </w:rPr>
              <w:t>—</w:t>
            </w:r>
          </w:p>
        </w:tc>
      </w:tr>
      <w:tr>
        <w:trPr>
          <w:trHeight w:val="220"/>
        </w:trPr>
        <w:tc>
          <w:tcPr>
            <w:tcW w:w="5360" w:type="dxa"/>
            <w:vAlign w:val="bottom"/>
            <w:shd w:val="clear" w:color="auto" w:fill="CCEEFF"/>
          </w:tcPr>
          <w:p>
            <w:pPr>
              <w:ind w:left="220"/>
              <w:spacing w:after="0"/>
              <w:rPr>
                <w:sz w:val="20"/>
                <w:szCs w:val="20"/>
                <w:color w:val="auto"/>
              </w:rPr>
            </w:pPr>
            <w:r>
              <w:rPr>
                <w:rFonts w:ascii="Arial" w:cs="Arial" w:eastAsia="Arial" w:hAnsi="Arial"/>
                <w:sz w:val="15"/>
                <w:szCs w:val="15"/>
                <w:color w:val="auto"/>
              </w:rPr>
              <w:t>Current tax expense (see Note 12)</w:t>
            </w: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(119)</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(272)</w:t>
            </w: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(569)</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(486)</w:t>
            </w:r>
          </w:p>
        </w:tc>
      </w:tr>
      <w:tr>
        <w:trPr>
          <w:trHeight w:val="212"/>
        </w:trPr>
        <w:tc>
          <w:tcPr>
            <w:tcW w:w="5360" w:type="dxa"/>
            <w:vAlign w:val="bottom"/>
            <w:tcBorders>
              <w:bottom w:val="single" w:sz="8" w:color="CCEEFF"/>
            </w:tcBorders>
          </w:tcPr>
          <w:p>
            <w:pPr>
              <w:ind w:left="220"/>
              <w:spacing w:after="0"/>
              <w:rPr>
                <w:sz w:val="20"/>
                <w:szCs w:val="20"/>
                <w:color w:val="auto"/>
              </w:rPr>
            </w:pPr>
            <w:r>
              <w:rPr>
                <w:rFonts w:ascii="Arial" w:cs="Arial" w:eastAsia="Arial" w:hAnsi="Arial"/>
                <w:sz w:val="15"/>
                <w:szCs w:val="15"/>
                <w:color w:val="auto"/>
              </w:rPr>
              <w:t>Deferred tax benefit (see Note 12)</w:t>
            </w:r>
          </w:p>
        </w:tc>
        <w:tc>
          <w:tcPr>
            <w:tcW w:w="1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color w:val="auto"/>
              </w:rPr>
              <w:t>112</w:t>
            </w: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color w:val="auto"/>
              </w:rPr>
              <w:t>96</w:t>
            </w:r>
          </w:p>
        </w:tc>
        <w:tc>
          <w:tcPr>
            <w:tcW w:w="2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color w:val="auto"/>
              </w:rPr>
              <w:t>242</w:t>
            </w: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color w:val="auto"/>
              </w:rPr>
              <w:t>313</w:t>
            </w:r>
          </w:p>
        </w:tc>
      </w:tr>
      <w:tr>
        <w:trPr>
          <w:trHeight w:val="214"/>
        </w:trPr>
        <w:tc>
          <w:tcPr>
            <w:tcW w:w="536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Net Income</w:t>
            </w: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63,355</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45,116</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47,877</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82,243</w:t>
            </w:r>
          </w:p>
        </w:tc>
      </w:tr>
      <w:tr>
        <w:trPr>
          <w:trHeight w:val="212"/>
        </w:trPr>
        <w:tc>
          <w:tcPr>
            <w:tcW w:w="5360" w:type="dxa"/>
            <w:vAlign w:val="bottom"/>
          </w:tcPr>
          <w:p>
            <w:pPr>
              <w:ind w:left="220"/>
              <w:spacing w:after="0"/>
              <w:rPr>
                <w:sz w:val="20"/>
                <w:szCs w:val="20"/>
                <w:color w:val="auto"/>
              </w:rPr>
            </w:pPr>
            <w:r>
              <w:rPr>
                <w:rFonts w:ascii="Arial" w:cs="Arial" w:eastAsia="Arial" w:hAnsi="Arial"/>
                <w:sz w:val="15"/>
                <w:szCs w:val="15"/>
                <w:color w:val="auto"/>
              </w:rPr>
              <w:t>Less: Preferred return to preferred OP units / equity</w:t>
            </w:r>
          </w:p>
        </w:tc>
        <w:tc>
          <w:tcPr>
            <w:tcW w:w="180" w:type="dxa"/>
            <w:vAlign w:val="bottom"/>
          </w:tcPr>
          <w:p>
            <w:pPr>
              <w:spacing w:after="0"/>
              <w:rPr>
                <w:sz w:val="18"/>
                <w:szCs w:val="18"/>
                <w:color w:val="auto"/>
              </w:rPr>
            </w:pPr>
          </w:p>
        </w:tc>
        <w:tc>
          <w:tcPr>
            <w:tcW w:w="1200" w:type="dxa"/>
            <w:vAlign w:val="bottom"/>
          </w:tcPr>
          <w:p>
            <w:pPr>
              <w:jc w:val="right"/>
              <w:ind w:right="64"/>
              <w:spacing w:after="0"/>
              <w:rPr>
                <w:sz w:val="20"/>
                <w:szCs w:val="20"/>
                <w:color w:val="auto"/>
              </w:rPr>
            </w:pPr>
            <w:r>
              <w:rPr>
                <w:rFonts w:ascii="Arial" w:cs="Arial" w:eastAsia="Arial" w:hAnsi="Arial"/>
                <w:sz w:val="15"/>
                <w:szCs w:val="15"/>
                <w:color w:val="auto"/>
              </w:rPr>
              <w:t>1,584</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right"/>
              <w:ind w:right="64"/>
              <w:spacing w:after="0"/>
              <w:rPr>
                <w:sz w:val="20"/>
                <w:szCs w:val="20"/>
                <w:color w:val="auto"/>
              </w:rPr>
            </w:pPr>
            <w:r>
              <w:rPr>
                <w:rFonts w:ascii="Arial" w:cs="Arial" w:eastAsia="Arial" w:hAnsi="Arial"/>
                <w:sz w:val="15"/>
                <w:szCs w:val="15"/>
                <w:color w:val="auto"/>
              </w:rPr>
              <w:t>1,718</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right"/>
              <w:ind w:right="64"/>
              <w:spacing w:after="0"/>
              <w:rPr>
                <w:sz w:val="20"/>
                <w:szCs w:val="20"/>
                <w:color w:val="auto"/>
              </w:rPr>
            </w:pPr>
            <w:r>
              <w:rPr>
                <w:rFonts w:ascii="Arial" w:cs="Arial" w:eastAsia="Arial" w:hAnsi="Arial"/>
                <w:sz w:val="15"/>
                <w:szCs w:val="15"/>
                <w:color w:val="auto"/>
              </w:rPr>
              <w:t>3,154</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right"/>
              <w:ind w:right="64"/>
              <w:spacing w:after="0"/>
              <w:rPr>
                <w:sz w:val="20"/>
                <w:szCs w:val="20"/>
                <w:color w:val="auto"/>
              </w:rPr>
            </w:pPr>
            <w:r>
              <w:rPr>
                <w:rFonts w:ascii="Arial" w:cs="Arial" w:eastAsia="Arial" w:hAnsi="Arial"/>
                <w:sz w:val="15"/>
                <w:szCs w:val="15"/>
                <w:color w:val="auto"/>
              </w:rPr>
              <w:t>3,041</w:t>
            </w:r>
          </w:p>
        </w:tc>
      </w:tr>
      <w:tr>
        <w:trPr>
          <w:trHeight w:val="220"/>
        </w:trPr>
        <w:tc>
          <w:tcPr>
            <w:tcW w:w="5360" w:type="dxa"/>
            <w:vAlign w:val="bottom"/>
            <w:shd w:val="clear" w:color="auto" w:fill="CCEEFF"/>
          </w:tcPr>
          <w:p>
            <w:pPr>
              <w:ind w:left="220"/>
              <w:spacing w:after="0"/>
              <w:rPr>
                <w:sz w:val="20"/>
                <w:szCs w:val="20"/>
                <w:color w:val="auto"/>
              </w:rPr>
            </w:pPr>
            <w:r>
              <w:rPr>
                <w:rFonts w:ascii="Arial" w:cs="Arial" w:eastAsia="Arial" w:hAnsi="Arial"/>
                <w:sz w:val="15"/>
                <w:szCs w:val="15"/>
                <w:color w:val="auto"/>
              </w:rPr>
              <w:t>Less: Income attributable to noncontrolling interests</w:t>
            </w:r>
          </w:p>
        </w:tc>
        <w:tc>
          <w:tcPr>
            <w:tcW w:w="1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64"/>
              <w:spacing w:after="0"/>
              <w:rPr>
                <w:sz w:val="20"/>
                <w:szCs w:val="20"/>
                <w:color w:val="auto"/>
              </w:rPr>
            </w:pPr>
            <w:r>
              <w:rPr>
                <w:rFonts w:ascii="Arial" w:cs="Arial" w:eastAsia="Arial" w:hAnsi="Arial"/>
                <w:sz w:val="15"/>
                <w:szCs w:val="15"/>
                <w:color w:val="auto"/>
              </w:rPr>
              <w:t>2,861</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64"/>
              <w:spacing w:after="0"/>
              <w:rPr>
                <w:sz w:val="20"/>
                <w:szCs w:val="20"/>
                <w:color w:val="auto"/>
              </w:rPr>
            </w:pPr>
            <w:r>
              <w:rPr>
                <w:rFonts w:ascii="Arial" w:cs="Arial" w:eastAsia="Arial" w:hAnsi="Arial"/>
                <w:sz w:val="15"/>
                <w:szCs w:val="15"/>
                <w:color w:val="auto"/>
              </w:rPr>
              <w:t>2,585</w:t>
            </w:r>
          </w:p>
        </w:tc>
        <w:tc>
          <w:tcPr>
            <w:tcW w:w="2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64"/>
              <w:spacing w:after="0"/>
              <w:rPr>
                <w:sz w:val="20"/>
                <w:szCs w:val="20"/>
                <w:color w:val="auto"/>
              </w:rPr>
            </w:pPr>
            <w:r>
              <w:rPr>
                <w:rFonts w:ascii="Arial" w:cs="Arial" w:eastAsia="Arial" w:hAnsi="Arial"/>
                <w:sz w:val="15"/>
                <w:szCs w:val="15"/>
                <w:color w:val="auto"/>
              </w:rPr>
              <w:t>1,899</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64"/>
              <w:spacing w:after="0"/>
              <w:rPr>
                <w:sz w:val="20"/>
                <w:szCs w:val="20"/>
                <w:color w:val="auto"/>
              </w:rPr>
            </w:pPr>
            <w:r>
              <w:rPr>
                <w:rFonts w:ascii="Arial" w:cs="Arial" w:eastAsia="Arial" w:hAnsi="Arial"/>
                <w:sz w:val="15"/>
                <w:szCs w:val="15"/>
                <w:color w:val="auto"/>
              </w:rPr>
              <w:t>3,626</w:t>
            </w:r>
          </w:p>
        </w:tc>
      </w:tr>
      <w:tr>
        <w:trPr>
          <w:trHeight w:val="205"/>
        </w:trPr>
        <w:tc>
          <w:tcPr>
            <w:tcW w:w="5360" w:type="dxa"/>
            <w:vAlign w:val="bottom"/>
          </w:tcPr>
          <w:p>
            <w:pPr>
              <w:ind w:left="20"/>
              <w:spacing w:after="0"/>
              <w:rPr>
                <w:sz w:val="20"/>
                <w:szCs w:val="20"/>
                <w:color w:val="auto"/>
              </w:rPr>
            </w:pPr>
            <w:r>
              <w:rPr>
                <w:rFonts w:ascii="Arial" w:cs="Arial" w:eastAsia="Arial" w:hAnsi="Arial"/>
                <w:sz w:val="15"/>
                <w:szCs w:val="15"/>
                <w:b w:val="1"/>
                <w:bCs w:val="1"/>
                <w:color w:val="auto"/>
              </w:rPr>
              <w:t>Net Income Attributable to Sun Communities, Inc.</w:t>
            </w:r>
          </w:p>
        </w:tc>
        <w:tc>
          <w:tcPr>
            <w:tcW w:w="180" w:type="dxa"/>
            <w:vAlign w:val="bottom"/>
          </w:tcPr>
          <w:p>
            <w:pPr>
              <w:spacing w:after="0"/>
              <w:rPr>
                <w:sz w:val="17"/>
                <w:szCs w:val="17"/>
                <w:color w:val="auto"/>
              </w:rPr>
            </w:pPr>
          </w:p>
        </w:tc>
        <w:tc>
          <w:tcPr>
            <w:tcW w:w="1200" w:type="dxa"/>
            <w:vAlign w:val="bottom"/>
          </w:tcPr>
          <w:p>
            <w:pPr>
              <w:jc w:val="right"/>
              <w:ind w:right="64"/>
              <w:spacing w:after="0"/>
              <w:rPr>
                <w:sz w:val="20"/>
                <w:szCs w:val="20"/>
                <w:color w:val="auto"/>
              </w:rPr>
            </w:pPr>
            <w:r>
              <w:rPr>
                <w:rFonts w:ascii="Arial" w:cs="Arial" w:eastAsia="Arial" w:hAnsi="Arial"/>
                <w:sz w:val="15"/>
                <w:szCs w:val="15"/>
                <w:color w:val="auto"/>
              </w:rPr>
              <w:t>58,910</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jc w:val="right"/>
              <w:ind w:right="64"/>
              <w:spacing w:after="0"/>
              <w:rPr>
                <w:sz w:val="20"/>
                <w:szCs w:val="20"/>
                <w:color w:val="auto"/>
              </w:rPr>
            </w:pPr>
            <w:r>
              <w:rPr>
                <w:rFonts w:ascii="Arial" w:cs="Arial" w:eastAsia="Arial" w:hAnsi="Arial"/>
                <w:sz w:val="15"/>
                <w:szCs w:val="15"/>
                <w:color w:val="auto"/>
              </w:rPr>
              <w:t>40,813</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jc w:val="right"/>
              <w:ind w:right="64"/>
              <w:spacing w:after="0"/>
              <w:rPr>
                <w:sz w:val="20"/>
                <w:szCs w:val="20"/>
                <w:color w:val="auto"/>
              </w:rPr>
            </w:pPr>
            <w:r>
              <w:rPr>
                <w:rFonts w:ascii="Arial" w:cs="Arial" w:eastAsia="Arial" w:hAnsi="Arial"/>
                <w:sz w:val="15"/>
                <w:szCs w:val="15"/>
                <w:color w:val="auto"/>
              </w:rPr>
              <w:t>42,824</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jc w:val="right"/>
              <w:ind w:right="64"/>
              <w:spacing w:after="0"/>
              <w:rPr>
                <w:sz w:val="20"/>
                <w:szCs w:val="20"/>
                <w:color w:val="auto"/>
              </w:rPr>
            </w:pPr>
            <w:r>
              <w:rPr>
                <w:rFonts w:ascii="Arial" w:cs="Arial" w:eastAsia="Arial" w:hAnsi="Arial"/>
                <w:sz w:val="15"/>
                <w:szCs w:val="15"/>
                <w:color w:val="auto"/>
              </w:rPr>
              <w:t>75,576</w:t>
            </w:r>
          </w:p>
        </w:tc>
      </w:tr>
      <w:tr>
        <w:trPr>
          <w:trHeight w:val="216"/>
        </w:trPr>
        <w:tc>
          <w:tcPr>
            <w:tcW w:w="5360" w:type="dxa"/>
            <w:vAlign w:val="bottom"/>
            <w:shd w:val="clear" w:color="auto" w:fill="CCEEFF"/>
          </w:tcPr>
          <w:p>
            <w:pPr>
              <w:ind w:left="220"/>
              <w:spacing w:after="0"/>
              <w:rPr>
                <w:sz w:val="20"/>
                <w:szCs w:val="20"/>
                <w:color w:val="auto"/>
              </w:rPr>
            </w:pPr>
            <w:r>
              <w:rPr>
                <w:rFonts w:ascii="Arial" w:cs="Arial" w:eastAsia="Arial" w:hAnsi="Arial"/>
                <w:sz w:val="15"/>
                <w:szCs w:val="15"/>
                <w:color w:val="auto"/>
              </w:rPr>
              <w:t>Less: Preferred stock distribution</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428</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860</w:t>
            </w:r>
          </w:p>
        </w:tc>
      </w:tr>
      <w:tr>
        <w:trPr>
          <w:trHeight w:val="213"/>
        </w:trPr>
        <w:tc>
          <w:tcPr>
            <w:tcW w:w="5360" w:type="dxa"/>
            <w:vAlign w:val="bottom"/>
          </w:tcPr>
          <w:p>
            <w:pPr>
              <w:ind w:left="20"/>
              <w:spacing w:after="0"/>
              <w:rPr>
                <w:sz w:val="20"/>
                <w:szCs w:val="20"/>
                <w:color w:val="auto"/>
              </w:rPr>
            </w:pPr>
            <w:r>
              <w:rPr>
                <w:rFonts w:ascii="Arial" w:cs="Arial" w:eastAsia="Arial" w:hAnsi="Arial"/>
                <w:sz w:val="15"/>
                <w:szCs w:val="15"/>
                <w:b w:val="1"/>
                <w:bCs w:val="1"/>
                <w:color w:val="auto"/>
              </w:rPr>
              <w:t>Net Income Attributable to Sun Communities, Inc. Common Stockholders</w:t>
            </w:r>
          </w:p>
        </w:tc>
        <w:tc>
          <w:tcPr>
            <w:tcW w:w="180" w:type="dxa"/>
            <w:vAlign w:val="bottom"/>
            <w:tcBorders>
              <w:top w:val="single" w:sz="8" w:color="auto"/>
              <w:bottom w:val="single" w:sz="8" w:color="auto"/>
            </w:tcBorders>
          </w:tcPr>
          <w:p>
            <w:pPr>
              <w:jc w:val="right"/>
              <w:ind w:right="4"/>
              <w:spacing w:after="0"/>
              <w:rPr>
                <w:sz w:val="20"/>
                <w:szCs w:val="20"/>
                <w:color w:val="auto"/>
              </w:rPr>
            </w:pPr>
            <w:r>
              <w:rPr>
                <w:rFonts w:ascii="Arial" w:cs="Arial" w:eastAsia="Arial" w:hAnsi="Arial"/>
                <w:sz w:val="15"/>
                <w:szCs w:val="15"/>
                <w:color w:val="auto"/>
                <w:w w:val="95"/>
              </w:rPr>
              <w:t>$</w:t>
            </w:r>
          </w:p>
        </w:tc>
        <w:tc>
          <w:tcPr>
            <w:tcW w:w="1200" w:type="dxa"/>
            <w:vAlign w:val="bottom"/>
            <w:tcBorders>
              <w:top w:val="single" w:sz="8" w:color="auto"/>
              <w:bottom w:val="single" w:sz="8" w:color="auto"/>
            </w:tcBorders>
          </w:tcPr>
          <w:p>
            <w:pPr>
              <w:jc w:val="right"/>
              <w:ind w:right="64"/>
              <w:spacing w:after="0"/>
              <w:rPr>
                <w:sz w:val="20"/>
                <w:szCs w:val="20"/>
                <w:color w:val="auto"/>
              </w:rPr>
            </w:pPr>
            <w:r>
              <w:rPr>
                <w:rFonts w:ascii="Arial" w:cs="Arial" w:eastAsia="Arial" w:hAnsi="Arial"/>
                <w:sz w:val="15"/>
                <w:szCs w:val="15"/>
                <w:color w:val="auto"/>
              </w:rPr>
              <w:t>58,910</w:t>
            </w:r>
          </w:p>
        </w:tc>
        <w:tc>
          <w:tcPr>
            <w:tcW w:w="8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4"/>
              <w:spacing w:after="0"/>
              <w:rPr>
                <w:sz w:val="20"/>
                <w:szCs w:val="20"/>
                <w:color w:val="auto"/>
              </w:rPr>
            </w:pPr>
            <w:r>
              <w:rPr>
                <w:rFonts w:ascii="Arial" w:cs="Arial" w:eastAsia="Arial" w:hAnsi="Arial"/>
                <w:sz w:val="15"/>
                <w:szCs w:val="15"/>
                <w:color w:val="auto"/>
                <w:w w:val="95"/>
              </w:rPr>
              <w:t>$</w:t>
            </w:r>
          </w:p>
        </w:tc>
        <w:tc>
          <w:tcPr>
            <w:tcW w:w="1200" w:type="dxa"/>
            <w:vAlign w:val="bottom"/>
            <w:tcBorders>
              <w:top w:val="single" w:sz="8" w:color="auto"/>
              <w:bottom w:val="single" w:sz="8" w:color="auto"/>
            </w:tcBorders>
          </w:tcPr>
          <w:p>
            <w:pPr>
              <w:jc w:val="right"/>
              <w:ind w:right="64"/>
              <w:spacing w:after="0"/>
              <w:rPr>
                <w:sz w:val="20"/>
                <w:szCs w:val="20"/>
                <w:color w:val="auto"/>
              </w:rPr>
            </w:pPr>
            <w:r>
              <w:rPr>
                <w:rFonts w:ascii="Arial" w:cs="Arial" w:eastAsia="Arial" w:hAnsi="Arial"/>
                <w:sz w:val="15"/>
                <w:szCs w:val="15"/>
                <w:color w:val="auto"/>
              </w:rPr>
              <w:t>40,385</w:t>
            </w:r>
          </w:p>
        </w:tc>
        <w:tc>
          <w:tcPr>
            <w:tcW w:w="2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4"/>
              <w:spacing w:after="0"/>
              <w:rPr>
                <w:sz w:val="20"/>
                <w:szCs w:val="20"/>
                <w:color w:val="auto"/>
              </w:rPr>
            </w:pPr>
            <w:r>
              <w:rPr>
                <w:rFonts w:ascii="Arial" w:cs="Arial" w:eastAsia="Arial" w:hAnsi="Arial"/>
                <w:sz w:val="15"/>
                <w:szCs w:val="15"/>
                <w:color w:val="auto"/>
                <w:w w:val="95"/>
              </w:rPr>
              <w:t>$</w:t>
            </w:r>
          </w:p>
        </w:tc>
        <w:tc>
          <w:tcPr>
            <w:tcW w:w="1200" w:type="dxa"/>
            <w:vAlign w:val="bottom"/>
            <w:tcBorders>
              <w:top w:val="single" w:sz="8" w:color="auto"/>
              <w:bottom w:val="single" w:sz="8" w:color="auto"/>
            </w:tcBorders>
          </w:tcPr>
          <w:p>
            <w:pPr>
              <w:jc w:val="right"/>
              <w:ind w:right="64"/>
              <w:spacing w:after="0"/>
              <w:rPr>
                <w:sz w:val="20"/>
                <w:szCs w:val="20"/>
                <w:color w:val="auto"/>
              </w:rPr>
            </w:pPr>
            <w:r>
              <w:rPr>
                <w:rFonts w:ascii="Arial" w:cs="Arial" w:eastAsia="Arial" w:hAnsi="Arial"/>
                <w:sz w:val="15"/>
                <w:szCs w:val="15"/>
                <w:color w:val="auto"/>
              </w:rPr>
              <w:t>42,824</w:t>
            </w:r>
          </w:p>
        </w:tc>
        <w:tc>
          <w:tcPr>
            <w:tcW w:w="8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4"/>
              <w:spacing w:after="0"/>
              <w:rPr>
                <w:sz w:val="20"/>
                <w:szCs w:val="20"/>
                <w:color w:val="auto"/>
              </w:rPr>
            </w:pPr>
            <w:r>
              <w:rPr>
                <w:rFonts w:ascii="Arial" w:cs="Arial" w:eastAsia="Arial" w:hAnsi="Arial"/>
                <w:sz w:val="15"/>
                <w:szCs w:val="15"/>
                <w:color w:val="auto"/>
                <w:w w:val="95"/>
              </w:rPr>
              <w:t>$</w:t>
            </w:r>
          </w:p>
        </w:tc>
        <w:tc>
          <w:tcPr>
            <w:tcW w:w="1200" w:type="dxa"/>
            <w:vAlign w:val="bottom"/>
            <w:tcBorders>
              <w:top w:val="single" w:sz="8" w:color="auto"/>
              <w:bottom w:val="single" w:sz="8" w:color="auto"/>
            </w:tcBorders>
          </w:tcPr>
          <w:p>
            <w:pPr>
              <w:jc w:val="right"/>
              <w:ind w:right="64"/>
              <w:spacing w:after="0"/>
              <w:rPr>
                <w:sz w:val="20"/>
                <w:szCs w:val="20"/>
                <w:color w:val="auto"/>
              </w:rPr>
            </w:pPr>
            <w:r>
              <w:rPr>
                <w:rFonts w:ascii="Arial" w:cs="Arial" w:eastAsia="Arial" w:hAnsi="Arial"/>
                <w:sz w:val="15"/>
                <w:szCs w:val="15"/>
                <w:color w:val="auto"/>
              </w:rPr>
              <w:t>74,716</w:t>
            </w:r>
          </w:p>
        </w:tc>
      </w:tr>
      <w:tr>
        <w:trPr>
          <w:trHeight w:val="20"/>
        </w:trPr>
        <w:tc>
          <w:tcPr>
            <w:tcW w:w="53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129"/>
        </w:trPr>
        <w:tc>
          <w:tcPr>
            <w:tcW w:w="53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r>
      <w:tr>
        <w:trPr>
          <w:trHeight w:val="212"/>
        </w:trPr>
        <w:tc>
          <w:tcPr>
            <w:tcW w:w="5360" w:type="dxa"/>
            <w:vAlign w:val="bottom"/>
          </w:tcPr>
          <w:p>
            <w:pPr>
              <w:ind w:left="20"/>
              <w:spacing w:after="0"/>
              <w:rPr>
                <w:sz w:val="20"/>
                <w:szCs w:val="20"/>
                <w:color w:val="auto"/>
              </w:rPr>
            </w:pPr>
            <w:r>
              <w:rPr>
                <w:rFonts w:ascii="Arial" w:cs="Arial" w:eastAsia="Arial" w:hAnsi="Arial"/>
                <w:sz w:val="15"/>
                <w:szCs w:val="15"/>
                <w:color w:val="auto"/>
              </w:rPr>
              <w:t>Weighted average common shares outstanding - basic</w:t>
            </w:r>
          </w:p>
        </w:tc>
        <w:tc>
          <w:tcPr>
            <w:tcW w:w="180" w:type="dxa"/>
            <w:vAlign w:val="bottom"/>
          </w:tcPr>
          <w:p>
            <w:pPr>
              <w:spacing w:after="0"/>
              <w:rPr>
                <w:sz w:val="18"/>
                <w:szCs w:val="18"/>
                <w:color w:val="auto"/>
              </w:rPr>
            </w:pPr>
          </w:p>
        </w:tc>
        <w:tc>
          <w:tcPr>
            <w:tcW w:w="1200" w:type="dxa"/>
            <w:vAlign w:val="bottom"/>
          </w:tcPr>
          <w:p>
            <w:pPr>
              <w:jc w:val="right"/>
              <w:ind w:right="64"/>
              <w:spacing w:after="0"/>
              <w:rPr>
                <w:sz w:val="20"/>
                <w:szCs w:val="20"/>
                <w:color w:val="auto"/>
              </w:rPr>
            </w:pPr>
            <w:r>
              <w:rPr>
                <w:rFonts w:ascii="Arial" w:cs="Arial" w:eastAsia="Arial" w:hAnsi="Arial"/>
                <w:sz w:val="15"/>
                <w:szCs w:val="15"/>
                <w:color w:val="auto"/>
              </w:rPr>
              <w:t>95,859</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right"/>
              <w:ind w:right="64"/>
              <w:spacing w:after="0"/>
              <w:rPr>
                <w:sz w:val="20"/>
                <w:szCs w:val="20"/>
                <w:color w:val="auto"/>
              </w:rPr>
            </w:pPr>
            <w:r>
              <w:rPr>
                <w:rFonts w:ascii="Arial" w:cs="Arial" w:eastAsia="Arial" w:hAnsi="Arial"/>
                <w:sz w:val="15"/>
                <w:szCs w:val="15"/>
                <w:color w:val="auto"/>
              </w:rPr>
              <w:t>87,130</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right"/>
              <w:ind w:right="64"/>
              <w:spacing w:after="0"/>
              <w:rPr>
                <w:sz w:val="20"/>
                <w:szCs w:val="20"/>
                <w:color w:val="auto"/>
              </w:rPr>
            </w:pPr>
            <w:r>
              <w:rPr>
                <w:rFonts w:ascii="Arial" w:cs="Arial" w:eastAsia="Arial" w:hAnsi="Arial"/>
                <w:sz w:val="15"/>
                <w:szCs w:val="15"/>
                <w:color w:val="auto"/>
              </w:rPr>
              <w:t>94,134</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right"/>
              <w:ind w:right="64"/>
              <w:spacing w:after="0"/>
              <w:rPr>
                <w:sz w:val="20"/>
                <w:szCs w:val="20"/>
                <w:color w:val="auto"/>
              </w:rPr>
            </w:pPr>
            <w:r>
              <w:rPr>
                <w:rFonts w:ascii="Arial" w:cs="Arial" w:eastAsia="Arial" w:hAnsi="Arial"/>
                <w:sz w:val="15"/>
                <w:szCs w:val="15"/>
                <w:color w:val="auto"/>
              </w:rPr>
              <w:t>86,325</w:t>
            </w:r>
          </w:p>
        </w:tc>
      </w:tr>
      <w:tr>
        <w:trPr>
          <w:trHeight w:val="220"/>
        </w:trPr>
        <w:tc>
          <w:tcPr>
            <w:tcW w:w="5360" w:type="dxa"/>
            <w:vAlign w:val="bottom"/>
            <w:shd w:val="clear" w:color="auto" w:fill="CCEEFF"/>
          </w:tcPr>
          <w:p>
            <w:pPr>
              <w:ind w:left="20"/>
              <w:spacing w:after="0"/>
              <w:rPr>
                <w:sz w:val="20"/>
                <w:szCs w:val="20"/>
                <w:color w:val="auto"/>
              </w:rPr>
            </w:pPr>
            <w:r>
              <w:rPr>
                <w:rFonts w:ascii="Arial" w:cs="Arial" w:eastAsia="Arial" w:hAnsi="Arial"/>
                <w:sz w:val="15"/>
                <w:szCs w:val="15"/>
                <w:color w:val="auto"/>
              </w:rPr>
              <w:t>Weighted average common shares outstanding - diluted</w:t>
            </w: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96,165</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87,564</w:t>
            </w: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94,525</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86,770</w:t>
            </w:r>
          </w:p>
        </w:tc>
      </w:tr>
      <w:tr>
        <w:trPr>
          <w:trHeight w:val="203"/>
        </w:trPr>
        <w:tc>
          <w:tcPr>
            <w:tcW w:w="5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16"/>
        </w:trPr>
        <w:tc>
          <w:tcPr>
            <w:tcW w:w="5360" w:type="dxa"/>
            <w:vAlign w:val="bottom"/>
            <w:shd w:val="clear" w:color="auto" w:fill="CCEEFF"/>
          </w:tcPr>
          <w:p>
            <w:pPr>
              <w:ind w:left="20"/>
              <w:spacing w:after="0"/>
              <w:rPr>
                <w:sz w:val="20"/>
                <w:szCs w:val="20"/>
                <w:color w:val="auto"/>
              </w:rPr>
            </w:pPr>
            <w:r>
              <w:rPr>
                <w:rFonts w:ascii="Arial" w:cs="Arial" w:eastAsia="Arial" w:hAnsi="Arial"/>
                <w:sz w:val="15"/>
                <w:szCs w:val="15"/>
                <w:color w:val="auto"/>
              </w:rPr>
              <w:t>Basic earnings per share (see Note 13)</w:t>
            </w:r>
          </w:p>
        </w:tc>
        <w:tc>
          <w:tcPr>
            <w:tcW w:w="1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95"/>
              </w:rPr>
              <w:t>$</w:t>
            </w:r>
          </w:p>
        </w:tc>
        <w:tc>
          <w:tcPr>
            <w:tcW w:w="120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0.61</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95"/>
              </w:rPr>
              <w:t>$</w:t>
            </w:r>
          </w:p>
        </w:tc>
        <w:tc>
          <w:tcPr>
            <w:tcW w:w="120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0.46</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95"/>
              </w:rPr>
              <w:t>$</w:t>
            </w:r>
          </w:p>
        </w:tc>
        <w:tc>
          <w:tcPr>
            <w:tcW w:w="120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0.45</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95"/>
              </w:rPr>
              <w:t>$</w:t>
            </w:r>
          </w:p>
        </w:tc>
        <w:tc>
          <w:tcPr>
            <w:tcW w:w="120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0.86</w:t>
            </w:r>
          </w:p>
        </w:tc>
      </w:tr>
      <w:tr>
        <w:trPr>
          <w:trHeight w:val="208"/>
        </w:trPr>
        <w:tc>
          <w:tcPr>
            <w:tcW w:w="5360" w:type="dxa"/>
            <w:vAlign w:val="bottom"/>
          </w:tcPr>
          <w:p>
            <w:pPr>
              <w:ind w:left="20"/>
              <w:spacing w:after="0"/>
              <w:rPr>
                <w:sz w:val="20"/>
                <w:szCs w:val="20"/>
                <w:color w:val="auto"/>
              </w:rPr>
            </w:pPr>
            <w:r>
              <w:rPr>
                <w:rFonts w:ascii="Arial" w:cs="Arial" w:eastAsia="Arial" w:hAnsi="Arial"/>
                <w:sz w:val="15"/>
                <w:szCs w:val="15"/>
                <w:color w:val="auto"/>
              </w:rPr>
              <w:t>Diluted earnings per share (see Note 13)</w:t>
            </w:r>
          </w:p>
        </w:tc>
        <w:tc>
          <w:tcPr>
            <w:tcW w:w="180" w:type="dxa"/>
            <w:vAlign w:val="bottom"/>
          </w:tcPr>
          <w:p>
            <w:pPr>
              <w:jc w:val="right"/>
              <w:ind w:right="4"/>
              <w:spacing w:after="0"/>
              <w:rPr>
                <w:sz w:val="20"/>
                <w:szCs w:val="20"/>
                <w:color w:val="auto"/>
              </w:rPr>
            </w:pPr>
            <w:r>
              <w:rPr>
                <w:rFonts w:ascii="Arial" w:cs="Arial" w:eastAsia="Arial" w:hAnsi="Arial"/>
                <w:sz w:val="15"/>
                <w:szCs w:val="15"/>
                <w:color w:val="auto"/>
                <w:w w:val="95"/>
              </w:rPr>
              <w:t>$</w:t>
            </w:r>
          </w:p>
        </w:tc>
        <w:tc>
          <w:tcPr>
            <w:tcW w:w="1200" w:type="dxa"/>
            <w:vAlign w:val="bottom"/>
          </w:tcPr>
          <w:p>
            <w:pPr>
              <w:jc w:val="right"/>
              <w:ind w:right="64"/>
              <w:spacing w:after="0"/>
              <w:rPr>
                <w:sz w:val="20"/>
                <w:szCs w:val="20"/>
                <w:color w:val="auto"/>
              </w:rPr>
            </w:pPr>
            <w:r>
              <w:rPr>
                <w:rFonts w:ascii="Arial" w:cs="Arial" w:eastAsia="Arial" w:hAnsi="Arial"/>
                <w:sz w:val="15"/>
                <w:szCs w:val="15"/>
                <w:color w:val="auto"/>
              </w:rPr>
              <w:t>0.61</w:t>
            </w:r>
          </w:p>
        </w:tc>
        <w:tc>
          <w:tcPr>
            <w:tcW w:w="80" w:type="dxa"/>
            <w:vAlign w:val="bottom"/>
          </w:tcPr>
          <w:p>
            <w:pPr>
              <w:spacing w:after="0"/>
              <w:rPr>
                <w:sz w:val="18"/>
                <w:szCs w:val="18"/>
                <w:color w:val="auto"/>
              </w:rPr>
            </w:pPr>
          </w:p>
        </w:tc>
        <w:tc>
          <w:tcPr>
            <w:tcW w:w="180" w:type="dxa"/>
            <w:vAlign w:val="bottom"/>
          </w:tcPr>
          <w:p>
            <w:pPr>
              <w:jc w:val="right"/>
              <w:ind w:right="4"/>
              <w:spacing w:after="0"/>
              <w:rPr>
                <w:sz w:val="20"/>
                <w:szCs w:val="20"/>
                <w:color w:val="auto"/>
              </w:rPr>
            </w:pPr>
            <w:r>
              <w:rPr>
                <w:rFonts w:ascii="Arial" w:cs="Arial" w:eastAsia="Arial" w:hAnsi="Arial"/>
                <w:sz w:val="15"/>
                <w:szCs w:val="15"/>
                <w:color w:val="auto"/>
                <w:w w:val="95"/>
              </w:rPr>
              <w:t>$</w:t>
            </w:r>
          </w:p>
        </w:tc>
        <w:tc>
          <w:tcPr>
            <w:tcW w:w="1200" w:type="dxa"/>
            <w:vAlign w:val="bottom"/>
          </w:tcPr>
          <w:p>
            <w:pPr>
              <w:jc w:val="right"/>
              <w:ind w:right="64"/>
              <w:spacing w:after="0"/>
              <w:rPr>
                <w:sz w:val="20"/>
                <w:szCs w:val="20"/>
                <w:color w:val="auto"/>
              </w:rPr>
            </w:pPr>
            <w:r>
              <w:rPr>
                <w:rFonts w:ascii="Arial" w:cs="Arial" w:eastAsia="Arial" w:hAnsi="Arial"/>
                <w:sz w:val="15"/>
                <w:szCs w:val="15"/>
                <w:color w:val="auto"/>
              </w:rPr>
              <w:t>0.46</w:t>
            </w:r>
          </w:p>
        </w:tc>
        <w:tc>
          <w:tcPr>
            <w:tcW w:w="200" w:type="dxa"/>
            <w:vAlign w:val="bottom"/>
          </w:tcPr>
          <w:p>
            <w:pPr>
              <w:spacing w:after="0"/>
              <w:rPr>
                <w:sz w:val="18"/>
                <w:szCs w:val="18"/>
                <w:color w:val="auto"/>
              </w:rPr>
            </w:pPr>
          </w:p>
        </w:tc>
        <w:tc>
          <w:tcPr>
            <w:tcW w:w="180" w:type="dxa"/>
            <w:vAlign w:val="bottom"/>
          </w:tcPr>
          <w:p>
            <w:pPr>
              <w:jc w:val="right"/>
              <w:ind w:right="4"/>
              <w:spacing w:after="0"/>
              <w:rPr>
                <w:sz w:val="20"/>
                <w:szCs w:val="20"/>
                <w:color w:val="auto"/>
              </w:rPr>
            </w:pPr>
            <w:r>
              <w:rPr>
                <w:rFonts w:ascii="Arial" w:cs="Arial" w:eastAsia="Arial" w:hAnsi="Arial"/>
                <w:sz w:val="15"/>
                <w:szCs w:val="15"/>
                <w:color w:val="auto"/>
                <w:w w:val="95"/>
              </w:rPr>
              <w:t>$</w:t>
            </w:r>
          </w:p>
        </w:tc>
        <w:tc>
          <w:tcPr>
            <w:tcW w:w="1200" w:type="dxa"/>
            <w:vAlign w:val="bottom"/>
          </w:tcPr>
          <w:p>
            <w:pPr>
              <w:jc w:val="right"/>
              <w:ind w:right="64"/>
              <w:spacing w:after="0"/>
              <w:rPr>
                <w:sz w:val="20"/>
                <w:szCs w:val="20"/>
                <w:color w:val="auto"/>
              </w:rPr>
            </w:pPr>
            <w:r>
              <w:rPr>
                <w:rFonts w:ascii="Arial" w:cs="Arial" w:eastAsia="Arial" w:hAnsi="Arial"/>
                <w:sz w:val="15"/>
                <w:szCs w:val="15"/>
                <w:color w:val="auto"/>
              </w:rPr>
              <w:t>0.45</w:t>
            </w:r>
          </w:p>
        </w:tc>
        <w:tc>
          <w:tcPr>
            <w:tcW w:w="80" w:type="dxa"/>
            <w:vAlign w:val="bottom"/>
          </w:tcPr>
          <w:p>
            <w:pPr>
              <w:spacing w:after="0"/>
              <w:rPr>
                <w:sz w:val="18"/>
                <w:szCs w:val="18"/>
                <w:color w:val="auto"/>
              </w:rPr>
            </w:pPr>
          </w:p>
        </w:tc>
        <w:tc>
          <w:tcPr>
            <w:tcW w:w="180" w:type="dxa"/>
            <w:vAlign w:val="bottom"/>
          </w:tcPr>
          <w:p>
            <w:pPr>
              <w:jc w:val="right"/>
              <w:ind w:right="4"/>
              <w:spacing w:after="0"/>
              <w:rPr>
                <w:sz w:val="20"/>
                <w:szCs w:val="20"/>
                <w:color w:val="auto"/>
              </w:rPr>
            </w:pPr>
            <w:r>
              <w:rPr>
                <w:rFonts w:ascii="Arial" w:cs="Arial" w:eastAsia="Arial" w:hAnsi="Arial"/>
                <w:sz w:val="15"/>
                <w:szCs w:val="15"/>
                <w:color w:val="auto"/>
                <w:w w:val="95"/>
              </w:rPr>
              <w:t>$</w:t>
            </w:r>
          </w:p>
        </w:tc>
        <w:tc>
          <w:tcPr>
            <w:tcW w:w="1200" w:type="dxa"/>
            <w:vAlign w:val="bottom"/>
          </w:tcPr>
          <w:p>
            <w:pPr>
              <w:jc w:val="right"/>
              <w:ind w:right="64"/>
              <w:spacing w:after="0"/>
              <w:rPr>
                <w:sz w:val="20"/>
                <w:szCs w:val="20"/>
                <w:color w:val="auto"/>
              </w:rPr>
            </w:pPr>
            <w:r>
              <w:rPr>
                <w:rFonts w:ascii="Arial" w:cs="Arial" w:eastAsia="Arial" w:hAnsi="Arial"/>
                <w:sz w:val="15"/>
                <w:szCs w:val="15"/>
                <w:color w:val="auto"/>
              </w:rPr>
              <w:t>0.86</w:t>
            </w:r>
          </w:p>
        </w:tc>
      </w:tr>
    </w:tbl>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SUN COMMUNITIES, INC.</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(In thousands) (Unaudited)</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55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580" w:type="dxa"/>
            <w:vAlign w:val="bottom"/>
            <w:tcBorders>
              <w:bottom w:val="single" w:sz="8" w:color="auto"/>
            </w:tcBorders>
            <w:gridSpan w:val="4"/>
          </w:tcPr>
          <w:p>
            <w:pPr>
              <w:ind w:left="520"/>
              <w:spacing w:after="0"/>
              <w:rPr>
                <w:sz w:val="20"/>
                <w:szCs w:val="20"/>
                <w:color w:val="auto"/>
              </w:rPr>
            </w:pPr>
            <w:r>
              <w:rPr>
                <w:rFonts w:ascii="Arial" w:cs="Arial" w:eastAsia="Arial" w:hAnsi="Arial"/>
                <w:sz w:val="15"/>
                <w:szCs w:val="15"/>
                <w:b w:val="1"/>
                <w:bCs w:val="1"/>
                <w:color w:val="auto"/>
              </w:rPr>
              <w:t>Three Months Ended</w:t>
            </w:r>
          </w:p>
        </w:tc>
        <w:tc>
          <w:tcPr>
            <w:tcW w:w="24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580" w:type="dxa"/>
            <w:vAlign w:val="bottom"/>
            <w:tcBorders>
              <w:bottom w:val="single" w:sz="8" w:color="auto"/>
            </w:tcBorders>
            <w:gridSpan w:val="4"/>
          </w:tcPr>
          <w:p>
            <w:pPr>
              <w:ind w:left="620"/>
              <w:spacing w:after="0"/>
              <w:rPr>
                <w:sz w:val="20"/>
                <w:szCs w:val="20"/>
                <w:color w:val="auto"/>
              </w:rPr>
            </w:pPr>
            <w:r>
              <w:rPr>
                <w:rFonts w:ascii="Arial" w:cs="Arial" w:eastAsia="Arial" w:hAnsi="Arial"/>
                <w:sz w:val="15"/>
                <w:szCs w:val="15"/>
                <w:b w:val="1"/>
                <w:bCs w:val="1"/>
                <w:color w:val="auto"/>
              </w:rPr>
              <w:t>Six Months Ended</w:t>
            </w:r>
          </w:p>
        </w:tc>
      </w:tr>
      <w:tr>
        <w:trPr>
          <w:trHeight w:val="210"/>
        </w:trPr>
        <w:tc>
          <w:tcPr>
            <w:tcW w:w="5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ind w:left="60"/>
              <w:spacing w:after="0"/>
              <w:rPr>
                <w:sz w:val="20"/>
                <w:szCs w:val="20"/>
                <w:color w:val="auto"/>
              </w:rPr>
            </w:pPr>
            <w:r>
              <w:rPr>
                <w:rFonts w:ascii="Arial" w:cs="Arial" w:eastAsia="Arial" w:hAnsi="Arial"/>
                <w:sz w:val="15"/>
                <w:szCs w:val="15"/>
                <w:b w:val="1"/>
                <w:bCs w:val="1"/>
                <w:color w:val="auto"/>
              </w:rPr>
              <w:t>June 30, 2020</w:t>
            </w:r>
          </w:p>
        </w:tc>
        <w:tc>
          <w:tcPr>
            <w:tcW w:w="140" w:type="dxa"/>
            <w:vAlign w:val="bottom"/>
          </w:tcPr>
          <w:p>
            <w:pPr>
              <w:spacing w:after="0"/>
              <w:rPr>
                <w:sz w:val="18"/>
                <w:szCs w:val="18"/>
                <w:color w:val="auto"/>
              </w:rPr>
            </w:pPr>
          </w:p>
        </w:tc>
        <w:tc>
          <w:tcPr>
            <w:tcW w:w="1400" w:type="dxa"/>
            <w:vAlign w:val="bottom"/>
            <w:gridSpan w:val="2"/>
          </w:tcPr>
          <w:p>
            <w:pPr>
              <w:ind w:left="60"/>
              <w:spacing w:after="0"/>
              <w:rPr>
                <w:sz w:val="20"/>
                <w:szCs w:val="20"/>
                <w:color w:val="auto"/>
              </w:rPr>
            </w:pPr>
            <w:r>
              <w:rPr>
                <w:rFonts w:ascii="Arial" w:cs="Arial" w:eastAsia="Arial" w:hAnsi="Arial"/>
                <w:sz w:val="15"/>
                <w:szCs w:val="15"/>
                <w:b w:val="1"/>
                <w:bCs w:val="1"/>
                <w:color w:val="auto"/>
              </w:rPr>
              <w:t>June 30, 2019</w:t>
            </w:r>
          </w:p>
        </w:tc>
        <w:tc>
          <w:tcPr>
            <w:tcW w:w="140" w:type="dxa"/>
            <w:vAlign w:val="bottom"/>
          </w:tcPr>
          <w:p>
            <w:pPr>
              <w:spacing w:after="0"/>
              <w:rPr>
                <w:sz w:val="18"/>
                <w:szCs w:val="18"/>
                <w:color w:val="auto"/>
              </w:rPr>
            </w:pPr>
          </w:p>
        </w:tc>
        <w:tc>
          <w:tcPr>
            <w:tcW w:w="1280" w:type="dxa"/>
            <w:vAlign w:val="bottom"/>
            <w:gridSpan w:val="2"/>
          </w:tcPr>
          <w:p>
            <w:pPr>
              <w:ind w:left="60"/>
              <w:spacing w:after="0"/>
              <w:rPr>
                <w:sz w:val="20"/>
                <w:szCs w:val="20"/>
                <w:color w:val="auto"/>
              </w:rPr>
            </w:pPr>
            <w:r>
              <w:rPr>
                <w:rFonts w:ascii="Arial" w:cs="Arial" w:eastAsia="Arial" w:hAnsi="Arial"/>
                <w:sz w:val="15"/>
                <w:szCs w:val="15"/>
                <w:b w:val="1"/>
                <w:bCs w:val="1"/>
                <w:color w:val="auto"/>
              </w:rPr>
              <w:t>June 30, 2020</w:t>
            </w:r>
          </w:p>
        </w:tc>
        <w:tc>
          <w:tcPr>
            <w:tcW w:w="140" w:type="dxa"/>
            <w:vAlign w:val="bottom"/>
          </w:tcPr>
          <w:p>
            <w:pPr>
              <w:spacing w:after="0"/>
              <w:rPr>
                <w:sz w:val="18"/>
                <w:szCs w:val="18"/>
                <w:color w:val="auto"/>
              </w:rPr>
            </w:pPr>
          </w:p>
        </w:tc>
        <w:tc>
          <w:tcPr>
            <w:tcW w:w="1160" w:type="dxa"/>
            <w:vAlign w:val="bottom"/>
          </w:tcPr>
          <w:p>
            <w:pPr>
              <w:ind w:left="60"/>
              <w:spacing w:after="0"/>
              <w:rPr>
                <w:sz w:val="20"/>
                <w:szCs w:val="20"/>
                <w:color w:val="auto"/>
              </w:rPr>
            </w:pPr>
            <w:r>
              <w:rPr>
                <w:rFonts w:ascii="Arial" w:cs="Arial" w:eastAsia="Arial" w:hAnsi="Arial"/>
                <w:sz w:val="15"/>
                <w:szCs w:val="15"/>
                <w:b w:val="1"/>
                <w:bCs w:val="1"/>
                <w:color w:val="auto"/>
              </w:rPr>
              <w:t>June 30, 2019</w:t>
            </w:r>
          </w:p>
        </w:tc>
      </w:tr>
      <w:tr>
        <w:trPr>
          <w:trHeight w:val="213"/>
        </w:trPr>
        <w:tc>
          <w:tcPr>
            <w:tcW w:w="55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Net Income</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160" w:type="dxa"/>
            <w:vAlign w:val="bottom"/>
            <w:tcBorders>
              <w:top w:val="single" w:sz="8" w:color="auto"/>
            </w:tcBorders>
            <w:shd w:val="clear" w:color="auto" w:fill="CCEEFF"/>
          </w:tcPr>
          <w:p>
            <w:pPr>
              <w:jc w:val="right"/>
              <w:ind w:right="64"/>
              <w:spacing w:after="0"/>
              <w:rPr>
                <w:sz w:val="20"/>
                <w:szCs w:val="20"/>
                <w:color w:val="auto"/>
              </w:rPr>
            </w:pPr>
            <w:r>
              <w:rPr>
                <w:rFonts w:ascii="Arial" w:cs="Arial" w:eastAsia="Arial" w:hAnsi="Arial"/>
                <w:sz w:val="15"/>
                <w:szCs w:val="15"/>
                <w:color w:val="auto"/>
              </w:rPr>
              <w:t>63,355</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shd w:val="clear" w:color="auto" w:fill="CCEEFF"/>
          </w:tcPr>
          <w:p>
            <w:pPr>
              <w:ind w:left="600"/>
              <w:spacing w:after="0"/>
              <w:rPr>
                <w:sz w:val="20"/>
                <w:szCs w:val="20"/>
                <w:color w:val="auto"/>
              </w:rPr>
            </w:pPr>
            <w:r>
              <w:rPr>
                <w:rFonts w:ascii="Arial" w:cs="Arial" w:eastAsia="Arial" w:hAnsi="Arial"/>
                <w:sz w:val="15"/>
                <w:szCs w:val="15"/>
                <w:color w:val="auto"/>
              </w:rPr>
              <w:t>45,116</w:t>
            </w: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shd w:val="clear" w:color="auto" w:fill="CCEEFF"/>
          </w:tcPr>
          <w:p>
            <w:pPr>
              <w:ind w:left="600"/>
              <w:spacing w:after="0"/>
              <w:rPr>
                <w:sz w:val="20"/>
                <w:szCs w:val="20"/>
                <w:color w:val="auto"/>
              </w:rPr>
            </w:pPr>
            <w:r>
              <w:rPr>
                <w:rFonts w:ascii="Arial" w:cs="Arial" w:eastAsia="Arial" w:hAnsi="Arial"/>
                <w:sz w:val="15"/>
                <w:szCs w:val="15"/>
                <w:color w:val="auto"/>
              </w:rPr>
              <w:t>47,877</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shd w:val="clear" w:color="auto" w:fill="CCEEFF"/>
          </w:tcPr>
          <w:p>
            <w:pPr>
              <w:ind w:left="600"/>
              <w:spacing w:after="0"/>
              <w:rPr>
                <w:sz w:val="20"/>
                <w:szCs w:val="20"/>
                <w:color w:val="auto"/>
              </w:rPr>
            </w:pPr>
            <w:r>
              <w:rPr>
                <w:rFonts w:ascii="Arial" w:cs="Arial" w:eastAsia="Arial" w:hAnsi="Arial"/>
                <w:sz w:val="15"/>
                <w:szCs w:val="15"/>
                <w:color w:val="auto"/>
              </w:rPr>
              <w:t>82,243</w:t>
            </w:r>
          </w:p>
        </w:tc>
      </w:tr>
      <w:tr>
        <w:trPr>
          <w:trHeight w:val="212"/>
        </w:trPr>
        <w:tc>
          <w:tcPr>
            <w:tcW w:w="5560" w:type="dxa"/>
            <w:vAlign w:val="bottom"/>
            <w:tcBorders>
              <w:bottom w:val="single" w:sz="8" w:color="CCEEFF"/>
            </w:tcBorders>
          </w:tcPr>
          <w:p>
            <w:pPr>
              <w:ind w:left="220"/>
              <w:spacing w:after="0"/>
              <w:rPr>
                <w:sz w:val="20"/>
                <w:szCs w:val="20"/>
                <w:color w:val="auto"/>
              </w:rPr>
            </w:pPr>
            <w:r>
              <w:rPr>
                <w:rFonts w:ascii="Arial" w:cs="Arial" w:eastAsia="Arial" w:hAnsi="Arial"/>
                <w:sz w:val="15"/>
                <w:szCs w:val="15"/>
                <w:color w:val="auto"/>
              </w:rPr>
              <w:t>Foreign currency translation gain / (loss) adjustment</w:t>
            </w:r>
          </w:p>
        </w:tc>
        <w:tc>
          <w:tcPr>
            <w:tcW w:w="1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color w:val="auto"/>
              </w:rPr>
              <w:t>3,872</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ind w:left="600"/>
              <w:spacing w:after="0"/>
              <w:rPr>
                <w:sz w:val="20"/>
                <w:szCs w:val="20"/>
                <w:color w:val="auto"/>
              </w:rPr>
            </w:pPr>
            <w:r>
              <w:rPr>
                <w:rFonts w:ascii="Arial" w:cs="Arial" w:eastAsia="Arial" w:hAnsi="Arial"/>
                <w:sz w:val="15"/>
                <w:szCs w:val="15"/>
                <w:color w:val="auto"/>
              </w:rPr>
              <w:t>(1,913)</w:t>
            </w:r>
          </w:p>
        </w:tc>
        <w:tc>
          <w:tcPr>
            <w:tcW w:w="2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ind w:left="600"/>
              <w:spacing w:after="0"/>
              <w:rPr>
                <w:sz w:val="20"/>
                <w:szCs w:val="20"/>
                <w:color w:val="auto"/>
              </w:rPr>
            </w:pPr>
            <w:r>
              <w:rPr>
                <w:rFonts w:ascii="Arial" w:cs="Arial" w:eastAsia="Arial" w:hAnsi="Arial"/>
                <w:sz w:val="15"/>
                <w:szCs w:val="15"/>
                <w:color w:val="auto"/>
              </w:rPr>
              <w:t>(3,428)</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ind w:left="600"/>
              <w:spacing w:after="0"/>
              <w:rPr>
                <w:sz w:val="20"/>
                <w:szCs w:val="20"/>
                <w:color w:val="auto"/>
              </w:rPr>
            </w:pPr>
            <w:r>
              <w:rPr>
                <w:rFonts w:ascii="Arial" w:cs="Arial" w:eastAsia="Arial" w:hAnsi="Arial"/>
                <w:sz w:val="15"/>
                <w:szCs w:val="15"/>
                <w:color w:val="auto"/>
              </w:rPr>
              <w:t>(3,488)</w:t>
            </w:r>
          </w:p>
        </w:tc>
      </w:tr>
      <w:tr>
        <w:trPr>
          <w:trHeight w:val="214"/>
        </w:trPr>
        <w:tc>
          <w:tcPr>
            <w:tcW w:w="5560" w:type="dxa"/>
            <w:vAlign w:val="bottom"/>
            <w:shd w:val="clear" w:color="auto" w:fill="CCEEFF"/>
          </w:tcPr>
          <w:p>
            <w:pPr>
              <w:ind w:left="20"/>
              <w:spacing w:after="0"/>
              <w:rPr>
                <w:sz w:val="20"/>
                <w:szCs w:val="20"/>
                <w:color w:val="auto"/>
              </w:rPr>
            </w:pPr>
            <w:r>
              <w:rPr>
                <w:rFonts w:ascii="Arial" w:cs="Arial" w:eastAsia="Arial" w:hAnsi="Arial"/>
                <w:sz w:val="15"/>
                <w:szCs w:val="15"/>
                <w:color w:val="auto"/>
              </w:rPr>
              <w:t>Total Comprehensive Income</w:t>
            </w: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67,227</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ind w:left="600"/>
              <w:spacing w:after="0"/>
              <w:rPr>
                <w:sz w:val="20"/>
                <w:szCs w:val="20"/>
                <w:color w:val="auto"/>
              </w:rPr>
            </w:pPr>
            <w:r>
              <w:rPr>
                <w:rFonts w:ascii="Arial" w:cs="Arial" w:eastAsia="Arial" w:hAnsi="Arial"/>
                <w:sz w:val="15"/>
                <w:szCs w:val="15"/>
                <w:color w:val="auto"/>
              </w:rPr>
              <w:t>43,203</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ind w:left="600"/>
              <w:spacing w:after="0"/>
              <w:rPr>
                <w:sz w:val="20"/>
                <w:szCs w:val="20"/>
                <w:color w:val="auto"/>
              </w:rPr>
            </w:pPr>
            <w:r>
              <w:rPr>
                <w:rFonts w:ascii="Arial" w:cs="Arial" w:eastAsia="Arial" w:hAnsi="Arial"/>
                <w:sz w:val="15"/>
                <w:szCs w:val="15"/>
                <w:color w:val="auto"/>
              </w:rPr>
              <w:t>44,449</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ind w:left="600"/>
              <w:spacing w:after="0"/>
              <w:rPr>
                <w:sz w:val="20"/>
                <w:szCs w:val="20"/>
                <w:color w:val="auto"/>
              </w:rPr>
            </w:pPr>
            <w:r>
              <w:rPr>
                <w:rFonts w:ascii="Arial" w:cs="Arial" w:eastAsia="Arial" w:hAnsi="Arial"/>
                <w:sz w:val="15"/>
                <w:szCs w:val="15"/>
                <w:color w:val="auto"/>
              </w:rPr>
              <w:t>78,755</w:t>
            </w:r>
          </w:p>
        </w:tc>
      </w:tr>
      <w:tr>
        <w:trPr>
          <w:trHeight w:val="212"/>
        </w:trPr>
        <w:tc>
          <w:tcPr>
            <w:tcW w:w="5560" w:type="dxa"/>
            <w:vAlign w:val="bottom"/>
            <w:tcBorders>
              <w:bottom w:val="single" w:sz="8" w:color="CCEEFF"/>
            </w:tcBorders>
          </w:tcPr>
          <w:p>
            <w:pPr>
              <w:ind w:left="220"/>
              <w:spacing w:after="0"/>
              <w:rPr>
                <w:sz w:val="20"/>
                <w:szCs w:val="20"/>
                <w:color w:val="auto"/>
              </w:rPr>
            </w:pPr>
            <w:r>
              <w:rPr>
                <w:rFonts w:ascii="Arial" w:cs="Arial" w:eastAsia="Arial" w:hAnsi="Arial"/>
                <w:sz w:val="15"/>
                <w:szCs w:val="15"/>
                <w:color w:val="auto"/>
              </w:rPr>
              <w:t>Less: Comprehensive Income attributable to noncontrolling interests</w:t>
            </w:r>
          </w:p>
        </w:tc>
        <w:tc>
          <w:tcPr>
            <w:tcW w:w="1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(2,883)</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ind w:left="600"/>
              <w:spacing w:after="0"/>
              <w:rPr>
                <w:sz w:val="20"/>
                <w:szCs w:val="20"/>
                <w:color w:val="auto"/>
              </w:rPr>
            </w:pPr>
            <w:r>
              <w:rPr>
                <w:rFonts w:ascii="Arial" w:cs="Arial" w:eastAsia="Arial" w:hAnsi="Arial"/>
                <w:sz w:val="15"/>
                <w:szCs w:val="15"/>
                <w:color w:val="auto"/>
              </w:rPr>
              <w:t>(2,494)</w:t>
            </w:r>
          </w:p>
        </w:tc>
        <w:tc>
          <w:tcPr>
            <w:tcW w:w="2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ind w:left="600"/>
              <w:spacing w:after="0"/>
              <w:rPr>
                <w:sz w:val="20"/>
                <w:szCs w:val="20"/>
                <w:color w:val="auto"/>
              </w:rPr>
            </w:pPr>
            <w:r>
              <w:rPr>
                <w:rFonts w:ascii="Arial" w:cs="Arial" w:eastAsia="Arial" w:hAnsi="Arial"/>
                <w:sz w:val="15"/>
                <w:szCs w:val="15"/>
                <w:color w:val="auto"/>
              </w:rPr>
              <w:t>(1,615)</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ind w:left="600"/>
              <w:spacing w:after="0"/>
              <w:rPr>
                <w:sz w:val="20"/>
                <w:szCs w:val="20"/>
                <w:color w:val="auto"/>
              </w:rPr>
            </w:pPr>
            <w:r>
              <w:rPr>
                <w:rFonts w:ascii="Arial" w:cs="Arial" w:eastAsia="Arial" w:hAnsi="Arial"/>
                <w:sz w:val="15"/>
                <w:szCs w:val="15"/>
                <w:color w:val="auto"/>
              </w:rPr>
              <w:t>(3,458)</w:t>
            </w:r>
          </w:p>
        </w:tc>
      </w:tr>
      <w:tr>
        <w:trPr>
          <w:trHeight w:val="238"/>
        </w:trPr>
        <w:tc>
          <w:tcPr>
            <w:tcW w:w="5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Comprehensive Income attributable to Sun Communities, Inc.</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160" w:type="dxa"/>
            <w:vAlign w:val="bottom"/>
            <w:tcBorders>
              <w:bottom w:val="single" w:sz="8" w:color="auto"/>
            </w:tcBorders>
            <w:shd w:val="clear" w:color="auto" w:fill="CCEEFF"/>
          </w:tcPr>
          <w:p>
            <w:pPr>
              <w:jc w:val="right"/>
              <w:ind w:right="64"/>
              <w:spacing w:after="0"/>
              <w:rPr>
                <w:sz w:val="20"/>
                <w:szCs w:val="20"/>
                <w:color w:val="auto"/>
              </w:rPr>
            </w:pPr>
            <w:r>
              <w:rPr>
                <w:rFonts w:ascii="Arial" w:cs="Arial" w:eastAsia="Arial" w:hAnsi="Arial"/>
                <w:sz w:val="15"/>
                <w:szCs w:val="15"/>
                <w:color w:val="auto"/>
              </w:rPr>
              <w:t>64,344</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shd w:val="clear" w:color="auto" w:fill="CCEEFF"/>
          </w:tcPr>
          <w:p>
            <w:pPr>
              <w:ind w:left="600"/>
              <w:spacing w:after="0"/>
              <w:rPr>
                <w:sz w:val="20"/>
                <w:szCs w:val="20"/>
                <w:color w:val="auto"/>
              </w:rPr>
            </w:pPr>
            <w:r>
              <w:rPr>
                <w:rFonts w:ascii="Arial" w:cs="Arial" w:eastAsia="Arial" w:hAnsi="Arial"/>
                <w:sz w:val="15"/>
                <w:szCs w:val="15"/>
                <w:color w:val="auto"/>
              </w:rPr>
              <w:t>40,709</w:t>
            </w:r>
          </w:p>
        </w:tc>
        <w:tc>
          <w:tcPr>
            <w:tcW w:w="2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shd w:val="clear" w:color="auto" w:fill="CCEEFF"/>
          </w:tcPr>
          <w:p>
            <w:pPr>
              <w:ind w:left="600"/>
              <w:spacing w:after="0"/>
              <w:rPr>
                <w:sz w:val="20"/>
                <w:szCs w:val="20"/>
                <w:color w:val="auto"/>
              </w:rPr>
            </w:pPr>
            <w:r>
              <w:rPr>
                <w:rFonts w:ascii="Arial" w:cs="Arial" w:eastAsia="Arial" w:hAnsi="Arial"/>
                <w:sz w:val="15"/>
                <w:szCs w:val="15"/>
                <w:color w:val="auto"/>
              </w:rPr>
              <w:t>42,834</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shd w:val="clear" w:color="auto" w:fill="CCEEFF"/>
          </w:tcPr>
          <w:p>
            <w:pPr>
              <w:ind w:left="600"/>
              <w:spacing w:after="0"/>
              <w:rPr>
                <w:sz w:val="20"/>
                <w:szCs w:val="20"/>
                <w:color w:val="auto"/>
              </w:rPr>
            </w:pPr>
            <w:r>
              <w:rPr>
                <w:rFonts w:ascii="Arial" w:cs="Arial" w:eastAsia="Arial" w:hAnsi="Arial"/>
                <w:sz w:val="15"/>
                <w:szCs w:val="15"/>
                <w:color w:val="auto"/>
              </w:rPr>
              <w:t>75,297</w:t>
            </w:r>
          </w:p>
        </w:tc>
      </w:tr>
      <w:tr>
        <w:trPr>
          <w:trHeight w:val="20"/>
        </w:trPr>
        <w:tc>
          <w:tcPr>
            <w:tcW w:w="55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SUN COMMUNITIES, INC.</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(Unaudited)</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78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3200" w:type="dxa"/>
            <w:vAlign w:val="bottom"/>
            <w:tcBorders>
              <w:bottom w:val="single" w:sz="8" w:color="auto"/>
            </w:tcBorders>
            <w:gridSpan w:val="4"/>
          </w:tcPr>
          <w:p>
            <w:pPr>
              <w:jc w:val="right"/>
              <w:ind w:right="1024"/>
              <w:spacing w:after="0"/>
              <w:rPr>
                <w:sz w:val="20"/>
                <w:szCs w:val="20"/>
                <w:color w:val="auto"/>
              </w:rPr>
            </w:pPr>
            <w:r>
              <w:rPr>
                <w:rFonts w:ascii="Arial" w:cs="Arial" w:eastAsia="Arial" w:hAnsi="Arial"/>
                <w:sz w:val="15"/>
                <w:szCs w:val="15"/>
                <w:b w:val="1"/>
                <w:bCs w:val="1"/>
                <w:color w:val="auto"/>
              </w:rPr>
              <w:t>Six Months Ended</w:t>
            </w:r>
          </w:p>
        </w:tc>
      </w:tr>
      <w:tr>
        <w:trPr>
          <w:trHeight w:val="207"/>
        </w:trPr>
        <w:tc>
          <w:tcPr>
            <w:tcW w:w="7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gridSpan w:val="2"/>
          </w:tcPr>
          <w:p>
            <w:pPr>
              <w:ind w:left="140"/>
              <w:spacing w:after="0"/>
              <w:rPr>
                <w:sz w:val="20"/>
                <w:szCs w:val="20"/>
                <w:color w:val="auto"/>
              </w:rPr>
            </w:pPr>
            <w:r>
              <w:rPr>
                <w:rFonts w:ascii="Arial" w:cs="Arial" w:eastAsia="Arial" w:hAnsi="Arial"/>
                <w:sz w:val="15"/>
                <w:szCs w:val="15"/>
                <w:b w:val="1"/>
                <w:bCs w:val="1"/>
                <w:color w:val="auto"/>
              </w:rPr>
              <w:t>June 30, 2020</w:t>
            </w:r>
          </w:p>
        </w:tc>
        <w:tc>
          <w:tcPr>
            <w:tcW w:w="240" w:type="dxa"/>
            <w:vAlign w:val="bottom"/>
          </w:tcPr>
          <w:p>
            <w:pPr>
              <w:spacing w:after="0"/>
              <w:rPr>
                <w:sz w:val="18"/>
                <w:szCs w:val="18"/>
                <w:color w:val="auto"/>
              </w:rPr>
            </w:pPr>
          </w:p>
        </w:tc>
        <w:tc>
          <w:tcPr>
            <w:tcW w:w="1360" w:type="dxa"/>
            <w:vAlign w:val="bottom"/>
          </w:tcPr>
          <w:p>
            <w:pPr>
              <w:jc w:val="right"/>
              <w:ind w:right="284"/>
              <w:spacing w:after="0"/>
              <w:rPr>
                <w:sz w:val="20"/>
                <w:szCs w:val="20"/>
                <w:color w:val="auto"/>
              </w:rPr>
            </w:pPr>
            <w:r>
              <w:rPr>
                <w:rFonts w:ascii="Arial" w:cs="Arial" w:eastAsia="Arial" w:hAnsi="Arial"/>
                <w:sz w:val="15"/>
                <w:szCs w:val="15"/>
                <w:b w:val="1"/>
                <w:bCs w:val="1"/>
                <w:color w:val="auto"/>
              </w:rPr>
              <w:t>June 30, 2019</w:t>
            </w:r>
          </w:p>
        </w:tc>
      </w:tr>
      <w:tr>
        <w:trPr>
          <w:trHeight w:val="212"/>
        </w:trPr>
        <w:tc>
          <w:tcPr>
            <w:tcW w:w="7820" w:type="dxa"/>
            <w:vAlign w:val="bottom"/>
          </w:tcPr>
          <w:p>
            <w:pPr>
              <w:ind w:left="20"/>
              <w:spacing w:after="0"/>
              <w:rPr>
                <w:sz w:val="20"/>
                <w:szCs w:val="20"/>
                <w:color w:val="auto"/>
              </w:rPr>
            </w:pPr>
            <w:r>
              <w:rPr>
                <w:rFonts w:ascii="Arial" w:cs="Arial" w:eastAsia="Arial" w:hAnsi="Arial"/>
                <w:sz w:val="15"/>
                <w:szCs w:val="15"/>
                <w:b w:val="1"/>
                <w:bCs w:val="1"/>
                <w:color w:val="auto"/>
              </w:rPr>
              <w:t>Operating Activities</w:t>
            </w:r>
          </w:p>
        </w:tc>
        <w:tc>
          <w:tcPr>
            <w:tcW w:w="22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r>
      <w:tr>
        <w:trPr>
          <w:trHeight w:val="220"/>
        </w:trPr>
        <w:tc>
          <w:tcPr>
            <w:tcW w:w="7820" w:type="dxa"/>
            <w:vAlign w:val="bottom"/>
            <w:shd w:val="clear" w:color="auto" w:fill="CCEEFF"/>
          </w:tcPr>
          <w:p>
            <w:pPr>
              <w:ind w:left="220"/>
              <w:spacing w:after="0"/>
              <w:rPr>
                <w:sz w:val="20"/>
                <w:szCs w:val="20"/>
                <w:color w:val="auto"/>
              </w:rPr>
            </w:pPr>
            <w:r>
              <w:rPr>
                <w:rFonts w:ascii="Arial" w:cs="Arial" w:eastAsia="Arial" w:hAnsi="Arial"/>
                <w:sz w:val="15"/>
                <w:szCs w:val="15"/>
                <w:b w:val="1"/>
                <w:bCs w:val="1"/>
                <w:color w:val="auto"/>
              </w:rPr>
              <w:t>Net Cash Provided By Operating Activities</w:t>
            </w:r>
          </w:p>
        </w:tc>
        <w:tc>
          <w:tcPr>
            <w:tcW w:w="22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w w:val="95"/>
              </w:rPr>
              <w:t>$</w:t>
            </w:r>
          </w:p>
        </w:tc>
        <w:tc>
          <w:tcPr>
            <w:tcW w:w="1380" w:type="dxa"/>
            <w:vAlign w:val="bottom"/>
            <w:tcBorders>
              <w:bottom w:val="single" w:sz="8" w:color="auto"/>
            </w:tcBorders>
            <w:shd w:val="clear" w:color="auto" w:fill="CCEEFF"/>
          </w:tcPr>
          <w:p>
            <w:pPr>
              <w:jc w:val="right"/>
              <w:ind w:right="64"/>
              <w:spacing w:after="0"/>
              <w:rPr>
                <w:sz w:val="20"/>
                <w:szCs w:val="20"/>
                <w:color w:val="auto"/>
              </w:rPr>
            </w:pPr>
            <w:r>
              <w:rPr>
                <w:rFonts w:ascii="Arial" w:cs="Arial" w:eastAsia="Arial" w:hAnsi="Arial"/>
                <w:sz w:val="15"/>
                <w:szCs w:val="15"/>
                <w:color w:val="auto"/>
              </w:rPr>
              <w:t>302,027</w:t>
            </w:r>
          </w:p>
        </w:tc>
        <w:tc>
          <w:tcPr>
            <w:tcW w:w="2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64"/>
              <w:spacing w:after="0"/>
              <w:rPr>
                <w:sz w:val="20"/>
                <w:szCs w:val="20"/>
                <w:color w:val="auto"/>
              </w:rPr>
            </w:pPr>
            <w:r>
              <w:rPr>
                <w:rFonts w:ascii="Arial" w:cs="Arial" w:eastAsia="Arial" w:hAnsi="Arial"/>
                <w:sz w:val="15"/>
                <w:szCs w:val="15"/>
                <w:color w:val="auto"/>
                <w:w w:val="95"/>
              </w:rPr>
              <w:t>$</w:t>
            </w:r>
          </w:p>
        </w:tc>
        <w:tc>
          <w:tcPr>
            <w:tcW w:w="1360" w:type="dxa"/>
            <w:vAlign w:val="bottom"/>
            <w:tcBorders>
              <w:bottom w:val="single" w:sz="8" w:color="auto"/>
            </w:tcBorders>
            <w:shd w:val="clear" w:color="auto" w:fill="CCEEFF"/>
          </w:tcPr>
          <w:p>
            <w:pPr>
              <w:jc w:val="right"/>
              <w:ind w:right="64"/>
              <w:spacing w:after="0"/>
              <w:rPr>
                <w:sz w:val="20"/>
                <w:szCs w:val="20"/>
                <w:color w:val="auto"/>
              </w:rPr>
            </w:pPr>
            <w:r>
              <w:rPr>
                <w:rFonts w:ascii="Arial" w:cs="Arial" w:eastAsia="Arial" w:hAnsi="Arial"/>
                <w:sz w:val="15"/>
                <w:szCs w:val="15"/>
                <w:color w:val="auto"/>
              </w:rPr>
              <w:t>259,844</w:t>
            </w:r>
          </w:p>
        </w:tc>
      </w:tr>
      <w:tr>
        <w:trPr>
          <w:trHeight w:val="205"/>
        </w:trPr>
        <w:tc>
          <w:tcPr>
            <w:tcW w:w="7820" w:type="dxa"/>
            <w:vAlign w:val="bottom"/>
          </w:tcPr>
          <w:p>
            <w:pPr>
              <w:ind w:left="20"/>
              <w:spacing w:after="0"/>
              <w:rPr>
                <w:sz w:val="20"/>
                <w:szCs w:val="20"/>
                <w:color w:val="auto"/>
              </w:rPr>
            </w:pPr>
            <w:r>
              <w:rPr>
                <w:rFonts w:ascii="Arial" w:cs="Arial" w:eastAsia="Arial" w:hAnsi="Arial"/>
                <w:sz w:val="15"/>
                <w:szCs w:val="15"/>
                <w:b w:val="1"/>
                <w:bCs w:val="1"/>
                <w:color w:val="auto"/>
              </w:rPr>
              <w:t>Investing Activities</w:t>
            </w:r>
          </w:p>
        </w:tc>
        <w:tc>
          <w:tcPr>
            <w:tcW w:w="2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20"/>
        </w:trPr>
        <w:tc>
          <w:tcPr>
            <w:tcW w:w="7820" w:type="dxa"/>
            <w:vAlign w:val="bottom"/>
            <w:shd w:val="clear" w:color="auto" w:fill="CCEEFF"/>
          </w:tcPr>
          <w:p>
            <w:pPr>
              <w:ind w:left="220"/>
              <w:spacing w:after="0"/>
              <w:rPr>
                <w:sz w:val="20"/>
                <w:szCs w:val="20"/>
                <w:color w:val="auto"/>
              </w:rPr>
            </w:pPr>
            <w:r>
              <w:rPr>
                <w:rFonts w:ascii="Arial" w:cs="Arial" w:eastAsia="Arial" w:hAnsi="Arial"/>
                <w:sz w:val="15"/>
                <w:szCs w:val="15"/>
                <w:color w:val="auto"/>
              </w:rPr>
              <w:t>Investment in properties</w:t>
            </w: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(268,708)</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(262,944)</w:t>
            </w:r>
          </w:p>
        </w:tc>
      </w:tr>
      <w:tr>
        <w:trPr>
          <w:trHeight w:val="212"/>
        </w:trPr>
        <w:tc>
          <w:tcPr>
            <w:tcW w:w="7820" w:type="dxa"/>
            <w:vAlign w:val="bottom"/>
          </w:tcPr>
          <w:p>
            <w:pPr>
              <w:ind w:left="220"/>
              <w:spacing w:after="0"/>
              <w:rPr>
                <w:sz w:val="20"/>
                <w:szCs w:val="20"/>
                <w:color w:val="auto"/>
              </w:rPr>
            </w:pPr>
            <w:r>
              <w:rPr>
                <w:rFonts w:ascii="Arial" w:cs="Arial" w:eastAsia="Arial" w:hAnsi="Arial"/>
                <w:sz w:val="15"/>
                <w:szCs w:val="15"/>
                <w:color w:val="auto"/>
              </w:rPr>
              <w:t>Acquisitions of properties, net of cash acquired</w:t>
            </w:r>
          </w:p>
        </w:tc>
        <w:tc>
          <w:tcPr>
            <w:tcW w:w="220" w:type="dxa"/>
            <w:vAlign w:val="bottom"/>
          </w:tcPr>
          <w:p>
            <w:pPr>
              <w:spacing w:after="0"/>
              <w:rPr>
                <w:sz w:val="18"/>
                <w:szCs w:val="18"/>
                <w:color w:val="auto"/>
              </w:rPr>
            </w:pPr>
          </w:p>
        </w:tc>
        <w:tc>
          <w:tcPr>
            <w:tcW w:w="1380" w:type="dxa"/>
            <w:vAlign w:val="bottom"/>
          </w:tcPr>
          <w:p>
            <w:pPr>
              <w:jc w:val="right"/>
              <w:ind w:right="44"/>
              <w:spacing w:after="0"/>
              <w:rPr>
                <w:sz w:val="20"/>
                <w:szCs w:val="20"/>
                <w:color w:val="auto"/>
              </w:rPr>
            </w:pPr>
            <w:r>
              <w:rPr>
                <w:rFonts w:ascii="Arial" w:cs="Arial" w:eastAsia="Arial" w:hAnsi="Arial"/>
                <w:sz w:val="15"/>
                <w:szCs w:val="15"/>
                <w:color w:val="auto"/>
              </w:rPr>
              <w:t>(78,869)</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jc w:val="right"/>
              <w:ind w:right="24"/>
              <w:spacing w:after="0"/>
              <w:rPr>
                <w:sz w:val="20"/>
                <w:szCs w:val="20"/>
                <w:color w:val="auto"/>
              </w:rPr>
            </w:pPr>
            <w:r>
              <w:rPr>
                <w:rFonts w:ascii="Arial" w:cs="Arial" w:eastAsia="Arial" w:hAnsi="Arial"/>
                <w:sz w:val="15"/>
                <w:szCs w:val="15"/>
                <w:color w:val="auto"/>
              </w:rPr>
              <w:t>(308,165)</w:t>
            </w:r>
          </w:p>
        </w:tc>
      </w:tr>
      <w:tr>
        <w:trPr>
          <w:trHeight w:val="220"/>
        </w:trPr>
        <w:tc>
          <w:tcPr>
            <w:tcW w:w="7820" w:type="dxa"/>
            <w:vAlign w:val="bottom"/>
            <w:shd w:val="clear" w:color="auto" w:fill="CCEEFF"/>
          </w:tcPr>
          <w:p>
            <w:pPr>
              <w:ind w:left="220"/>
              <w:spacing w:after="0"/>
              <w:rPr>
                <w:sz w:val="20"/>
                <w:szCs w:val="20"/>
                <w:color w:val="auto"/>
              </w:rPr>
            </w:pPr>
            <w:r>
              <w:rPr>
                <w:rFonts w:ascii="Arial" w:cs="Arial" w:eastAsia="Arial" w:hAnsi="Arial"/>
                <w:sz w:val="15"/>
                <w:szCs w:val="15"/>
                <w:color w:val="auto"/>
              </w:rPr>
              <w:t>Proceeds from dispositions of assets and depreciated homes, net</w:t>
            </w: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24,459</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28,774</w:t>
            </w:r>
          </w:p>
        </w:tc>
      </w:tr>
      <w:tr>
        <w:trPr>
          <w:trHeight w:val="212"/>
        </w:trPr>
        <w:tc>
          <w:tcPr>
            <w:tcW w:w="7820" w:type="dxa"/>
            <w:vAlign w:val="bottom"/>
          </w:tcPr>
          <w:p>
            <w:pPr>
              <w:ind w:left="220"/>
              <w:spacing w:after="0"/>
              <w:rPr>
                <w:sz w:val="20"/>
                <w:szCs w:val="20"/>
                <w:color w:val="auto"/>
              </w:rPr>
            </w:pPr>
            <w:r>
              <w:rPr>
                <w:rFonts w:ascii="Arial" w:cs="Arial" w:eastAsia="Arial" w:hAnsi="Arial"/>
                <w:sz w:val="15"/>
                <w:szCs w:val="15"/>
                <w:color w:val="auto"/>
              </w:rPr>
              <w:t>Issuance of notes and other receivables</w:t>
            </w:r>
          </w:p>
        </w:tc>
        <w:tc>
          <w:tcPr>
            <w:tcW w:w="220" w:type="dxa"/>
            <w:vAlign w:val="bottom"/>
          </w:tcPr>
          <w:p>
            <w:pPr>
              <w:spacing w:after="0"/>
              <w:rPr>
                <w:sz w:val="18"/>
                <w:szCs w:val="18"/>
                <w:color w:val="auto"/>
              </w:rPr>
            </w:pPr>
          </w:p>
        </w:tc>
        <w:tc>
          <w:tcPr>
            <w:tcW w:w="1380" w:type="dxa"/>
            <w:vAlign w:val="bottom"/>
          </w:tcPr>
          <w:p>
            <w:pPr>
              <w:jc w:val="right"/>
              <w:ind w:right="44"/>
              <w:spacing w:after="0"/>
              <w:rPr>
                <w:sz w:val="20"/>
                <w:szCs w:val="20"/>
                <w:color w:val="auto"/>
              </w:rPr>
            </w:pPr>
            <w:r>
              <w:rPr>
                <w:rFonts w:ascii="Arial" w:cs="Arial" w:eastAsia="Arial" w:hAnsi="Arial"/>
                <w:sz w:val="15"/>
                <w:szCs w:val="15"/>
                <w:color w:val="auto"/>
              </w:rPr>
              <w:t>(25,044)</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jc w:val="right"/>
              <w:ind w:right="64"/>
              <w:spacing w:after="0"/>
              <w:rPr>
                <w:sz w:val="20"/>
                <w:szCs w:val="20"/>
                <w:color w:val="auto"/>
              </w:rPr>
            </w:pPr>
            <w:r>
              <w:rPr>
                <w:rFonts w:ascii="Arial" w:cs="Arial" w:eastAsia="Arial" w:hAnsi="Arial"/>
                <w:sz w:val="15"/>
                <w:szCs w:val="15"/>
                <w:color w:val="auto"/>
              </w:rPr>
              <w:t>—</w:t>
            </w:r>
          </w:p>
        </w:tc>
      </w:tr>
      <w:tr>
        <w:trPr>
          <w:trHeight w:val="220"/>
        </w:trPr>
        <w:tc>
          <w:tcPr>
            <w:tcW w:w="7820" w:type="dxa"/>
            <w:vAlign w:val="bottom"/>
            <w:shd w:val="clear" w:color="auto" w:fill="CCEEFF"/>
          </w:tcPr>
          <w:p>
            <w:pPr>
              <w:ind w:left="220"/>
              <w:spacing w:after="0"/>
              <w:rPr>
                <w:sz w:val="20"/>
                <w:szCs w:val="20"/>
                <w:color w:val="auto"/>
              </w:rPr>
            </w:pPr>
            <w:r>
              <w:rPr>
                <w:rFonts w:ascii="Arial" w:cs="Arial" w:eastAsia="Arial" w:hAnsi="Arial"/>
                <w:sz w:val="15"/>
                <w:szCs w:val="15"/>
                <w:color w:val="auto"/>
              </w:rPr>
              <w:t>Repayments of notes and other receivables</w:t>
            </w: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1,719</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2,307</w:t>
            </w:r>
          </w:p>
        </w:tc>
      </w:tr>
      <w:tr>
        <w:trPr>
          <w:trHeight w:val="212"/>
        </w:trPr>
        <w:tc>
          <w:tcPr>
            <w:tcW w:w="7820" w:type="dxa"/>
            <w:vAlign w:val="bottom"/>
          </w:tcPr>
          <w:p>
            <w:pPr>
              <w:ind w:left="220"/>
              <w:spacing w:after="0"/>
              <w:rPr>
                <w:sz w:val="20"/>
                <w:szCs w:val="20"/>
                <w:color w:val="auto"/>
              </w:rPr>
            </w:pPr>
            <w:r>
              <w:rPr>
                <w:rFonts w:ascii="Arial" w:cs="Arial" w:eastAsia="Arial" w:hAnsi="Arial"/>
                <w:sz w:val="15"/>
                <w:szCs w:val="15"/>
                <w:color w:val="auto"/>
              </w:rPr>
              <w:t>Investments in nonconsolidated affiliates</w:t>
            </w:r>
          </w:p>
        </w:tc>
        <w:tc>
          <w:tcPr>
            <w:tcW w:w="220" w:type="dxa"/>
            <w:vAlign w:val="bottom"/>
          </w:tcPr>
          <w:p>
            <w:pPr>
              <w:spacing w:after="0"/>
              <w:rPr>
                <w:sz w:val="18"/>
                <w:szCs w:val="18"/>
                <w:color w:val="auto"/>
              </w:rPr>
            </w:pPr>
          </w:p>
        </w:tc>
        <w:tc>
          <w:tcPr>
            <w:tcW w:w="1380" w:type="dxa"/>
            <w:vAlign w:val="bottom"/>
          </w:tcPr>
          <w:p>
            <w:pPr>
              <w:jc w:val="right"/>
              <w:ind w:right="44"/>
              <w:spacing w:after="0"/>
              <w:rPr>
                <w:sz w:val="20"/>
                <w:szCs w:val="20"/>
                <w:color w:val="auto"/>
              </w:rPr>
            </w:pPr>
            <w:r>
              <w:rPr>
                <w:rFonts w:ascii="Arial" w:cs="Arial" w:eastAsia="Arial" w:hAnsi="Arial"/>
                <w:sz w:val="15"/>
                <w:szCs w:val="15"/>
                <w:color w:val="auto"/>
              </w:rPr>
              <w:t>(23,743)</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jc w:val="right"/>
              <w:ind w:right="24"/>
              <w:spacing w:after="0"/>
              <w:rPr>
                <w:sz w:val="20"/>
                <w:szCs w:val="20"/>
                <w:color w:val="auto"/>
              </w:rPr>
            </w:pPr>
            <w:r>
              <w:rPr>
                <w:rFonts w:ascii="Arial" w:cs="Arial" w:eastAsia="Arial" w:hAnsi="Arial"/>
                <w:sz w:val="15"/>
                <w:szCs w:val="15"/>
                <w:color w:val="auto"/>
              </w:rPr>
              <w:t>(31,869)</w:t>
            </w:r>
          </w:p>
        </w:tc>
      </w:tr>
      <w:tr>
        <w:trPr>
          <w:trHeight w:val="220"/>
        </w:trPr>
        <w:tc>
          <w:tcPr>
            <w:tcW w:w="7820" w:type="dxa"/>
            <w:vAlign w:val="bottom"/>
            <w:shd w:val="clear" w:color="auto" w:fill="CCEEFF"/>
          </w:tcPr>
          <w:p>
            <w:pPr>
              <w:ind w:left="220"/>
              <w:spacing w:after="0"/>
              <w:rPr>
                <w:sz w:val="20"/>
                <w:szCs w:val="20"/>
                <w:color w:val="auto"/>
              </w:rPr>
            </w:pPr>
            <w:r>
              <w:rPr>
                <w:rFonts w:ascii="Arial" w:cs="Arial" w:eastAsia="Arial" w:hAnsi="Arial"/>
                <w:sz w:val="15"/>
                <w:szCs w:val="15"/>
                <w:color w:val="auto"/>
              </w:rPr>
              <w:t>Distributions from nonconsolidated affiliates</w:t>
            </w:r>
          </w:p>
        </w:tc>
        <w:tc>
          <w:tcPr>
            <w:tcW w:w="2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ind w:right="64"/>
              <w:spacing w:after="0"/>
              <w:rPr>
                <w:sz w:val="20"/>
                <w:szCs w:val="20"/>
                <w:color w:val="auto"/>
              </w:rPr>
            </w:pPr>
            <w:r>
              <w:rPr>
                <w:rFonts w:ascii="Arial" w:cs="Arial" w:eastAsia="Arial" w:hAnsi="Arial"/>
                <w:sz w:val="15"/>
                <w:szCs w:val="15"/>
                <w:color w:val="auto"/>
              </w:rPr>
              <w:t>2,070</w:t>
            </w:r>
          </w:p>
        </w:tc>
        <w:tc>
          <w:tcPr>
            <w:tcW w:w="2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ind w:right="64"/>
              <w:spacing w:after="0"/>
              <w:rPr>
                <w:sz w:val="20"/>
                <w:szCs w:val="20"/>
                <w:color w:val="auto"/>
              </w:rPr>
            </w:pPr>
            <w:r>
              <w:rPr>
                <w:rFonts w:ascii="Arial" w:cs="Arial" w:eastAsia="Arial" w:hAnsi="Arial"/>
                <w:sz w:val="15"/>
                <w:szCs w:val="15"/>
                <w:color w:val="auto"/>
              </w:rPr>
              <w:t>1,367</w:t>
            </w:r>
          </w:p>
        </w:tc>
      </w:tr>
      <w:tr>
        <w:trPr>
          <w:trHeight w:val="206"/>
        </w:trPr>
        <w:tc>
          <w:tcPr>
            <w:tcW w:w="7820" w:type="dxa"/>
            <w:vAlign w:val="bottom"/>
            <w:tcBorders>
              <w:bottom w:val="single" w:sz="8" w:color="CCEEFF"/>
            </w:tcBorders>
          </w:tcPr>
          <w:p>
            <w:pPr>
              <w:ind w:left="220"/>
              <w:spacing w:after="0"/>
              <w:rPr>
                <w:sz w:val="20"/>
                <w:szCs w:val="20"/>
                <w:color w:val="auto"/>
              </w:rPr>
            </w:pPr>
            <w:r>
              <w:rPr>
                <w:rFonts w:ascii="Arial" w:cs="Arial" w:eastAsia="Arial" w:hAnsi="Arial"/>
                <w:sz w:val="15"/>
                <w:szCs w:val="15"/>
                <w:b w:val="1"/>
                <w:bCs w:val="1"/>
                <w:color w:val="auto"/>
              </w:rPr>
              <w:t>Net Cash Used For Investing Activities</w:t>
            </w:r>
          </w:p>
        </w:tc>
        <w:tc>
          <w:tcPr>
            <w:tcW w:w="22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(368,116)</w:t>
            </w:r>
          </w:p>
        </w:tc>
        <w:tc>
          <w:tcPr>
            <w:tcW w:w="2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(570,530)</w:t>
            </w:r>
          </w:p>
        </w:tc>
      </w:tr>
      <w:tr>
        <w:trPr>
          <w:trHeight w:val="213"/>
        </w:trPr>
        <w:tc>
          <w:tcPr>
            <w:tcW w:w="782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Financing Activities</w:t>
            </w:r>
          </w:p>
        </w:tc>
        <w:tc>
          <w:tcPr>
            <w:tcW w:w="2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r>
      <w:tr>
        <w:trPr>
          <w:trHeight w:val="212"/>
        </w:trPr>
        <w:tc>
          <w:tcPr>
            <w:tcW w:w="7820" w:type="dxa"/>
            <w:vAlign w:val="bottom"/>
          </w:tcPr>
          <w:p>
            <w:pPr>
              <w:ind w:left="220"/>
              <w:spacing w:after="0"/>
              <w:rPr>
                <w:sz w:val="20"/>
                <w:szCs w:val="20"/>
                <w:color w:val="auto"/>
              </w:rPr>
            </w:pPr>
            <w:r>
              <w:rPr>
                <w:rFonts w:ascii="Arial" w:cs="Arial" w:eastAsia="Arial" w:hAnsi="Arial"/>
                <w:sz w:val="15"/>
                <w:szCs w:val="15"/>
                <w:color w:val="auto"/>
              </w:rPr>
              <w:t>Issuance of common stock, OP units, and preferred OP units, net</w:t>
            </w:r>
          </w:p>
        </w:tc>
        <w:tc>
          <w:tcPr>
            <w:tcW w:w="220" w:type="dxa"/>
            <w:vAlign w:val="bottom"/>
          </w:tcPr>
          <w:p>
            <w:pPr>
              <w:spacing w:after="0"/>
              <w:rPr>
                <w:sz w:val="18"/>
                <w:szCs w:val="18"/>
                <w:color w:val="auto"/>
              </w:rPr>
            </w:pPr>
          </w:p>
        </w:tc>
        <w:tc>
          <w:tcPr>
            <w:tcW w:w="1380" w:type="dxa"/>
            <w:vAlign w:val="bottom"/>
          </w:tcPr>
          <w:p>
            <w:pPr>
              <w:jc w:val="right"/>
              <w:ind w:right="64"/>
              <w:spacing w:after="0"/>
              <w:rPr>
                <w:sz w:val="20"/>
                <w:szCs w:val="20"/>
                <w:color w:val="auto"/>
              </w:rPr>
            </w:pPr>
            <w:r>
              <w:rPr>
                <w:rFonts w:ascii="Arial" w:cs="Arial" w:eastAsia="Arial" w:hAnsi="Arial"/>
                <w:sz w:val="15"/>
                <w:szCs w:val="15"/>
                <w:color w:val="auto"/>
              </w:rPr>
              <w:t>621,415</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jc w:val="right"/>
              <w:ind w:right="64"/>
              <w:spacing w:after="0"/>
              <w:rPr>
                <w:sz w:val="20"/>
                <w:szCs w:val="20"/>
                <w:color w:val="auto"/>
              </w:rPr>
            </w:pPr>
            <w:r>
              <w:rPr>
                <w:rFonts w:ascii="Arial" w:cs="Arial" w:eastAsia="Arial" w:hAnsi="Arial"/>
                <w:sz w:val="15"/>
                <w:szCs w:val="15"/>
                <w:color w:val="auto"/>
              </w:rPr>
              <w:t>443,420</w:t>
            </w:r>
          </w:p>
        </w:tc>
      </w:tr>
      <w:tr>
        <w:trPr>
          <w:trHeight w:val="220"/>
        </w:trPr>
        <w:tc>
          <w:tcPr>
            <w:tcW w:w="7820" w:type="dxa"/>
            <w:vAlign w:val="bottom"/>
            <w:shd w:val="clear" w:color="auto" w:fill="CCEEFF"/>
          </w:tcPr>
          <w:p>
            <w:pPr>
              <w:ind w:left="220"/>
              <w:spacing w:after="0"/>
              <w:rPr>
                <w:sz w:val="20"/>
                <w:szCs w:val="20"/>
                <w:color w:val="auto"/>
              </w:rPr>
            </w:pPr>
            <w:r>
              <w:rPr>
                <w:rFonts w:ascii="Arial" w:cs="Arial" w:eastAsia="Arial" w:hAnsi="Arial"/>
                <w:sz w:val="15"/>
                <w:szCs w:val="15"/>
                <w:color w:val="auto"/>
              </w:rPr>
              <w:t>Redemption of Series B-3 preferred OP units</w:t>
            </w:r>
          </w:p>
        </w:tc>
        <w:tc>
          <w:tcPr>
            <w:tcW w:w="22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right"/>
              <w:ind w:right="360"/>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(2,675)</w:t>
            </w:r>
          </w:p>
        </w:tc>
      </w:tr>
      <w:tr>
        <w:trPr>
          <w:trHeight w:val="212"/>
        </w:trPr>
        <w:tc>
          <w:tcPr>
            <w:tcW w:w="7820" w:type="dxa"/>
            <w:vAlign w:val="bottom"/>
          </w:tcPr>
          <w:p>
            <w:pPr>
              <w:ind w:left="220"/>
              <w:spacing w:after="0"/>
              <w:rPr>
                <w:sz w:val="20"/>
                <w:szCs w:val="20"/>
                <w:color w:val="auto"/>
              </w:rPr>
            </w:pPr>
            <w:r>
              <w:rPr>
                <w:rFonts w:ascii="Arial" w:cs="Arial" w:eastAsia="Arial" w:hAnsi="Arial"/>
                <w:sz w:val="15"/>
                <w:szCs w:val="15"/>
                <w:color w:val="auto"/>
              </w:rPr>
              <w:t>Borrowings on lines of credit</w:t>
            </w:r>
          </w:p>
        </w:tc>
        <w:tc>
          <w:tcPr>
            <w:tcW w:w="220" w:type="dxa"/>
            <w:vAlign w:val="bottom"/>
          </w:tcPr>
          <w:p>
            <w:pPr>
              <w:spacing w:after="0"/>
              <w:rPr>
                <w:sz w:val="18"/>
                <w:szCs w:val="18"/>
                <w:color w:val="auto"/>
              </w:rPr>
            </w:pPr>
          </w:p>
        </w:tc>
        <w:tc>
          <w:tcPr>
            <w:tcW w:w="1380" w:type="dxa"/>
            <w:vAlign w:val="bottom"/>
          </w:tcPr>
          <w:p>
            <w:pPr>
              <w:jc w:val="right"/>
              <w:ind w:right="64"/>
              <w:spacing w:after="0"/>
              <w:rPr>
                <w:sz w:val="20"/>
                <w:szCs w:val="20"/>
                <w:color w:val="auto"/>
              </w:rPr>
            </w:pPr>
            <w:r>
              <w:rPr>
                <w:rFonts w:ascii="Arial" w:cs="Arial" w:eastAsia="Arial" w:hAnsi="Arial"/>
                <w:sz w:val="15"/>
                <w:szCs w:val="15"/>
                <w:color w:val="auto"/>
              </w:rPr>
              <w:t>1,217,289</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jc w:val="right"/>
              <w:ind w:right="64"/>
              <w:spacing w:after="0"/>
              <w:rPr>
                <w:sz w:val="20"/>
                <w:szCs w:val="20"/>
                <w:color w:val="auto"/>
              </w:rPr>
            </w:pPr>
            <w:r>
              <w:rPr>
                <w:rFonts w:ascii="Arial" w:cs="Arial" w:eastAsia="Arial" w:hAnsi="Arial"/>
                <w:sz w:val="15"/>
                <w:szCs w:val="15"/>
                <w:color w:val="auto"/>
              </w:rPr>
              <w:t>2,345,659</w:t>
            </w:r>
          </w:p>
        </w:tc>
      </w:tr>
      <w:tr>
        <w:trPr>
          <w:trHeight w:val="220"/>
        </w:trPr>
        <w:tc>
          <w:tcPr>
            <w:tcW w:w="7820" w:type="dxa"/>
            <w:vAlign w:val="bottom"/>
            <w:shd w:val="clear" w:color="auto" w:fill="CCEEFF"/>
          </w:tcPr>
          <w:p>
            <w:pPr>
              <w:ind w:left="220"/>
              <w:spacing w:after="0"/>
              <w:rPr>
                <w:sz w:val="20"/>
                <w:szCs w:val="20"/>
                <w:color w:val="auto"/>
              </w:rPr>
            </w:pPr>
            <w:r>
              <w:rPr>
                <w:rFonts w:ascii="Arial" w:cs="Arial" w:eastAsia="Arial" w:hAnsi="Arial"/>
                <w:sz w:val="15"/>
                <w:szCs w:val="15"/>
                <w:color w:val="auto"/>
              </w:rPr>
              <w:t>Payments on lines of credit</w:t>
            </w: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(1,286,462)</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(2,397,580)</w:t>
            </w:r>
          </w:p>
        </w:tc>
      </w:tr>
      <w:tr>
        <w:trPr>
          <w:trHeight w:val="212"/>
        </w:trPr>
        <w:tc>
          <w:tcPr>
            <w:tcW w:w="7820" w:type="dxa"/>
            <w:vAlign w:val="bottom"/>
          </w:tcPr>
          <w:p>
            <w:pPr>
              <w:ind w:left="220"/>
              <w:spacing w:after="0"/>
              <w:rPr>
                <w:sz w:val="20"/>
                <w:szCs w:val="20"/>
                <w:color w:val="auto"/>
              </w:rPr>
            </w:pPr>
            <w:r>
              <w:rPr>
                <w:rFonts w:ascii="Arial" w:cs="Arial" w:eastAsia="Arial" w:hAnsi="Arial"/>
                <w:sz w:val="15"/>
                <w:szCs w:val="15"/>
                <w:color w:val="auto"/>
              </w:rPr>
              <w:t>Proceeds from issuance of other debt</w:t>
            </w:r>
          </w:p>
        </w:tc>
        <w:tc>
          <w:tcPr>
            <w:tcW w:w="220" w:type="dxa"/>
            <w:vAlign w:val="bottom"/>
          </w:tcPr>
          <w:p>
            <w:pPr>
              <w:spacing w:after="0"/>
              <w:rPr>
                <w:sz w:val="18"/>
                <w:szCs w:val="18"/>
                <w:color w:val="auto"/>
              </w:rPr>
            </w:pPr>
          </w:p>
        </w:tc>
        <w:tc>
          <w:tcPr>
            <w:tcW w:w="1380" w:type="dxa"/>
            <w:vAlign w:val="bottom"/>
          </w:tcPr>
          <w:p>
            <w:pPr>
              <w:jc w:val="right"/>
              <w:ind w:right="64"/>
              <w:spacing w:after="0"/>
              <w:rPr>
                <w:sz w:val="20"/>
                <w:szCs w:val="20"/>
                <w:color w:val="auto"/>
              </w:rPr>
            </w:pPr>
            <w:r>
              <w:rPr>
                <w:rFonts w:ascii="Arial" w:cs="Arial" w:eastAsia="Arial" w:hAnsi="Arial"/>
                <w:sz w:val="15"/>
                <w:szCs w:val="15"/>
                <w:color w:val="auto"/>
              </w:rPr>
              <w:t>230,000</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jc w:val="right"/>
              <w:ind w:right="64"/>
              <w:spacing w:after="0"/>
              <w:rPr>
                <w:sz w:val="20"/>
                <w:szCs w:val="20"/>
                <w:color w:val="auto"/>
              </w:rPr>
            </w:pPr>
            <w:r>
              <w:rPr>
                <w:rFonts w:ascii="Arial" w:cs="Arial" w:eastAsia="Arial" w:hAnsi="Arial"/>
                <w:sz w:val="15"/>
                <w:szCs w:val="15"/>
                <w:color w:val="auto"/>
              </w:rPr>
              <w:t>265,000</w:t>
            </w:r>
          </w:p>
        </w:tc>
      </w:tr>
      <w:tr>
        <w:trPr>
          <w:trHeight w:val="220"/>
        </w:trPr>
        <w:tc>
          <w:tcPr>
            <w:tcW w:w="7820" w:type="dxa"/>
            <w:vAlign w:val="bottom"/>
            <w:shd w:val="clear" w:color="auto" w:fill="CCEEFF"/>
          </w:tcPr>
          <w:p>
            <w:pPr>
              <w:ind w:left="220"/>
              <w:spacing w:after="0"/>
              <w:rPr>
                <w:sz w:val="20"/>
                <w:szCs w:val="20"/>
                <w:color w:val="auto"/>
              </w:rPr>
            </w:pPr>
            <w:r>
              <w:rPr>
                <w:rFonts w:ascii="Arial" w:cs="Arial" w:eastAsia="Arial" w:hAnsi="Arial"/>
                <w:sz w:val="15"/>
                <w:szCs w:val="15"/>
                <w:color w:val="auto"/>
              </w:rPr>
              <w:t>Payments on other debt</w:t>
            </w: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(201,598)</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(223,559)</w:t>
            </w:r>
          </w:p>
        </w:tc>
      </w:tr>
      <w:tr>
        <w:trPr>
          <w:trHeight w:val="212"/>
        </w:trPr>
        <w:tc>
          <w:tcPr>
            <w:tcW w:w="7820" w:type="dxa"/>
            <w:vAlign w:val="bottom"/>
          </w:tcPr>
          <w:p>
            <w:pPr>
              <w:ind w:left="220"/>
              <w:spacing w:after="0"/>
              <w:rPr>
                <w:sz w:val="20"/>
                <w:szCs w:val="20"/>
                <w:color w:val="auto"/>
              </w:rPr>
            </w:pPr>
            <w:r>
              <w:rPr>
                <w:rFonts w:ascii="Arial" w:cs="Arial" w:eastAsia="Arial" w:hAnsi="Arial"/>
                <w:sz w:val="15"/>
                <w:szCs w:val="15"/>
                <w:color w:val="auto"/>
              </w:rPr>
              <w:t>Prepayment penalty on collateralized term loans</w:t>
            </w:r>
          </w:p>
        </w:tc>
        <w:tc>
          <w:tcPr>
            <w:tcW w:w="220" w:type="dxa"/>
            <w:vAlign w:val="bottom"/>
          </w:tcPr>
          <w:p>
            <w:pPr>
              <w:spacing w:after="0"/>
              <w:rPr>
                <w:sz w:val="18"/>
                <w:szCs w:val="18"/>
                <w:color w:val="auto"/>
              </w:rPr>
            </w:pPr>
          </w:p>
        </w:tc>
        <w:tc>
          <w:tcPr>
            <w:tcW w:w="1380" w:type="dxa"/>
            <w:vAlign w:val="bottom"/>
          </w:tcPr>
          <w:p>
            <w:pPr>
              <w:jc w:val="right"/>
              <w:ind w:right="44"/>
              <w:spacing w:after="0"/>
              <w:rPr>
                <w:sz w:val="20"/>
                <w:szCs w:val="20"/>
                <w:color w:val="auto"/>
              </w:rPr>
            </w:pPr>
            <w:r>
              <w:rPr>
                <w:rFonts w:ascii="Arial" w:cs="Arial" w:eastAsia="Arial" w:hAnsi="Arial"/>
                <w:sz w:val="15"/>
                <w:szCs w:val="15"/>
                <w:color w:val="auto"/>
              </w:rPr>
              <w:t>(6,226)</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jc w:val="right"/>
              <w:ind w:right="64"/>
              <w:spacing w:after="0"/>
              <w:rPr>
                <w:sz w:val="20"/>
                <w:szCs w:val="20"/>
                <w:color w:val="auto"/>
              </w:rPr>
            </w:pPr>
            <w:r>
              <w:rPr>
                <w:rFonts w:ascii="Arial" w:cs="Arial" w:eastAsia="Arial" w:hAnsi="Arial"/>
                <w:sz w:val="15"/>
                <w:szCs w:val="15"/>
                <w:color w:val="auto"/>
              </w:rPr>
              <w:t>—</w:t>
            </w:r>
          </w:p>
        </w:tc>
      </w:tr>
      <w:tr>
        <w:trPr>
          <w:trHeight w:val="220"/>
        </w:trPr>
        <w:tc>
          <w:tcPr>
            <w:tcW w:w="7820" w:type="dxa"/>
            <w:vAlign w:val="bottom"/>
            <w:shd w:val="clear" w:color="auto" w:fill="CCEEFF"/>
          </w:tcPr>
          <w:p>
            <w:pPr>
              <w:ind w:left="220"/>
              <w:spacing w:after="0"/>
              <w:rPr>
                <w:sz w:val="20"/>
                <w:szCs w:val="20"/>
                <w:color w:val="auto"/>
              </w:rPr>
            </w:pPr>
            <w:r>
              <w:rPr>
                <w:rFonts w:ascii="Arial" w:cs="Arial" w:eastAsia="Arial" w:hAnsi="Arial"/>
                <w:sz w:val="15"/>
                <w:szCs w:val="15"/>
                <w:color w:val="auto"/>
              </w:rPr>
              <w:t>Proceeds received from return of prepaid deferred financing costs</w:t>
            </w:r>
          </w:p>
        </w:tc>
        <w:tc>
          <w:tcPr>
            <w:tcW w:w="22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right"/>
              <w:ind w:right="360"/>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1,618</w:t>
            </w:r>
          </w:p>
        </w:tc>
      </w:tr>
      <w:tr>
        <w:trPr>
          <w:trHeight w:val="212"/>
        </w:trPr>
        <w:tc>
          <w:tcPr>
            <w:tcW w:w="7820" w:type="dxa"/>
            <w:vAlign w:val="bottom"/>
          </w:tcPr>
          <w:p>
            <w:pPr>
              <w:ind w:left="220"/>
              <w:spacing w:after="0"/>
              <w:rPr>
                <w:sz w:val="20"/>
                <w:szCs w:val="20"/>
                <w:color w:val="auto"/>
              </w:rPr>
            </w:pPr>
            <w:r>
              <w:rPr>
                <w:rFonts w:ascii="Arial" w:cs="Arial" w:eastAsia="Arial" w:hAnsi="Arial"/>
                <w:sz w:val="15"/>
                <w:szCs w:val="15"/>
                <w:color w:val="auto"/>
              </w:rPr>
              <w:t>Distributions to stockholders, OP unit holders, and preferred OP unit holders</w:t>
            </w:r>
          </w:p>
        </w:tc>
        <w:tc>
          <w:tcPr>
            <w:tcW w:w="220" w:type="dxa"/>
            <w:vAlign w:val="bottom"/>
          </w:tcPr>
          <w:p>
            <w:pPr>
              <w:spacing w:after="0"/>
              <w:rPr>
                <w:sz w:val="18"/>
                <w:szCs w:val="18"/>
                <w:color w:val="auto"/>
              </w:rPr>
            </w:pPr>
          </w:p>
        </w:tc>
        <w:tc>
          <w:tcPr>
            <w:tcW w:w="1380" w:type="dxa"/>
            <w:vAlign w:val="bottom"/>
          </w:tcPr>
          <w:p>
            <w:pPr>
              <w:jc w:val="right"/>
              <w:ind w:right="44"/>
              <w:spacing w:after="0"/>
              <w:rPr>
                <w:sz w:val="20"/>
                <w:szCs w:val="20"/>
                <w:color w:val="auto"/>
              </w:rPr>
            </w:pPr>
            <w:r>
              <w:rPr>
                <w:rFonts w:ascii="Arial" w:cs="Arial" w:eastAsia="Arial" w:hAnsi="Arial"/>
                <w:sz w:val="15"/>
                <w:szCs w:val="15"/>
                <w:color w:val="auto"/>
              </w:rPr>
              <w:t>(150,422)</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jc w:val="right"/>
              <w:ind w:right="24"/>
              <w:spacing w:after="0"/>
              <w:rPr>
                <w:sz w:val="20"/>
                <w:szCs w:val="20"/>
                <w:color w:val="auto"/>
              </w:rPr>
            </w:pPr>
            <w:r>
              <w:rPr>
                <w:rFonts w:ascii="Arial" w:cs="Arial" w:eastAsia="Arial" w:hAnsi="Arial"/>
                <w:sz w:val="15"/>
                <w:szCs w:val="15"/>
                <w:color w:val="auto"/>
              </w:rPr>
              <w:t>(133,989)</w:t>
            </w:r>
          </w:p>
        </w:tc>
      </w:tr>
      <w:tr>
        <w:trPr>
          <w:trHeight w:val="220"/>
        </w:trPr>
        <w:tc>
          <w:tcPr>
            <w:tcW w:w="7820" w:type="dxa"/>
            <w:vAlign w:val="bottom"/>
            <w:shd w:val="clear" w:color="auto" w:fill="CCEEFF"/>
          </w:tcPr>
          <w:p>
            <w:pPr>
              <w:ind w:left="220"/>
              <w:spacing w:after="0"/>
              <w:rPr>
                <w:sz w:val="20"/>
                <w:szCs w:val="20"/>
                <w:color w:val="auto"/>
              </w:rPr>
            </w:pPr>
            <w:r>
              <w:rPr>
                <w:rFonts w:ascii="Arial" w:cs="Arial" w:eastAsia="Arial" w:hAnsi="Arial"/>
                <w:sz w:val="15"/>
                <w:szCs w:val="15"/>
                <w:color w:val="auto"/>
              </w:rPr>
              <w:t>Payments for deferred financing costs</w:t>
            </w:r>
          </w:p>
        </w:tc>
        <w:tc>
          <w:tcPr>
            <w:tcW w:w="2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rPr>
              <w:t>(3,331)</w:t>
            </w:r>
          </w:p>
        </w:tc>
        <w:tc>
          <w:tcPr>
            <w:tcW w:w="2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rPr>
              <w:t>(3,875)</w:t>
            </w:r>
          </w:p>
        </w:tc>
      </w:tr>
      <w:tr>
        <w:trPr>
          <w:trHeight w:val="205"/>
        </w:trPr>
        <w:tc>
          <w:tcPr>
            <w:tcW w:w="7820" w:type="dxa"/>
            <w:vAlign w:val="bottom"/>
            <w:tcBorders>
              <w:bottom w:val="single" w:sz="8" w:color="CCEEFF"/>
            </w:tcBorders>
          </w:tcPr>
          <w:p>
            <w:pPr>
              <w:ind w:left="220"/>
              <w:spacing w:after="0"/>
              <w:rPr>
                <w:sz w:val="20"/>
                <w:szCs w:val="20"/>
                <w:color w:val="auto"/>
              </w:rPr>
            </w:pPr>
            <w:r>
              <w:rPr>
                <w:rFonts w:ascii="Arial" w:cs="Arial" w:eastAsia="Arial" w:hAnsi="Arial"/>
                <w:sz w:val="15"/>
                <w:szCs w:val="15"/>
                <w:b w:val="1"/>
                <w:bCs w:val="1"/>
                <w:color w:val="auto"/>
              </w:rPr>
              <w:t>Net Cash Provided By Financing Activities</w:t>
            </w:r>
          </w:p>
        </w:tc>
        <w:tc>
          <w:tcPr>
            <w:tcW w:w="22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color w:val="auto"/>
              </w:rPr>
              <w:t>420,665</w:t>
            </w:r>
          </w:p>
        </w:tc>
        <w:tc>
          <w:tcPr>
            <w:tcW w:w="2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color w:val="auto"/>
              </w:rPr>
              <w:t>294,019</w:t>
            </w:r>
          </w:p>
        </w:tc>
      </w:tr>
      <w:tr>
        <w:trPr>
          <w:trHeight w:val="210"/>
        </w:trPr>
        <w:tc>
          <w:tcPr>
            <w:tcW w:w="7820" w:type="dxa"/>
            <w:vAlign w:val="bottom"/>
            <w:shd w:val="clear" w:color="auto" w:fill="CCEEFF"/>
          </w:tcPr>
          <w:p>
            <w:pPr>
              <w:ind w:left="20"/>
              <w:spacing w:after="0"/>
              <w:rPr>
                <w:sz w:val="20"/>
                <w:szCs w:val="20"/>
                <w:color w:val="auto"/>
              </w:rPr>
            </w:pPr>
            <w:r>
              <w:rPr>
                <w:rFonts w:ascii="Arial" w:cs="Arial" w:eastAsia="Arial" w:hAnsi="Arial"/>
                <w:sz w:val="15"/>
                <w:szCs w:val="15"/>
                <w:color w:val="auto"/>
              </w:rPr>
              <w:t>Effect of exchange rate changes on cash, cash equivalents and restricted cash</w:t>
            </w:r>
          </w:p>
        </w:tc>
        <w:tc>
          <w:tcPr>
            <w:tcW w:w="22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rPr>
              <w:t>(192)</w:t>
            </w:r>
          </w:p>
        </w:tc>
        <w:tc>
          <w:tcPr>
            <w:tcW w:w="2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ind w:right="64"/>
              <w:spacing w:after="0"/>
              <w:rPr>
                <w:sz w:val="20"/>
                <w:szCs w:val="20"/>
                <w:color w:val="auto"/>
              </w:rPr>
            </w:pPr>
            <w:r>
              <w:rPr>
                <w:rFonts w:ascii="Arial" w:cs="Arial" w:eastAsia="Arial" w:hAnsi="Arial"/>
                <w:sz w:val="15"/>
                <w:szCs w:val="15"/>
                <w:color w:val="auto"/>
              </w:rPr>
              <w:t>443</w:t>
            </w:r>
          </w:p>
        </w:tc>
      </w:tr>
      <w:tr>
        <w:trPr>
          <w:trHeight w:val="209"/>
        </w:trPr>
        <w:tc>
          <w:tcPr>
            <w:tcW w:w="7820" w:type="dxa"/>
            <w:vAlign w:val="bottom"/>
          </w:tcPr>
          <w:p>
            <w:pPr>
              <w:ind w:left="20"/>
              <w:spacing w:after="0"/>
              <w:rPr>
                <w:sz w:val="20"/>
                <w:szCs w:val="20"/>
                <w:color w:val="auto"/>
              </w:rPr>
            </w:pPr>
            <w:r>
              <w:rPr>
                <w:rFonts w:ascii="Arial" w:cs="Arial" w:eastAsia="Arial" w:hAnsi="Arial"/>
                <w:sz w:val="15"/>
                <w:szCs w:val="15"/>
                <w:color w:val="auto"/>
              </w:rPr>
              <w:t>Net change in cash, cash equivalents and restricted cash</w:t>
            </w:r>
          </w:p>
        </w:tc>
        <w:tc>
          <w:tcPr>
            <w:tcW w:w="220" w:type="dxa"/>
            <w:vAlign w:val="bottom"/>
          </w:tcPr>
          <w:p>
            <w:pPr>
              <w:spacing w:after="0"/>
              <w:rPr>
                <w:sz w:val="18"/>
                <w:szCs w:val="18"/>
                <w:color w:val="auto"/>
              </w:rPr>
            </w:pPr>
          </w:p>
        </w:tc>
        <w:tc>
          <w:tcPr>
            <w:tcW w:w="1380" w:type="dxa"/>
            <w:vAlign w:val="bottom"/>
          </w:tcPr>
          <w:p>
            <w:pPr>
              <w:jc w:val="right"/>
              <w:ind w:right="64"/>
              <w:spacing w:after="0"/>
              <w:rPr>
                <w:sz w:val="20"/>
                <w:szCs w:val="20"/>
                <w:color w:val="auto"/>
              </w:rPr>
            </w:pPr>
            <w:r>
              <w:rPr>
                <w:rFonts w:ascii="Arial" w:cs="Arial" w:eastAsia="Arial" w:hAnsi="Arial"/>
                <w:sz w:val="15"/>
                <w:szCs w:val="15"/>
                <w:color w:val="auto"/>
              </w:rPr>
              <w:t>354,384</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jc w:val="right"/>
              <w:ind w:right="24"/>
              <w:spacing w:after="0"/>
              <w:rPr>
                <w:sz w:val="20"/>
                <w:szCs w:val="20"/>
                <w:color w:val="auto"/>
              </w:rPr>
            </w:pPr>
            <w:r>
              <w:rPr>
                <w:rFonts w:ascii="Arial" w:cs="Arial" w:eastAsia="Arial" w:hAnsi="Arial"/>
                <w:sz w:val="15"/>
                <w:szCs w:val="15"/>
                <w:color w:val="auto"/>
              </w:rPr>
              <w:t>(16,224)</w:t>
            </w:r>
          </w:p>
        </w:tc>
      </w:tr>
      <w:tr>
        <w:trPr>
          <w:trHeight w:val="216"/>
        </w:trPr>
        <w:tc>
          <w:tcPr>
            <w:tcW w:w="7820" w:type="dxa"/>
            <w:vAlign w:val="bottom"/>
            <w:shd w:val="clear" w:color="auto" w:fill="CCEEFF"/>
          </w:tcPr>
          <w:p>
            <w:pPr>
              <w:ind w:left="20"/>
              <w:spacing w:after="0"/>
              <w:rPr>
                <w:sz w:val="20"/>
                <w:szCs w:val="20"/>
                <w:color w:val="auto"/>
              </w:rPr>
            </w:pPr>
            <w:r>
              <w:rPr>
                <w:rFonts w:ascii="Arial" w:cs="Arial" w:eastAsia="Arial" w:hAnsi="Arial"/>
                <w:sz w:val="15"/>
                <w:szCs w:val="15"/>
                <w:color w:val="auto"/>
              </w:rPr>
              <w:t>Cash, cash equivalents and restricted cash, beginning of period</w:t>
            </w:r>
          </w:p>
        </w:tc>
        <w:tc>
          <w:tcPr>
            <w:tcW w:w="22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ind w:right="64"/>
              <w:spacing w:after="0"/>
              <w:rPr>
                <w:sz w:val="20"/>
                <w:szCs w:val="20"/>
                <w:color w:val="auto"/>
              </w:rPr>
            </w:pPr>
            <w:r>
              <w:rPr>
                <w:rFonts w:ascii="Arial" w:cs="Arial" w:eastAsia="Arial" w:hAnsi="Arial"/>
                <w:sz w:val="15"/>
                <w:szCs w:val="15"/>
                <w:color w:val="auto"/>
              </w:rPr>
              <w:t>34,830</w:t>
            </w:r>
          </w:p>
        </w:tc>
        <w:tc>
          <w:tcPr>
            <w:tcW w:w="2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ind w:right="64"/>
              <w:spacing w:after="0"/>
              <w:rPr>
                <w:sz w:val="20"/>
                <w:szCs w:val="20"/>
                <w:color w:val="auto"/>
              </w:rPr>
            </w:pPr>
            <w:r>
              <w:rPr>
                <w:rFonts w:ascii="Arial" w:cs="Arial" w:eastAsia="Arial" w:hAnsi="Arial"/>
                <w:sz w:val="15"/>
                <w:szCs w:val="15"/>
                <w:color w:val="auto"/>
              </w:rPr>
              <w:t>62,262</w:t>
            </w:r>
          </w:p>
        </w:tc>
      </w:tr>
      <w:tr>
        <w:trPr>
          <w:trHeight w:val="214"/>
        </w:trPr>
        <w:tc>
          <w:tcPr>
            <w:tcW w:w="7820" w:type="dxa"/>
            <w:vAlign w:val="bottom"/>
          </w:tcPr>
          <w:p>
            <w:pPr>
              <w:ind w:left="20"/>
              <w:spacing w:after="0"/>
              <w:rPr>
                <w:sz w:val="20"/>
                <w:szCs w:val="20"/>
                <w:color w:val="auto"/>
              </w:rPr>
            </w:pPr>
            <w:r>
              <w:rPr>
                <w:rFonts w:ascii="Arial" w:cs="Arial" w:eastAsia="Arial" w:hAnsi="Arial"/>
                <w:sz w:val="15"/>
                <w:szCs w:val="15"/>
                <w:b w:val="1"/>
                <w:bCs w:val="1"/>
                <w:color w:val="auto"/>
              </w:rPr>
              <w:t>Cash, Cash Equivalents and Restricted Cash, End of Period</w:t>
            </w:r>
          </w:p>
        </w:tc>
        <w:tc>
          <w:tcPr>
            <w:tcW w:w="22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w w:val="95"/>
              </w:rPr>
              <w:t>$</w:t>
            </w:r>
          </w:p>
        </w:tc>
        <w:tc>
          <w:tcPr>
            <w:tcW w:w="138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color w:val="auto"/>
              </w:rPr>
              <w:t>389,214</w:t>
            </w:r>
          </w:p>
        </w:tc>
        <w:tc>
          <w:tcPr>
            <w:tcW w:w="220" w:type="dxa"/>
            <w:vAlign w:val="bottom"/>
          </w:tcPr>
          <w:p>
            <w:pPr>
              <w:spacing w:after="0"/>
              <w:rPr>
                <w:sz w:val="18"/>
                <w:szCs w:val="18"/>
                <w:color w:val="auto"/>
              </w:rPr>
            </w:pPr>
          </w:p>
        </w:tc>
        <w:tc>
          <w:tcPr>
            <w:tcW w:w="24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color w:val="auto"/>
                <w:w w:val="95"/>
              </w:rPr>
              <w:t>$</w:t>
            </w:r>
          </w:p>
        </w:tc>
        <w:tc>
          <w:tcPr>
            <w:tcW w:w="136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color w:val="auto"/>
              </w:rPr>
              <w:t>46,038</w:t>
            </w:r>
          </w:p>
        </w:tc>
      </w:tr>
      <w:tr>
        <w:trPr>
          <w:trHeight w:val="20"/>
        </w:trPr>
        <w:tc>
          <w:tcPr>
            <w:tcW w:w="78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78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3200" w:type="dxa"/>
            <w:vAlign w:val="bottom"/>
            <w:tcBorders>
              <w:bottom w:val="single" w:sz="8" w:color="auto"/>
            </w:tcBorders>
            <w:gridSpan w:val="4"/>
          </w:tcPr>
          <w:p>
            <w:pPr>
              <w:jc w:val="right"/>
              <w:ind w:right="1024"/>
              <w:spacing w:after="0"/>
              <w:rPr>
                <w:sz w:val="20"/>
                <w:szCs w:val="20"/>
                <w:color w:val="auto"/>
              </w:rPr>
            </w:pPr>
            <w:r>
              <w:rPr>
                <w:rFonts w:ascii="Arial" w:cs="Arial" w:eastAsia="Arial" w:hAnsi="Arial"/>
                <w:sz w:val="15"/>
                <w:szCs w:val="15"/>
                <w:b w:val="1"/>
                <w:bCs w:val="1"/>
                <w:color w:val="auto"/>
              </w:rPr>
              <w:t>Six Months Ended</w:t>
            </w:r>
          </w:p>
        </w:tc>
      </w:tr>
      <w:tr>
        <w:trPr>
          <w:trHeight w:val="207"/>
        </w:trPr>
        <w:tc>
          <w:tcPr>
            <w:tcW w:w="7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gridSpan w:val="2"/>
          </w:tcPr>
          <w:p>
            <w:pPr>
              <w:ind w:left="140"/>
              <w:spacing w:after="0"/>
              <w:rPr>
                <w:sz w:val="20"/>
                <w:szCs w:val="20"/>
                <w:color w:val="auto"/>
              </w:rPr>
            </w:pPr>
            <w:r>
              <w:rPr>
                <w:rFonts w:ascii="Arial" w:cs="Arial" w:eastAsia="Arial" w:hAnsi="Arial"/>
                <w:sz w:val="15"/>
                <w:szCs w:val="15"/>
                <w:b w:val="1"/>
                <w:bCs w:val="1"/>
                <w:color w:val="auto"/>
              </w:rPr>
              <w:t>June 30, 2020</w:t>
            </w:r>
          </w:p>
        </w:tc>
        <w:tc>
          <w:tcPr>
            <w:tcW w:w="240" w:type="dxa"/>
            <w:vAlign w:val="bottom"/>
          </w:tcPr>
          <w:p>
            <w:pPr>
              <w:spacing w:after="0"/>
              <w:rPr>
                <w:sz w:val="18"/>
                <w:szCs w:val="18"/>
                <w:color w:val="auto"/>
              </w:rPr>
            </w:pPr>
          </w:p>
        </w:tc>
        <w:tc>
          <w:tcPr>
            <w:tcW w:w="1360" w:type="dxa"/>
            <w:vAlign w:val="bottom"/>
          </w:tcPr>
          <w:p>
            <w:pPr>
              <w:jc w:val="right"/>
              <w:ind w:right="284"/>
              <w:spacing w:after="0"/>
              <w:rPr>
                <w:sz w:val="20"/>
                <w:szCs w:val="20"/>
                <w:color w:val="auto"/>
              </w:rPr>
            </w:pPr>
            <w:r>
              <w:rPr>
                <w:rFonts w:ascii="Arial" w:cs="Arial" w:eastAsia="Arial" w:hAnsi="Arial"/>
                <w:sz w:val="15"/>
                <w:szCs w:val="15"/>
                <w:b w:val="1"/>
                <w:bCs w:val="1"/>
                <w:color w:val="auto"/>
              </w:rPr>
              <w:t>June 30, 2019</w:t>
            </w:r>
          </w:p>
        </w:tc>
      </w:tr>
      <w:tr>
        <w:trPr>
          <w:trHeight w:val="212"/>
        </w:trPr>
        <w:tc>
          <w:tcPr>
            <w:tcW w:w="7820" w:type="dxa"/>
            <w:vAlign w:val="bottom"/>
          </w:tcPr>
          <w:p>
            <w:pPr>
              <w:ind w:left="20"/>
              <w:spacing w:after="0"/>
              <w:rPr>
                <w:sz w:val="20"/>
                <w:szCs w:val="20"/>
                <w:color w:val="auto"/>
              </w:rPr>
            </w:pPr>
            <w:r>
              <w:rPr>
                <w:rFonts w:ascii="Arial" w:cs="Arial" w:eastAsia="Arial" w:hAnsi="Arial"/>
                <w:sz w:val="15"/>
                <w:szCs w:val="15"/>
                <w:b w:val="1"/>
                <w:bCs w:val="1"/>
                <w:color w:val="auto"/>
              </w:rPr>
              <w:t>Supplemental Information</w:t>
            </w:r>
          </w:p>
        </w:tc>
        <w:tc>
          <w:tcPr>
            <w:tcW w:w="22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r>
      <w:tr>
        <w:trPr>
          <w:trHeight w:val="220"/>
        </w:trPr>
        <w:tc>
          <w:tcPr>
            <w:tcW w:w="7820" w:type="dxa"/>
            <w:vAlign w:val="bottom"/>
            <w:shd w:val="clear" w:color="auto" w:fill="CCEEFF"/>
          </w:tcPr>
          <w:p>
            <w:pPr>
              <w:ind w:left="20"/>
              <w:spacing w:after="0"/>
              <w:rPr>
                <w:sz w:val="20"/>
                <w:szCs w:val="20"/>
                <w:color w:val="auto"/>
              </w:rPr>
            </w:pPr>
            <w:r>
              <w:rPr>
                <w:rFonts w:ascii="Arial" w:cs="Arial" w:eastAsia="Arial" w:hAnsi="Arial"/>
                <w:sz w:val="15"/>
                <w:szCs w:val="15"/>
                <w:color w:val="auto"/>
              </w:rPr>
              <w:t>Cash paid for interest (net of capitalized interest of $4,561, $3,283 respectively)</w:t>
            </w:r>
          </w:p>
        </w:tc>
        <w:tc>
          <w:tcPr>
            <w:tcW w:w="22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w w:val="95"/>
              </w:rPr>
              <w:t>$</w:t>
            </w:r>
          </w:p>
        </w:tc>
        <w:tc>
          <w:tcPr>
            <w:tcW w:w="138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65,822</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w w:val="95"/>
              </w:rPr>
              <w:t>$</w:t>
            </w:r>
          </w:p>
        </w:tc>
        <w:tc>
          <w:tcPr>
            <w:tcW w:w="136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66,947</w:t>
            </w:r>
          </w:p>
        </w:tc>
      </w:tr>
      <w:tr>
        <w:trPr>
          <w:trHeight w:val="212"/>
        </w:trPr>
        <w:tc>
          <w:tcPr>
            <w:tcW w:w="7820" w:type="dxa"/>
            <w:vAlign w:val="bottom"/>
          </w:tcPr>
          <w:p>
            <w:pPr>
              <w:ind w:left="20"/>
              <w:spacing w:after="0"/>
              <w:rPr>
                <w:sz w:val="20"/>
                <w:szCs w:val="20"/>
                <w:color w:val="auto"/>
              </w:rPr>
            </w:pPr>
            <w:r>
              <w:rPr>
                <w:rFonts w:ascii="Arial" w:cs="Arial" w:eastAsia="Arial" w:hAnsi="Arial"/>
                <w:sz w:val="15"/>
                <w:szCs w:val="15"/>
                <w:color w:val="auto"/>
              </w:rPr>
              <w:t>Cash paid for interest on mandatorily redeemable debt</w:t>
            </w:r>
          </w:p>
        </w:tc>
        <w:tc>
          <w:tcPr>
            <w:tcW w:w="220" w:type="dxa"/>
            <w:vAlign w:val="bottom"/>
          </w:tcPr>
          <w:p>
            <w:pPr>
              <w:jc w:val="right"/>
              <w:ind w:right="44"/>
              <w:spacing w:after="0"/>
              <w:rPr>
                <w:sz w:val="20"/>
                <w:szCs w:val="20"/>
                <w:color w:val="auto"/>
              </w:rPr>
            </w:pPr>
            <w:r>
              <w:rPr>
                <w:rFonts w:ascii="Arial" w:cs="Arial" w:eastAsia="Arial" w:hAnsi="Arial"/>
                <w:sz w:val="15"/>
                <w:szCs w:val="15"/>
                <w:color w:val="auto"/>
                <w:w w:val="95"/>
              </w:rPr>
              <w:t>$</w:t>
            </w:r>
          </w:p>
        </w:tc>
        <w:tc>
          <w:tcPr>
            <w:tcW w:w="1380" w:type="dxa"/>
            <w:vAlign w:val="bottom"/>
          </w:tcPr>
          <w:p>
            <w:pPr>
              <w:jc w:val="right"/>
              <w:ind w:right="64"/>
              <w:spacing w:after="0"/>
              <w:rPr>
                <w:sz w:val="20"/>
                <w:szCs w:val="20"/>
                <w:color w:val="auto"/>
              </w:rPr>
            </w:pPr>
            <w:r>
              <w:rPr>
                <w:rFonts w:ascii="Arial" w:cs="Arial" w:eastAsia="Arial" w:hAnsi="Arial"/>
                <w:sz w:val="15"/>
                <w:szCs w:val="15"/>
                <w:color w:val="auto"/>
              </w:rPr>
              <w:t>2,083</w:t>
            </w:r>
          </w:p>
        </w:tc>
        <w:tc>
          <w:tcPr>
            <w:tcW w:w="220" w:type="dxa"/>
            <w:vAlign w:val="bottom"/>
          </w:tcPr>
          <w:p>
            <w:pPr>
              <w:spacing w:after="0"/>
              <w:rPr>
                <w:sz w:val="18"/>
                <w:szCs w:val="18"/>
                <w:color w:val="auto"/>
              </w:rPr>
            </w:pPr>
          </w:p>
        </w:tc>
        <w:tc>
          <w:tcPr>
            <w:tcW w:w="240" w:type="dxa"/>
            <w:vAlign w:val="bottom"/>
          </w:tcPr>
          <w:p>
            <w:pPr>
              <w:jc w:val="right"/>
              <w:ind w:right="64"/>
              <w:spacing w:after="0"/>
              <w:rPr>
                <w:sz w:val="20"/>
                <w:szCs w:val="20"/>
                <w:color w:val="auto"/>
              </w:rPr>
            </w:pPr>
            <w:r>
              <w:rPr>
                <w:rFonts w:ascii="Arial" w:cs="Arial" w:eastAsia="Arial" w:hAnsi="Arial"/>
                <w:sz w:val="15"/>
                <w:szCs w:val="15"/>
                <w:color w:val="auto"/>
                <w:w w:val="95"/>
              </w:rPr>
              <w:t>$</w:t>
            </w:r>
          </w:p>
        </w:tc>
        <w:tc>
          <w:tcPr>
            <w:tcW w:w="1360" w:type="dxa"/>
            <w:vAlign w:val="bottom"/>
          </w:tcPr>
          <w:p>
            <w:pPr>
              <w:jc w:val="right"/>
              <w:ind w:right="64"/>
              <w:spacing w:after="0"/>
              <w:rPr>
                <w:sz w:val="20"/>
                <w:szCs w:val="20"/>
                <w:color w:val="auto"/>
              </w:rPr>
            </w:pPr>
            <w:r>
              <w:rPr>
                <w:rFonts w:ascii="Arial" w:cs="Arial" w:eastAsia="Arial" w:hAnsi="Arial"/>
                <w:sz w:val="15"/>
                <w:szCs w:val="15"/>
                <w:color w:val="auto"/>
              </w:rPr>
              <w:t>2,275</w:t>
            </w:r>
          </w:p>
        </w:tc>
      </w:tr>
      <w:tr>
        <w:trPr>
          <w:trHeight w:val="220"/>
        </w:trPr>
        <w:tc>
          <w:tcPr>
            <w:tcW w:w="7820" w:type="dxa"/>
            <w:vAlign w:val="bottom"/>
            <w:shd w:val="clear" w:color="auto" w:fill="CCEEFF"/>
          </w:tcPr>
          <w:p>
            <w:pPr>
              <w:ind w:left="20"/>
              <w:spacing w:after="0"/>
              <w:rPr>
                <w:sz w:val="20"/>
                <w:szCs w:val="20"/>
                <w:color w:val="auto"/>
              </w:rPr>
            </w:pPr>
            <w:r>
              <w:rPr>
                <w:rFonts w:ascii="Arial" w:cs="Arial" w:eastAsia="Arial" w:hAnsi="Arial"/>
                <w:sz w:val="15"/>
                <w:szCs w:val="15"/>
                <w:color w:val="auto"/>
              </w:rPr>
              <w:t>Cash paid for income taxes</w:t>
            </w:r>
          </w:p>
        </w:tc>
        <w:tc>
          <w:tcPr>
            <w:tcW w:w="22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w w:val="95"/>
              </w:rPr>
              <w:t>$</w:t>
            </w:r>
          </w:p>
        </w:tc>
        <w:tc>
          <w:tcPr>
            <w:tcW w:w="138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441</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w w:val="95"/>
              </w:rPr>
              <w:t>$</w:t>
            </w:r>
          </w:p>
        </w:tc>
        <w:tc>
          <w:tcPr>
            <w:tcW w:w="136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703</w:t>
            </w:r>
          </w:p>
        </w:tc>
      </w:tr>
      <w:tr>
        <w:trPr>
          <w:trHeight w:val="212"/>
        </w:trPr>
        <w:tc>
          <w:tcPr>
            <w:tcW w:w="7820" w:type="dxa"/>
            <w:vAlign w:val="bottom"/>
          </w:tcPr>
          <w:p>
            <w:pPr>
              <w:ind w:left="20"/>
              <w:spacing w:after="0"/>
              <w:rPr>
                <w:sz w:val="20"/>
                <w:szCs w:val="20"/>
                <w:color w:val="auto"/>
              </w:rPr>
            </w:pPr>
            <w:r>
              <w:rPr>
                <w:rFonts w:ascii="Arial" w:cs="Arial" w:eastAsia="Arial" w:hAnsi="Arial"/>
                <w:sz w:val="15"/>
                <w:szCs w:val="15"/>
                <w:color w:val="auto"/>
              </w:rPr>
              <w:t>Noncash investing and financing activities</w:t>
            </w: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20"/>
        </w:trPr>
        <w:tc>
          <w:tcPr>
            <w:tcW w:w="7820" w:type="dxa"/>
            <w:vAlign w:val="bottom"/>
            <w:shd w:val="clear" w:color="auto" w:fill="CCEEFF"/>
          </w:tcPr>
          <w:p>
            <w:pPr>
              <w:ind w:left="220"/>
              <w:spacing w:after="0"/>
              <w:rPr>
                <w:sz w:val="20"/>
                <w:szCs w:val="20"/>
                <w:color w:val="auto"/>
              </w:rPr>
            </w:pPr>
            <w:r>
              <w:rPr>
                <w:rFonts w:ascii="Arial" w:cs="Arial" w:eastAsia="Arial" w:hAnsi="Arial"/>
                <w:sz w:val="15"/>
                <w:szCs w:val="15"/>
                <w:color w:val="auto"/>
              </w:rPr>
              <w:t>Reduction in secured borrowing balance</w:t>
            </w:r>
          </w:p>
        </w:tc>
        <w:tc>
          <w:tcPr>
            <w:tcW w:w="22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w w:val="95"/>
              </w:rPr>
              <w:t>$</w:t>
            </w:r>
          </w:p>
        </w:tc>
        <w:tc>
          <w:tcPr>
            <w:tcW w:w="1600" w:type="dxa"/>
            <w:vAlign w:val="bottom"/>
            <w:gridSpan w:val="2"/>
            <w:shd w:val="clear" w:color="auto" w:fill="CCEEFF"/>
          </w:tcPr>
          <w:p>
            <w:pPr>
              <w:jc w:val="right"/>
              <w:ind w:right="360"/>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w w:val="95"/>
              </w:rPr>
              <w:t>$</w:t>
            </w:r>
          </w:p>
        </w:tc>
        <w:tc>
          <w:tcPr>
            <w:tcW w:w="136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9,432</w:t>
            </w:r>
          </w:p>
        </w:tc>
      </w:tr>
      <w:tr>
        <w:trPr>
          <w:trHeight w:val="212"/>
        </w:trPr>
        <w:tc>
          <w:tcPr>
            <w:tcW w:w="7820" w:type="dxa"/>
            <w:vAlign w:val="bottom"/>
          </w:tcPr>
          <w:p>
            <w:pPr>
              <w:ind w:left="220"/>
              <w:spacing w:after="0"/>
              <w:rPr>
                <w:sz w:val="20"/>
                <w:szCs w:val="20"/>
                <w:color w:val="auto"/>
              </w:rPr>
            </w:pPr>
            <w:r>
              <w:rPr>
                <w:rFonts w:ascii="Arial" w:cs="Arial" w:eastAsia="Arial" w:hAnsi="Arial"/>
                <w:sz w:val="15"/>
                <w:szCs w:val="15"/>
                <w:color w:val="auto"/>
              </w:rPr>
              <w:t>Change in distributions declared and outstanding</w:t>
            </w:r>
          </w:p>
        </w:tc>
        <w:tc>
          <w:tcPr>
            <w:tcW w:w="220" w:type="dxa"/>
            <w:vAlign w:val="bottom"/>
          </w:tcPr>
          <w:p>
            <w:pPr>
              <w:jc w:val="right"/>
              <w:ind w:right="44"/>
              <w:spacing w:after="0"/>
              <w:rPr>
                <w:sz w:val="20"/>
                <w:szCs w:val="20"/>
                <w:color w:val="auto"/>
              </w:rPr>
            </w:pPr>
            <w:r>
              <w:rPr>
                <w:rFonts w:ascii="Arial" w:cs="Arial" w:eastAsia="Arial" w:hAnsi="Arial"/>
                <w:sz w:val="15"/>
                <w:szCs w:val="15"/>
                <w:color w:val="auto"/>
                <w:w w:val="95"/>
              </w:rPr>
              <w:t>$</w:t>
            </w:r>
          </w:p>
        </w:tc>
        <w:tc>
          <w:tcPr>
            <w:tcW w:w="1380" w:type="dxa"/>
            <w:vAlign w:val="bottom"/>
          </w:tcPr>
          <w:p>
            <w:pPr>
              <w:jc w:val="right"/>
              <w:ind w:right="64"/>
              <w:spacing w:after="0"/>
              <w:rPr>
                <w:sz w:val="20"/>
                <w:szCs w:val="20"/>
                <w:color w:val="auto"/>
              </w:rPr>
            </w:pPr>
            <w:r>
              <w:rPr>
                <w:rFonts w:ascii="Arial" w:cs="Arial" w:eastAsia="Arial" w:hAnsi="Arial"/>
                <w:sz w:val="15"/>
                <w:szCs w:val="15"/>
                <w:color w:val="auto"/>
              </w:rPr>
              <w:t>7,781</w:t>
            </w:r>
          </w:p>
        </w:tc>
        <w:tc>
          <w:tcPr>
            <w:tcW w:w="220" w:type="dxa"/>
            <w:vAlign w:val="bottom"/>
          </w:tcPr>
          <w:p>
            <w:pPr>
              <w:spacing w:after="0"/>
              <w:rPr>
                <w:sz w:val="18"/>
                <w:szCs w:val="18"/>
                <w:color w:val="auto"/>
              </w:rPr>
            </w:pPr>
          </w:p>
        </w:tc>
        <w:tc>
          <w:tcPr>
            <w:tcW w:w="240" w:type="dxa"/>
            <w:vAlign w:val="bottom"/>
          </w:tcPr>
          <w:p>
            <w:pPr>
              <w:jc w:val="right"/>
              <w:ind w:right="64"/>
              <w:spacing w:after="0"/>
              <w:rPr>
                <w:sz w:val="20"/>
                <w:szCs w:val="20"/>
                <w:color w:val="auto"/>
              </w:rPr>
            </w:pPr>
            <w:r>
              <w:rPr>
                <w:rFonts w:ascii="Arial" w:cs="Arial" w:eastAsia="Arial" w:hAnsi="Arial"/>
                <w:sz w:val="15"/>
                <w:szCs w:val="15"/>
                <w:color w:val="auto"/>
                <w:w w:val="95"/>
              </w:rPr>
              <w:t>$</w:t>
            </w:r>
          </w:p>
        </w:tc>
        <w:tc>
          <w:tcPr>
            <w:tcW w:w="1360" w:type="dxa"/>
            <w:vAlign w:val="bottom"/>
          </w:tcPr>
          <w:p>
            <w:pPr>
              <w:jc w:val="right"/>
              <w:ind w:right="64"/>
              <w:spacing w:after="0"/>
              <w:rPr>
                <w:sz w:val="20"/>
                <w:szCs w:val="20"/>
                <w:color w:val="auto"/>
              </w:rPr>
            </w:pPr>
            <w:r>
              <w:rPr>
                <w:rFonts w:ascii="Arial" w:cs="Arial" w:eastAsia="Arial" w:hAnsi="Arial"/>
                <w:sz w:val="15"/>
                <w:szCs w:val="15"/>
                <w:color w:val="auto"/>
              </w:rPr>
              <w:t>6,401</w:t>
            </w:r>
          </w:p>
        </w:tc>
      </w:tr>
      <w:tr>
        <w:trPr>
          <w:trHeight w:val="220"/>
        </w:trPr>
        <w:tc>
          <w:tcPr>
            <w:tcW w:w="7820" w:type="dxa"/>
            <w:vAlign w:val="bottom"/>
            <w:shd w:val="clear" w:color="auto" w:fill="CCEEFF"/>
          </w:tcPr>
          <w:p>
            <w:pPr>
              <w:ind w:left="220"/>
              <w:spacing w:after="0"/>
              <w:rPr>
                <w:sz w:val="20"/>
                <w:szCs w:val="20"/>
                <w:color w:val="auto"/>
              </w:rPr>
            </w:pPr>
            <w:r>
              <w:rPr>
                <w:rFonts w:ascii="Arial" w:cs="Arial" w:eastAsia="Arial" w:hAnsi="Arial"/>
                <w:sz w:val="15"/>
                <w:szCs w:val="15"/>
                <w:color w:val="auto"/>
              </w:rPr>
              <w:t>Conversion of common and preferred OP units</w:t>
            </w:r>
          </w:p>
        </w:tc>
        <w:tc>
          <w:tcPr>
            <w:tcW w:w="22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w w:val="95"/>
              </w:rPr>
              <w:t>$</w:t>
            </w:r>
          </w:p>
        </w:tc>
        <w:tc>
          <w:tcPr>
            <w:tcW w:w="138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577</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w w:val="95"/>
              </w:rPr>
              <w:t>$</w:t>
            </w:r>
          </w:p>
        </w:tc>
        <w:tc>
          <w:tcPr>
            <w:tcW w:w="136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527</w:t>
            </w:r>
          </w:p>
        </w:tc>
      </w:tr>
      <w:tr>
        <w:trPr>
          <w:trHeight w:val="212"/>
        </w:trPr>
        <w:tc>
          <w:tcPr>
            <w:tcW w:w="7820" w:type="dxa"/>
            <w:vAlign w:val="bottom"/>
          </w:tcPr>
          <w:p>
            <w:pPr>
              <w:ind w:left="220"/>
              <w:spacing w:after="0"/>
              <w:rPr>
                <w:sz w:val="20"/>
                <w:szCs w:val="20"/>
                <w:color w:val="auto"/>
              </w:rPr>
            </w:pPr>
            <w:r>
              <w:rPr>
                <w:rFonts w:ascii="Arial" w:cs="Arial" w:eastAsia="Arial" w:hAnsi="Arial"/>
                <w:sz w:val="15"/>
                <w:szCs w:val="15"/>
                <w:color w:val="auto"/>
              </w:rPr>
              <w:t>Conversion of Series A-4 preferred stock</w:t>
            </w:r>
          </w:p>
        </w:tc>
        <w:tc>
          <w:tcPr>
            <w:tcW w:w="220" w:type="dxa"/>
            <w:vAlign w:val="bottom"/>
          </w:tcPr>
          <w:p>
            <w:pPr>
              <w:jc w:val="right"/>
              <w:ind w:right="44"/>
              <w:spacing w:after="0"/>
              <w:rPr>
                <w:sz w:val="20"/>
                <w:szCs w:val="20"/>
                <w:color w:val="auto"/>
              </w:rPr>
            </w:pPr>
            <w:r>
              <w:rPr>
                <w:rFonts w:ascii="Arial" w:cs="Arial" w:eastAsia="Arial" w:hAnsi="Arial"/>
                <w:sz w:val="15"/>
                <w:szCs w:val="15"/>
                <w:color w:val="auto"/>
                <w:w w:val="95"/>
              </w:rPr>
              <w:t>$</w:t>
            </w:r>
          </w:p>
        </w:tc>
        <w:tc>
          <w:tcPr>
            <w:tcW w:w="1600" w:type="dxa"/>
            <w:vAlign w:val="bottom"/>
            <w:gridSpan w:val="2"/>
          </w:tcPr>
          <w:p>
            <w:pPr>
              <w:jc w:val="right"/>
              <w:ind w:right="360"/>
              <w:spacing w:after="0"/>
              <w:rPr>
                <w:sz w:val="20"/>
                <w:szCs w:val="20"/>
                <w:color w:val="auto"/>
              </w:rPr>
            </w:pPr>
            <w:r>
              <w:rPr>
                <w:rFonts w:ascii="Arial" w:cs="Arial" w:eastAsia="Arial" w:hAnsi="Arial"/>
                <w:sz w:val="15"/>
                <w:szCs w:val="15"/>
                <w:color w:val="auto"/>
              </w:rPr>
              <w:t>—</w:t>
            </w:r>
          </w:p>
        </w:tc>
        <w:tc>
          <w:tcPr>
            <w:tcW w:w="240" w:type="dxa"/>
            <w:vAlign w:val="bottom"/>
          </w:tcPr>
          <w:p>
            <w:pPr>
              <w:jc w:val="right"/>
              <w:ind w:right="64"/>
              <w:spacing w:after="0"/>
              <w:rPr>
                <w:sz w:val="20"/>
                <w:szCs w:val="20"/>
                <w:color w:val="auto"/>
              </w:rPr>
            </w:pPr>
            <w:r>
              <w:rPr>
                <w:rFonts w:ascii="Arial" w:cs="Arial" w:eastAsia="Arial" w:hAnsi="Arial"/>
                <w:sz w:val="15"/>
                <w:szCs w:val="15"/>
                <w:color w:val="auto"/>
                <w:w w:val="95"/>
              </w:rPr>
              <w:t>$</w:t>
            </w:r>
          </w:p>
        </w:tc>
        <w:tc>
          <w:tcPr>
            <w:tcW w:w="1360" w:type="dxa"/>
            <w:vAlign w:val="bottom"/>
          </w:tcPr>
          <w:p>
            <w:pPr>
              <w:jc w:val="right"/>
              <w:ind w:right="64"/>
              <w:spacing w:after="0"/>
              <w:rPr>
                <w:sz w:val="20"/>
                <w:szCs w:val="20"/>
                <w:color w:val="auto"/>
              </w:rPr>
            </w:pPr>
            <w:r>
              <w:rPr>
                <w:rFonts w:ascii="Arial" w:cs="Arial" w:eastAsia="Arial" w:hAnsi="Arial"/>
                <w:sz w:val="15"/>
                <w:szCs w:val="15"/>
                <w:color w:val="auto"/>
              </w:rPr>
              <w:t>337</w:t>
            </w:r>
          </w:p>
        </w:tc>
      </w:tr>
      <w:tr>
        <w:trPr>
          <w:trHeight w:val="220"/>
        </w:trPr>
        <w:tc>
          <w:tcPr>
            <w:tcW w:w="7820" w:type="dxa"/>
            <w:vAlign w:val="bottom"/>
            <w:shd w:val="clear" w:color="auto" w:fill="CCEEFF"/>
          </w:tcPr>
          <w:p>
            <w:pPr>
              <w:ind w:left="220"/>
              <w:spacing w:after="0"/>
              <w:rPr>
                <w:sz w:val="20"/>
                <w:szCs w:val="20"/>
                <w:color w:val="auto"/>
              </w:rPr>
            </w:pPr>
            <w:r>
              <w:rPr>
                <w:rFonts w:ascii="Arial" w:cs="Arial" w:eastAsia="Arial" w:hAnsi="Arial"/>
                <w:sz w:val="15"/>
                <w:szCs w:val="15"/>
                <w:color w:val="auto"/>
              </w:rPr>
              <w:t>Asset held for sale</w:t>
            </w:r>
          </w:p>
        </w:tc>
        <w:tc>
          <w:tcPr>
            <w:tcW w:w="22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w w:val="95"/>
              </w:rPr>
              <w:t>$</w:t>
            </w:r>
          </w:p>
        </w:tc>
        <w:tc>
          <w:tcPr>
            <w:tcW w:w="138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5,770</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w w:val="95"/>
              </w:rPr>
              <w:t>$</w:t>
            </w:r>
          </w:p>
        </w:tc>
        <w:tc>
          <w:tcPr>
            <w:tcW w:w="136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w:t>
            </w:r>
          </w:p>
        </w:tc>
      </w:tr>
      <w:tr>
        <w:trPr>
          <w:trHeight w:val="212"/>
        </w:trPr>
        <w:tc>
          <w:tcPr>
            <w:tcW w:w="7820" w:type="dxa"/>
            <w:vAlign w:val="bottom"/>
          </w:tcPr>
          <w:p>
            <w:pPr>
              <w:ind w:left="20"/>
              <w:spacing w:after="0"/>
              <w:rPr>
                <w:sz w:val="20"/>
                <w:szCs w:val="20"/>
                <w:color w:val="auto"/>
              </w:rPr>
            </w:pPr>
            <w:r>
              <w:rPr>
                <w:rFonts w:ascii="Arial" w:cs="Arial" w:eastAsia="Arial" w:hAnsi="Arial"/>
                <w:sz w:val="15"/>
                <w:szCs w:val="15"/>
                <w:color w:val="auto"/>
              </w:rPr>
              <w:t>Noncash investing and financing activities at the date of acquisition</w:t>
            </w: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20"/>
        </w:trPr>
        <w:tc>
          <w:tcPr>
            <w:tcW w:w="7820" w:type="dxa"/>
            <w:vAlign w:val="bottom"/>
            <w:shd w:val="clear" w:color="auto" w:fill="CCEEFF"/>
          </w:tcPr>
          <w:p>
            <w:pPr>
              <w:ind w:left="220"/>
              <w:spacing w:after="0"/>
              <w:rPr>
                <w:sz w:val="20"/>
                <w:szCs w:val="20"/>
                <w:color w:val="auto"/>
              </w:rPr>
            </w:pPr>
            <w:r>
              <w:rPr>
                <w:rFonts w:ascii="Arial" w:cs="Arial" w:eastAsia="Arial" w:hAnsi="Arial"/>
                <w:sz w:val="15"/>
                <w:szCs w:val="15"/>
                <w:color w:val="auto"/>
              </w:rPr>
              <w:t>Acquisitions - Common stock and OP units issued</w:t>
            </w:r>
          </w:p>
        </w:tc>
        <w:tc>
          <w:tcPr>
            <w:tcW w:w="22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w w:val="95"/>
              </w:rPr>
              <w:t>$</w:t>
            </w:r>
          </w:p>
        </w:tc>
        <w:tc>
          <w:tcPr>
            <w:tcW w:w="138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10,114</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w w:val="95"/>
              </w:rPr>
              <w:t>$</w:t>
            </w:r>
          </w:p>
        </w:tc>
        <w:tc>
          <w:tcPr>
            <w:tcW w:w="136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w:t>
            </w:r>
          </w:p>
        </w:tc>
      </w:tr>
      <w:tr>
        <w:trPr>
          <w:trHeight w:val="212"/>
        </w:trPr>
        <w:tc>
          <w:tcPr>
            <w:tcW w:w="7820" w:type="dxa"/>
            <w:vAlign w:val="bottom"/>
          </w:tcPr>
          <w:p>
            <w:pPr>
              <w:ind w:left="220"/>
              <w:spacing w:after="0"/>
              <w:rPr>
                <w:sz w:val="20"/>
                <w:szCs w:val="20"/>
                <w:color w:val="auto"/>
              </w:rPr>
            </w:pPr>
            <w:r>
              <w:rPr>
                <w:rFonts w:ascii="Arial" w:cs="Arial" w:eastAsia="Arial" w:hAnsi="Arial"/>
                <w:sz w:val="15"/>
                <w:szCs w:val="15"/>
                <w:color w:val="auto"/>
              </w:rPr>
              <w:t>Acquisitions - Series D preferred interest</w:t>
            </w:r>
          </w:p>
        </w:tc>
        <w:tc>
          <w:tcPr>
            <w:tcW w:w="220" w:type="dxa"/>
            <w:vAlign w:val="bottom"/>
          </w:tcPr>
          <w:p>
            <w:pPr>
              <w:jc w:val="right"/>
              <w:ind w:right="44"/>
              <w:spacing w:after="0"/>
              <w:rPr>
                <w:sz w:val="20"/>
                <w:szCs w:val="20"/>
                <w:color w:val="auto"/>
              </w:rPr>
            </w:pPr>
            <w:r>
              <w:rPr>
                <w:rFonts w:ascii="Arial" w:cs="Arial" w:eastAsia="Arial" w:hAnsi="Arial"/>
                <w:sz w:val="15"/>
                <w:szCs w:val="15"/>
                <w:color w:val="auto"/>
                <w:w w:val="95"/>
              </w:rPr>
              <w:t>$</w:t>
            </w:r>
          </w:p>
        </w:tc>
        <w:tc>
          <w:tcPr>
            <w:tcW w:w="1600" w:type="dxa"/>
            <w:vAlign w:val="bottom"/>
            <w:gridSpan w:val="2"/>
          </w:tcPr>
          <w:p>
            <w:pPr>
              <w:jc w:val="right"/>
              <w:ind w:right="360"/>
              <w:spacing w:after="0"/>
              <w:rPr>
                <w:sz w:val="20"/>
                <w:szCs w:val="20"/>
                <w:color w:val="auto"/>
              </w:rPr>
            </w:pPr>
            <w:r>
              <w:rPr>
                <w:rFonts w:ascii="Arial" w:cs="Arial" w:eastAsia="Arial" w:hAnsi="Arial"/>
                <w:sz w:val="15"/>
                <w:szCs w:val="15"/>
                <w:color w:val="auto"/>
              </w:rPr>
              <w:t>—</w:t>
            </w:r>
          </w:p>
        </w:tc>
        <w:tc>
          <w:tcPr>
            <w:tcW w:w="240" w:type="dxa"/>
            <w:vAlign w:val="bottom"/>
          </w:tcPr>
          <w:p>
            <w:pPr>
              <w:jc w:val="right"/>
              <w:ind w:right="64"/>
              <w:spacing w:after="0"/>
              <w:rPr>
                <w:sz w:val="20"/>
                <w:szCs w:val="20"/>
                <w:color w:val="auto"/>
              </w:rPr>
            </w:pPr>
            <w:r>
              <w:rPr>
                <w:rFonts w:ascii="Arial" w:cs="Arial" w:eastAsia="Arial" w:hAnsi="Arial"/>
                <w:sz w:val="15"/>
                <w:szCs w:val="15"/>
                <w:color w:val="auto"/>
                <w:w w:val="95"/>
              </w:rPr>
              <w:t>$</w:t>
            </w:r>
          </w:p>
        </w:tc>
        <w:tc>
          <w:tcPr>
            <w:tcW w:w="1360" w:type="dxa"/>
            <w:vAlign w:val="bottom"/>
          </w:tcPr>
          <w:p>
            <w:pPr>
              <w:jc w:val="right"/>
              <w:ind w:right="64"/>
              <w:spacing w:after="0"/>
              <w:rPr>
                <w:sz w:val="20"/>
                <w:szCs w:val="20"/>
                <w:color w:val="auto"/>
              </w:rPr>
            </w:pPr>
            <w:r>
              <w:rPr>
                <w:rFonts w:ascii="Arial" w:cs="Arial" w:eastAsia="Arial" w:hAnsi="Arial"/>
                <w:sz w:val="15"/>
                <w:szCs w:val="15"/>
                <w:color w:val="auto"/>
              </w:rPr>
              <w:t>51,930</w:t>
            </w:r>
          </w:p>
        </w:tc>
      </w:tr>
      <w:tr>
        <w:trPr>
          <w:trHeight w:val="220"/>
        </w:trPr>
        <w:tc>
          <w:tcPr>
            <w:tcW w:w="7820" w:type="dxa"/>
            <w:vAlign w:val="bottom"/>
            <w:shd w:val="clear" w:color="auto" w:fill="CCEEFF"/>
          </w:tcPr>
          <w:p>
            <w:pPr>
              <w:ind w:left="220"/>
              <w:spacing w:after="0"/>
              <w:rPr>
                <w:sz w:val="20"/>
                <w:szCs w:val="20"/>
                <w:color w:val="auto"/>
              </w:rPr>
            </w:pPr>
            <w:r>
              <w:rPr>
                <w:rFonts w:ascii="Arial" w:cs="Arial" w:eastAsia="Arial" w:hAnsi="Arial"/>
                <w:sz w:val="15"/>
                <w:szCs w:val="15"/>
                <w:color w:val="auto"/>
              </w:rPr>
              <w:t>Acquisitions - Series E preferred interest</w:t>
            </w:r>
          </w:p>
        </w:tc>
        <w:tc>
          <w:tcPr>
            <w:tcW w:w="22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w w:val="95"/>
              </w:rPr>
              <w:t>$</w:t>
            </w:r>
          </w:p>
        </w:tc>
        <w:tc>
          <w:tcPr>
            <w:tcW w:w="138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9,000</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w w:val="95"/>
              </w:rPr>
              <w:t>$</w:t>
            </w:r>
          </w:p>
        </w:tc>
        <w:tc>
          <w:tcPr>
            <w:tcW w:w="136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w:t>
            </w:r>
          </w:p>
        </w:tc>
      </w:tr>
      <w:tr>
        <w:trPr>
          <w:trHeight w:val="212"/>
        </w:trPr>
        <w:tc>
          <w:tcPr>
            <w:tcW w:w="7820" w:type="dxa"/>
            <w:vAlign w:val="bottom"/>
          </w:tcPr>
          <w:p>
            <w:pPr>
              <w:ind w:left="220"/>
              <w:spacing w:after="0"/>
              <w:rPr>
                <w:sz w:val="20"/>
                <w:szCs w:val="20"/>
                <w:color w:val="auto"/>
              </w:rPr>
            </w:pPr>
            <w:r>
              <w:rPr>
                <w:rFonts w:ascii="Arial" w:cs="Arial" w:eastAsia="Arial" w:hAnsi="Arial"/>
                <w:sz w:val="15"/>
                <w:szCs w:val="15"/>
                <w:color w:val="auto"/>
              </w:rPr>
              <w:t>Acquisitions - Series F preferred interest</w:t>
            </w:r>
          </w:p>
        </w:tc>
        <w:tc>
          <w:tcPr>
            <w:tcW w:w="220" w:type="dxa"/>
            <w:vAlign w:val="bottom"/>
          </w:tcPr>
          <w:p>
            <w:pPr>
              <w:jc w:val="right"/>
              <w:ind w:right="44"/>
              <w:spacing w:after="0"/>
              <w:rPr>
                <w:sz w:val="20"/>
                <w:szCs w:val="20"/>
                <w:color w:val="auto"/>
              </w:rPr>
            </w:pPr>
            <w:r>
              <w:rPr>
                <w:rFonts w:ascii="Arial" w:cs="Arial" w:eastAsia="Arial" w:hAnsi="Arial"/>
                <w:sz w:val="15"/>
                <w:szCs w:val="15"/>
                <w:color w:val="auto"/>
                <w:w w:val="95"/>
              </w:rPr>
              <w:t>$</w:t>
            </w:r>
          </w:p>
        </w:tc>
        <w:tc>
          <w:tcPr>
            <w:tcW w:w="1380" w:type="dxa"/>
            <w:vAlign w:val="bottom"/>
          </w:tcPr>
          <w:p>
            <w:pPr>
              <w:jc w:val="right"/>
              <w:ind w:right="64"/>
              <w:spacing w:after="0"/>
              <w:rPr>
                <w:sz w:val="20"/>
                <w:szCs w:val="20"/>
                <w:color w:val="auto"/>
              </w:rPr>
            </w:pPr>
            <w:r>
              <w:rPr>
                <w:rFonts w:ascii="Arial" w:cs="Arial" w:eastAsia="Arial" w:hAnsi="Arial"/>
                <w:sz w:val="15"/>
                <w:szCs w:val="15"/>
                <w:color w:val="auto"/>
              </w:rPr>
              <w:t>9,000</w:t>
            </w:r>
          </w:p>
        </w:tc>
        <w:tc>
          <w:tcPr>
            <w:tcW w:w="220" w:type="dxa"/>
            <w:vAlign w:val="bottom"/>
          </w:tcPr>
          <w:p>
            <w:pPr>
              <w:spacing w:after="0"/>
              <w:rPr>
                <w:sz w:val="18"/>
                <w:szCs w:val="18"/>
                <w:color w:val="auto"/>
              </w:rPr>
            </w:pPr>
          </w:p>
        </w:tc>
        <w:tc>
          <w:tcPr>
            <w:tcW w:w="240" w:type="dxa"/>
            <w:vAlign w:val="bottom"/>
          </w:tcPr>
          <w:p>
            <w:pPr>
              <w:jc w:val="right"/>
              <w:ind w:right="64"/>
              <w:spacing w:after="0"/>
              <w:rPr>
                <w:sz w:val="20"/>
                <w:szCs w:val="20"/>
                <w:color w:val="auto"/>
              </w:rPr>
            </w:pPr>
            <w:r>
              <w:rPr>
                <w:rFonts w:ascii="Arial" w:cs="Arial" w:eastAsia="Arial" w:hAnsi="Arial"/>
                <w:sz w:val="15"/>
                <w:szCs w:val="15"/>
                <w:color w:val="auto"/>
                <w:w w:val="95"/>
              </w:rPr>
              <w:t>$</w:t>
            </w:r>
          </w:p>
        </w:tc>
        <w:tc>
          <w:tcPr>
            <w:tcW w:w="1360" w:type="dxa"/>
            <w:vAlign w:val="bottom"/>
          </w:tcPr>
          <w:p>
            <w:pPr>
              <w:jc w:val="right"/>
              <w:ind w:right="64"/>
              <w:spacing w:after="0"/>
              <w:rPr>
                <w:sz w:val="20"/>
                <w:szCs w:val="20"/>
                <w:color w:val="auto"/>
              </w:rPr>
            </w:pPr>
            <w:r>
              <w:rPr>
                <w:rFonts w:ascii="Arial" w:cs="Arial" w:eastAsia="Arial" w:hAnsi="Arial"/>
                <w:sz w:val="15"/>
                <w:szCs w:val="15"/>
                <w:color w:val="auto"/>
              </w:rPr>
              <w:t>—</w:t>
            </w:r>
          </w:p>
        </w:tc>
      </w:tr>
      <w:tr>
        <w:trPr>
          <w:trHeight w:val="220"/>
        </w:trPr>
        <w:tc>
          <w:tcPr>
            <w:tcW w:w="7820" w:type="dxa"/>
            <w:vAlign w:val="bottom"/>
            <w:shd w:val="clear" w:color="auto" w:fill="CCEEFF"/>
          </w:tcPr>
          <w:p>
            <w:pPr>
              <w:ind w:left="220"/>
              <w:spacing w:after="0"/>
              <w:rPr>
                <w:sz w:val="20"/>
                <w:szCs w:val="20"/>
                <w:color w:val="auto"/>
              </w:rPr>
            </w:pPr>
            <w:r>
              <w:rPr>
                <w:rFonts w:ascii="Arial" w:cs="Arial" w:eastAsia="Arial" w:hAnsi="Arial"/>
                <w:sz w:val="15"/>
                <w:szCs w:val="15"/>
                <w:color w:val="auto"/>
              </w:rPr>
              <w:t>Acquisitions - Escrow</w:t>
            </w:r>
          </w:p>
        </w:tc>
        <w:tc>
          <w:tcPr>
            <w:tcW w:w="22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w w:val="95"/>
              </w:rPr>
              <w:t>$</w:t>
            </w:r>
          </w:p>
        </w:tc>
        <w:tc>
          <w:tcPr>
            <w:tcW w:w="1600" w:type="dxa"/>
            <w:vAlign w:val="bottom"/>
            <w:gridSpan w:val="2"/>
            <w:shd w:val="clear" w:color="auto" w:fill="CCEEFF"/>
          </w:tcPr>
          <w:p>
            <w:pPr>
              <w:jc w:val="right"/>
              <w:ind w:right="360"/>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w w:val="95"/>
              </w:rPr>
              <w:t>$</w:t>
            </w:r>
          </w:p>
        </w:tc>
        <w:tc>
          <w:tcPr>
            <w:tcW w:w="136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1,395</w:t>
            </w:r>
          </w:p>
        </w:tc>
      </w:tr>
    </w:tbl>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ectPr>
          <w:pgSz w:w="11900" w:h="16838" w:orient="portrait"/>
          <w:cols w:equalWidth="0" w:num="1">
            <w:col w:w="11240"/>
          </w:cols>
          <w:pgMar w:left="320" w:top="36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type w:val="continuous"/>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SUN COMMUNITIES, INC.</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EQUITY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(Unaudited)</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200" w:type="dxa"/>
            <w:vAlign w:val="bottom"/>
            <w:tcBorders>
              <w:bottom w:val="single" w:sz="8" w:color="auto"/>
            </w:tcBorders>
            <w:gridSpan w:val="3"/>
          </w:tcPr>
          <w:p>
            <w:pPr>
              <w:jc w:val="right"/>
              <w:ind w:right="264"/>
              <w:spacing w:after="0"/>
              <w:rPr>
                <w:sz w:val="20"/>
                <w:szCs w:val="20"/>
                <w:color w:val="auto"/>
              </w:rPr>
            </w:pPr>
            <w:r>
              <w:rPr>
                <w:rFonts w:ascii="Arial" w:cs="Arial" w:eastAsia="Arial" w:hAnsi="Arial"/>
                <w:sz w:val="14"/>
                <w:szCs w:val="14"/>
                <w:b w:val="1"/>
                <w:bCs w:val="1"/>
                <w:color w:val="auto"/>
              </w:rPr>
              <w:t>Stockholders’ Equity</w:t>
            </w: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00" w:type="dxa"/>
            <w:vAlign w:val="bottom"/>
            <w:vMerge w:val="restart"/>
          </w:tcPr>
          <w:p>
            <w:pPr>
              <w:jc w:val="right"/>
              <w:ind w:right="4"/>
              <w:spacing w:after="0"/>
              <w:rPr>
                <w:sz w:val="20"/>
                <w:szCs w:val="20"/>
                <w:color w:val="auto"/>
              </w:rPr>
            </w:pPr>
            <w:r>
              <w:rPr>
                <w:rFonts w:ascii="Arial" w:cs="Arial" w:eastAsia="Arial" w:hAnsi="Arial"/>
                <w:sz w:val="14"/>
                <w:szCs w:val="14"/>
                <w:b w:val="1"/>
                <w:bCs w:val="1"/>
                <w:color w:val="auto"/>
              </w:rPr>
              <w:t>Additional</w:t>
            </w:r>
          </w:p>
        </w:tc>
        <w:tc>
          <w:tcPr>
            <w:tcW w:w="1100" w:type="dxa"/>
            <w:vAlign w:val="bottom"/>
            <w:gridSpan w:val="2"/>
          </w:tcPr>
          <w:p>
            <w:pPr>
              <w:jc w:val="center"/>
              <w:spacing w:after="0" w:line="153" w:lineRule="exact"/>
              <w:rPr>
                <w:sz w:val="20"/>
                <w:szCs w:val="20"/>
                <w:color w:val="auto"/>
              </w:rPr>
            </w:pPr>
            <w:r>
              <w:rPr>
                <w:rFonts w:ascii="Arial" w:cs="Arial" w:eastAsia="Arial" w:hAnsi="Arial"/>
                <w:sz w:val="14"/>
                <w:szCs w:val="14"/>
                <w:b w:val="1"/>
                <w:bCs w:val="1"/>
                <w:color w:val="auto"/>
                <w:w w:val="93"/>
              </w:rPr>
              <w:t>Distributions in</w:t>
            </w:r>
          </w:p>
        </w:tc>
        <w:tc>
          <w:tcPr>
            <w:tcW w:w="12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4"/>
              </w:rPr>
              <w:t>Accumulated Other</w:t>
            </w:r>
          </w:p>
        </w:tc>
        <w:tc>
          <w:tcPr>
            <w:tcW w:w="120" w:type="dxa"/>
            <w:vAlign w:val="bottom"/>
          </w:tcPr>
          <w:p>
            <w:pPr>
              <w:spacing w:after="0"/>
              <w:rPr>
                <w:sz w:val="13"/>
                <w:szCs w:val="13"/>
                <w:color w:val="auto"/>
              </w:rPr>
            </w:pPr>
          </w:p>
        </w:tc>
        <w:tc>
          <w:tcPr>
            <w:tcW w:w="760" w:type="dxa"/>
            <w:vAlign w:val="bottom"/>
            <w:vMerge w:val="restart"/>
          </w:tcPr>
          <w:p>
            <w:pPr>
              <w:jc w:val="center"/>
              <w:ind w:right="4"/>
              <w:spacing w:after="0"/>
              <w:rPr>
                <w:sz w:val="20"/>
                <w:szCs w:val="20"/>
                <w:color w:val="auto"/>
              </w:rPr>
            </w:pPr>
            <w:r>
              <w:rPr>
                <w:rFonts w:ascii="Arial" w:cs="Arial" w:eastAsia="Arial" w:hAnsi="Arial"/>
                <w:sz w:val="14"/>
                <w:szCs w:val="14"/>
                <w:b w:val="1"/>
                <w:bCs w:val="1"/>
                <w:color w:val="auto"/>
              </w:rPr>
              <w:t>Non-</w:t>
            </w:r>
          </w:p>
        </w:tc>
        <w:tc>
          <w:tcPr>
            <w:tcW w:w="160" w:type="dxa"/>
            <w:vAlign w:val="bottom"/>
          </w:tcPr>
          <w:p>
            <w:pPr>
              <w:spacing w:after="0"/>
              <w:rPr>
                <w:sz w:val="13"/>
                <w:szCs w:val="13"/>
                <w:color w:val="auto"/>
              </w:rPr>
            </w:pPr>
          </w:p>
        </w:tc>
        <w:tc>
          <w:tcPr>
            <w:tcW w:w="114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5"/>
              </w:rPr>
              <w:t>Total</w:t>
            </w: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3"/>
              </w:rPr>
              <w:t>Temporary</w:t>
            </w:r>
          </w:p>
        </w:tc>
        <w:tc>
          <w:tcPr>
            <w:tcW w:w="100" w:type="dxa"/>
            <w:vAlign w:val="bottom"/>
          </w:tcPr>
          <w:p>
            <w:pPr>
              <w:spacing w:after="0"/>
              <w:rPr>
                <w:sz w:val="12"/>
                <w:szCs w:val="12"/>
                <w:color w:val="auto"/>
              </w:rPr>
            </w:pPr>
          </w:p>
        </w:tc>
        <w:tc>
          <w:tcPr>
            <w:tcW w:w="64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2"/>
              </w:rPr>
              <w:t>Common</w:t>
            </w:r>
          </w:p>
        </w:tc>
        <w:tc>
          <w:tcPr>
            <w:tcW w:w="90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jc w:val="center"/>
              <w:ind w:right="24"/>
              <w:spacing w:after="0" w:line="149" w:lineRule="exact"/>
              <w:rPr>
                <w:sz w:val="20"/>
                <w:szCs w:val="20"/>
                <w:color w:val="auto"/>
              </w:rPr>
            </w:pPr>
            <w:r>
              <w:rPr>
                <w:rFonts w:ascii="Arial" w:cs="Arial" w:eastAsia="Arial" w:hAnsi="Arial"/>
                <w:sz w:val="14"/>
                <w:szCs w:val="14"/>
                <w:b w:val="1"/>
                <w:bCs w:val="1"/>
                <w:color w:val="auto"/>
                <w:w w:val="85"/>
              </w:rPr>
              <w:t>Excess of</w:t>
            </w:r>
          </w:p>
        </w:tc>
        <w:tc>
          <w:tcPr>
            <w:tcW w:w="12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vMerge w:val="restart"/>
          </w:tcPr>
          <w:p>
            <w:pPr>
              <w:jc w:val="right"/>
              <w:ind w:right="24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3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900" w:type="dxa"/>
            <w:vAlign w:val="bottom"/>
          </w:tcPr>
          <w:p>
            <w:pPr>
              <w:jc w:val="right"/>
              <w:ind w:right="104"/>
              <w:spacing w:after="0" w:line="149" w:lineRule="exact"/>
              <w:rPr>
                <w:sz w:val="20"/>
                <w:szCs w:val="20"/>
                <w:color w:val="auto"/>
              </w:rPr>
            </w:pPr>
            <w:r>
              <w:rPr>
                <w:rFonts w:ascii="Arial" w:cs="Arial" w:eastAsia="Arial" w:hAnsi="Arial"/>
                <w:sz w:val="14"/>
                <w:szCs w:val="14"/>
                <w:b w:val="1"/>
                <w:bCs w:val="1"/>
                <w:color w:val="auto"/>
              </w:rPr>
              <w:t>Paid-in</w:t>
            </w:r>
          </w:p>
        </w:tc>
        <w:tc>
          <w:tcPr>
            <w:tcW w:w="160" w:type="dxa"/>
            <w:vAlign w:val="bottom"/>
          </w:tcPr>
          <w:p>
            <w:pPr>
              <w:spacing w:after="0"/>
              <w:rPr>
                <w:sz w:val="12"/>
                <w:szCs w:val="12"/>
                <w:color w:val="auto"/>
              </w:rPr>
            </w:pPr>
          </w:p>
        </w:tc>
        <w:tc>
          <w:tcPr>
            <w:tcW w:w="940" w:type="dxa"/>
            <w:vAlign w:val="bottom"/>
          </w:tcPr>
          <w:p>
            <w:pPr>
              <w:jc w:val="center"/>
              <w:ind w:right="24"/>
              <w:spacing w:after="0" w:line="149" w:lineRule="exact"/>
              <w:rPr>
                <w:sz w:val="20"/>
                <w:szCs w:val="20"/>
                <w:color w:val="auto"/>
              </w:rPr>
            </w:pPr>
            <w:r>
              <w:rPr>
                <w:rFonts w:ascii="Arial" w:cs="Arial" w:eastAsia="Arial" w:hAnsi="Arial"/>
                <w:sz w:val="14"/>
                <w:szCs w:val="14"/>
                <w:b w:val="1"/>
                <w:bCs w:val="1"/>
                <w:color w:val="auto"/>
                <w:w w:val="90"/>
              </w:rPr>
              <w:t>Accumulated</w:t>
            </w:r>
          </w:p>
        </w:tc>
        <w:tc>
          <w:tcPr>
            <w:tcW w:w="120" w:type="dxa"/>
            <w:vAlign w:val="bottom"/>
          </w:tcPr>
          <w:p>
            <w:pPr>
              <w:spacing w:after="0"/>
              <w:rPr>
                <w:sz w:val="12"/>
                <w:szCs w:val="12"/>
                <w:color w:val="auto"/>
              </w:rPr>
            </w:pPr>
          </w:p>
        </w:tc>
        <w:tc>
          <w:tcPr>
            <w:tcW w:w="1140" w:type="dxa"/>
            <w:vAlign w:val="bottom"/>
          </w:tcPr>
          <w:p>
            <w:pPr>
              <w:jc w:val="right"/>
              <w:ind w:right="64"/>
              <w:spacing w:after="0" w:line="149" w:lineRule="exact"/>
              <w:rPr>
                <w:sz w:val="20"/>
                <w:szCs w:val="20"/>
                <w:color w:val="auto"/>
              </w:rPr>
            </w:pPr>
            <w:r>
              <w:rPr>
                <w:rFonts w:ascii="Arial" w:cs="Arial" w:eastAsia="Arial" w:hAnsi="Arial"/>
                <w:sz w:val="14"/>
                <w:szCs w:val="14"/>
                <w:b w:val="1"/>
                <w:bCs w:val="1"/>
                <w:color w:val="auto"/>
                <w:w w:val="93"/>
              </w:rPr>
              <w:t>Comprehensive</w:t>
            </w:r>
          </w:p>
        </w:tc>
        <w:tc>
          <w:tcPr>
            <w:tcW w:w="120" w:type="dxa"/>
            <w:vAlign w:val="bottom"/>
          </w:tcPr>
          <w:p>
            <w:pPr>
              <w:spacing w:after="0"/>
              <w:rPr>
                <w:sz w:val="12"/>
                <w:szCs w:val="12"/>
                <w:color w:val="auto"/>
              </w:rPr>
            </w:pPr>
          </w:p>
        </w:tc>
        <w:tc>
          <w:tcPr>
            <w:tcW w:w="760" w:type="dxa"/>
            <w:vAlign w:val="bottom"/>
          </w:tcPr>
          <w:p>
            <w:pPr>
              <w:jc w:val="center"/>
              <w:ind w:right="4"/>
              <w:spacing w:after="0" w:line="149" w:lineRule="exact"/>
              <w:rPr>
                <w:sz w:val="20"/>
                <w:szCs w:val="20"/>
                <w:color w:val="auto"/>
              </w:rPr>
            </w:pPr>
            <w:r>
              <w:rPr>
                <w:rFonts w:ascii="Arial" w:cs="Arial" w:eastAsia="Arial" w:hAnsi="Arial"/>
                <w:sz w:val="14"/>
                <w:szCs w:val="14"/>
                <w:b w:val="1"/>
                <w:bCs w:val="1"/>
                <w:color w:val="auto"/>
                <w:w w:val="93"/>
              </w:rPr>
              <w:t>controlling</w:t>
            </w:r>
          </w:p>
        </w:tc>
        <w:tc>
          <w:tcPr>
            <w:tcW w:w="160" w:type="dxa"/>
            <w:vAlign w:val="bottom"/>
          </w:tcPr>
          <w:p>
            <w:pPr>
              <w:spacing w:after="0"/>
              <w:rPr>
                <w:sz w:val="12"/>
                <w:szCs w:val="12"/>
                <w:color w:val="auto"/>
              </w:rPr>
            </w:pPr>
          </w:p>
        </w:tc>
        <w:tc>
          <w:tcPr>
            <w:tcW w:w="11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Stockholders’</w:t>
            </w:r>
          </w:p>
        </w:tc>
        <w:tc>
          <w:tcPr>
            <w:tcW w:w="12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3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Equity</w:t>
            </w:r>
          </w:p>
        </w:tc>
        <w:tc>
          <w:tcPr>
            <w:tcW w:w="100" w:type="dxa"/>
            <w:vAlign w:val="bottom"/>
          </w:tcPr>
          <w:p>
            <w:pPr>
              <w:spacing w:after="0"/>
              <w:rPr>
                <w:sz w:val="16"/>
                <w:szCs w:val="16"/>
                <w:color w:val="auto"/>
              </w:rPr>
            </w:pPr>
          </w:p>
        </w:tc>
        <w:tc>
          <w:tcPr>
            <w:tcW w:w="640" w:type="dxa"/>
            <w:vAlign w:val="bottom"/>
          </w:tcPr>
          <w:p>
            <w:pPr>
              <w:jc w:val="right"/>
              <w:ind w:right="104"/>
              <w:spacing w:after="0"/>
              <w:rPr>
                <w:sz w:val="20"/>
                <w:szCs w:val="20"/>
                <w:color w:val="auto"/>
              </w:rPr>
            </w:pPr>
            <w:r>
              <w:rPr>
                <w:rFonts w:ascii="Arial" w:cs="Arial" w:eastAsia="Arial" w:hAnsi="Arial"/>
                <w:sz w:val="14"/>
                <w:szCs w:val="14"/>
                <w:b w:val="1"/>
                <w:bCs w:val="1"/>
                <w:color w:val="auto"/>
              </w:rPr>
              <w:t>Stock</w:t>
            </w:r>
          </w:p>
        </w:tc>
        <w:tc>
          <w:tcPr>
            <w:tcW w:w="900" w:type="dxa"/>
            <w:vAlign w:val="bottom"/>
          </w:tcPr>
          <w:p>
            <w:pPr>
              <w:jc w:val="right"/>
              <w:ind w:right="104"/>
              <w:spacing w:after="0"/>
              <w:rPr>
                <w:sz w:val="20"/>
                <w:szCs w:val="20"/>
                <w:color w:val="auto"/>
              </w:rPr>
            </w:pPr>
            <w:r>
              <w:rPr>
                <w:rFonts w:ascii="Arial" w:cs="Arial" w:eastAsia="Arial" w:hAnsi="Arial"/>
                <w:sz w:val="14"/>
                <w:szCs w:val="14"/>
                <w:b w:val="1"/>
                <w:bCs w:val="1"/>
                <w:color w:val="auto"/>
              </w:rPr>
              <w:t>Capital</w:t>
            </w:r>
          </w:p>
        </w:tc>
        <w:tc>
          <w:tcPr>
            <w:tcW w:w="160" w:type="dxa"/>
            <w:vAlign w:val="bottom"/>
          </w:tcPr>
          <w:p>
            <w:pPr>
              <w:spacing w:after="0"/>
              <w:rPr>
                <w:sz w:val="16"/>
                <w:szCs w:val="16"/>
                <w:color w:val="auto"/>
              </w:rPr>
            </w:pPr>
          </w:p>
        </w:tc>
        <w:tc>
          <w:tcPr>
            <w:tcW w:w="940" w:type="dxa"/>
            <w:vAlign w:val="bottom"/>
          </w:tcPr>
          <w:p>
            <w:pPr>
              <w:jc w:val="center"/>
              <w:ind w:right="24"/>
              <w:spacing w:after="0"/>
              <w:rPr>
                <w:sz w:val="20"/>
                <w:szCs w:val="20"/>
                <w:color w:val="auto"/>
              </w:rPr>
            </w:pPr>
            <w:r>
              <w:rPr>
                <w:rFonts w:ascii="Arial" w:cs="Arial" w:eastAsia="Arial" w:hAnsi="Arial"/>
                <w:sz w:val="14"/>
                <w:szCs w:val="14"/>
                <w:b w:val="1"/>
                <w:bCs w:val="1"/>
                <w:color w:val="auto"/>
                <w:w w:val="93"/>
              </w:rPr>
              <w:t>Earnings</w:t>
            </w:r>
          </w:p>
        </w:tc>
        <w:tc>
          <w:tcPr>
            <w:tcW w:w="120" w:type="dxa"/>
            <w:vAlign w:val="bottom"/>
          </w:tcPr>
          <w:p>
            <w:pPr>
              <w:spacing w:after="0"/>
              <w:rPr>
                <w:sz w:val="16"/>
                <w:szCs w:val="16"/>
                <w:color w:val="auto"/>
              </w:rPr>
            </w:pPr>
          </w:p>
        </w:tc>
        <w:tc>
          <w:tcPr>
            <w:tcW w:w="1140" w:type="dxa"/>
            <w:vAlign w:val="bottom"/>
          </w:tcPr>
          <w:p>
            <w:pPr>
              <w:jc w:val="right"/>
              <w:ind w:right="404"/>
              <w:spacing w:after="0"/>
              <w:rPr>
                <w:sz w:val="20"/>
                <w:szCs w:val="20"/>
                <w:color w:val="auto"/>
              </w:rPr>
            </w:pPr>
            <w:r>
              <w:rPr>
                <w:rFonts w:ascii="Arial" w:cs="Arial" w:eastAsia="Arial" w:hAnsi="Arial"/>
                <w:sz w:val="14"/>
                <w:szCs w:val="14"/>
                <w:b w:val="1"/>
                <w:bCs w:val="1"/>
                <w:color w:val="auto"/>
              </w:rPr>
              <w:t>Loss</w:t>
            </w:r>
          </w:p>
        </w:tc>
        <w:tc>
          <w:tcPr>
            <w:tcW w:w="120" w:type="dxa"/>
            <w:vAlign w:val="bottom"/>
          </w:tcPr>
          <w:p>
            <w:pPr>
              <w:spacing w:after="0"/>
              <w:rPr>
                <w:sz w:val="16"/>
                <w:szCs w:val="16"/>
                <w:color w:val="auto"/>
              </w:rPr>
            </w:pPr>
          </w:p>
        </w:tc>
        <w:tc>
          <w:tcPr>
            <w:tcW w:w="760" w:type="dxa"/>
            <w:vAlign w:val="bottom"/>
          </w:tcPr>
          <w:p>
            <w:pPr>
              <w:jc w:val="center"/>
              <w:ind w:right="4"/>
              <w:spacing w:after="0"/>
              <w:rPr>
                <w:sz w:val="20"/>
                <w:szCs w:val="20"/>
                <w:color w:val="auto"/>
              </w:rPr>
            </w:pPr>
            <w:r>
              <w:rPr>
                <w:rFonts w:ascii="Arial" w:cs="Arial" w:eastAsia="Arial" w:hAnsi="Arial"/>
                <w:sz w:val="14"/>
                <w:szCs w:val="14"/>
                <w:b w:val="1"/>
                <w:bCs w:val="1"/>
                <w:color w:val="auto"/>
                <w:w w:val="89"/>
              </w:rPr>
              <w:t>Interests</w:t>
            </w:r>
          </w:p>
        </w:tc>
        <w:tc>
          <w:tcPr>
            <w:tcW w:w="160" w:type="dxa"/>
            <w:vAlign w:val="bottom"/>
          </w:tcPr>
          <w:p>
            <w:pPr>
              <w:spacing w:after="0"/>
              <w:rPr>
                <w:sz w:val="16"/>
                <w:szCs w:val="16"/>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8"/>
              </w:rPr>
              <w:t>Equity</w:t>
            </w:r>
          </w:p>
        </w:tc>
        <w:tc>
          <w:tcPr>
            <w:tcW w:w="120" w:type="dxa"/>
            <w:vAlign w:val="bottom"/>
          </w:tcPr>
          <w:p>
            <w:pPr>
              <w:spacing w:after="0"/>
              <w:rPr>
                <w:sz w:val="16"/>
                <w:szCs w:val="16"/>
                <w:color w:val="auto"/>
              </w:rPr>
            </w:pPr>
          </w:p>
        </w:tc>
        <w:tc>
          <w:tcPr>
            <w:tcW w:w="820" w:type="dxa"/>
            <w:vAlign w:val="bottom"/>
          </w:tcPr>
          <w:p>
            <w:pPr>
              <w:jc w:val="right"/>
              <w:ind w:right="184"/>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16"/>
        </w:trPr>
        <w:tc>
          <w:tcPr>
            <w:tcW w:w="30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Balance at December 31, 2019</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820" w:type="dxa"/>
            <w:vAlign w:val="bottom"/>
            <w:tcBorders>
              <w:top w:val="single" w:sz="8" w:color="auto"/>
            </w:tcBorders>
            <w:shd w:val="clear" w:color="auto" w:fill="CCEEFF"/>
          </w:tcPr>
          <w:p>
            <w:pPr>
              <w:jc w:val="right"/>
              <w:ind w:right="64"/>
              <w:spacing w:after="0"/>
              <w:rPr>
                <w:sz w:val="20"/>
                <w:szCs w:val="20"/>
                <w:color w:val="auto"/>
              </w:rPr>
            </w:pPr>
            <w:r>
              <w:rPr>
                <w:rFonts w:ascii="Arial" w:cs="Arial" w:eastAsia="Arial" w:hAnsi="Arial"/>
                <w:sz w:val="15"/>
                <w:szCs w:val="15"/>
                <w:color w:val="auto"/>
              </w:rPr>
              <w:t>78,004</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640" w:type="dxa"/>
            <w:vAlign w:val="bottom"/>
            <w:tcBorders>
              <w:top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rPr>
              <w:t>932</w:t>
            </w:r>
          </w:p>
        </w:tc>
        <w:tc>
          <w:tcPr>
            <w:tcW w:w="900" w:type="dxa"/>
            <w:vAlign w:val="bottom"/>
            <w:tcBorders>
              <w:top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w w:val="98"/>
              </w:rPr>
              <w:t>$ 5,213,264</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940" w:type="dxa"/>
            <w:vAlign w:val="bottom"/>
            <w:tcBorders>
              <w:top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rPr>
              <w:t>(1,393,141)</w:t>
            </w:r>
          </w:p>
        </w:tc>
        <w:tc>
          <w:tcPr>
            <w:tcW w:w="1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w w:val="95"/>
              </w:rPr>
              <w:t>$</w:t>
            </w:r>
          </w:p>
        </w:tc>
        <w:tc>
          <w:tcPr>
            <w:tcW w:w="1140" w:type="dxa"/>
            <w:vAlign w:val="bottom"/>
            <w:tcBorders>
              <w:top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rPr>
              <w:t>(1,331)</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760" w:type="dxa"/>
            <w:vAlign w:val="bottom"/>
            <w:tcBorders>
              <w:top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rPr>
              <w:t>56,228</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980" w:type="dxa"/>
            <w:vAlign w:val="bottom"/>
            <w:tcBorders>
              <w:top w:val="single" w:sz="8" w:color="auto"/>
            </w:tcBorders>
            <w:shd w:val="clear" w:color="auto" w:fill="CCEEFF"/>
          </w:tcPr>
          <w:p>
            <w:pPr>
              <w:jc w:val="right"/>
              <w:ind w:right="64"/>
              <w:spacing w:after="0"/>
              <w:rPr>
                <w:sz w:val="20"/>
                <w:szCs w:val="20"/>
                <w:color w:val="auto"/>
              </w:rPr>
            </w:pPr>
            <w:r>
              <w:rPr>
                <w:rFonts w:ascii="Arial" w:cs="Arial" w:eastAsia="Arial" w:hAnsi="Arial"/>
                <w:sz w:val="15"/>
                <w:szCs w:val="15"/>
                <w:color w:val="auto"/>
              </w:rPr>
              <w:t>3,875,952</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ind w:right="84"/>
              <w:spacing w:after="0"/>
              <w:rPr>
                <w:sz w:val="20"/>
                <w:szCs w:val="20"/>
                <w:color w:val="auto"/>
              </w:rPr>
            </w:pPr>
            <w:r>
              <w:rPr>
                <w:rFonts w:ascii="Arial" w:cs="Arial" w:eastAsia="Arial" w:hAnsi="Arial"/>
                <w:sz w:val="15"/>
                <w:szCs w:val="15"/>
                <w:color w:val="auto"/>
                <w:w w:val="95"/>
              </w:rPr>
              <w:t>3,953,956</w:t>
            </w:r>
          </w:p>
        </w:tc>
        <w:tc>
          <w:tcPr>
            <w:tcW w:w="0" w:type="dxa"/>
            <w:vAlign w:val="bottom"/>
          </w:tcPr>
          <w:p>
            <w:pPr>
              <w:spacing w:after="0"/>
              <w:rPr>
                <w:sz w:val="1"/>
                <w:szCs w:val="1"/>
                <w:color w:val="auto"/>
              </w:rPr>
            </w:pPr>
          </w:p>
        </w:tc>
      </w:tr>
      <w:tr>
        <w:trPr>
          <w:trHeight w:val="176"/>
        </w:trPr>
        <w:tc>
          <w:tcPr>
            <w:tcW w:w="3060" w:type="dxa"/>
            <w:vAlign w:val="bottom"/>
          </w:tcPr>
          <w:p>
            <w:pPr>
              <w:ind w:left="20"/>
              <w:spacing w:after="0"/>
              <w:rPr>
                <w:sz w:val="20"/>
                <w:szCs w:val="20"/>
                <w:color w:val="auto"/>
              </w:rPr>
            </w:pPr>
            <w:r>
              <w:rPr>
                <w:rFonts w:ascii="Arial" w:cs="Arial" w:eastAsia="Arial" w:hAnsi="Arial"/>
                <w:sz w:val="15"/>
                <w:szCs w:val="15"/>
                <w:color w:val="auto"/>
              </w:rPr>
              <w:t>Issuance of common stock and common OP</w:t>
            </w: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3060" w:type="dxa"/>
            <w:vAlign w:val="bottom"/>
          </w:tcPr>
          <w:p>
            <w:pPr>
              <w:ind w:left="20"/>
              <w:spacing w:after="0"/>
              <w:rPr>
                <w:sz w:val="20"/>
                <w:szCs w:val="20"/>
                <w:color w:val="auto"/>
              </w:rPr>
            </w:pPr>
            <w:r>
              <w:rPr>
                <w:rFonts w:ascii="Arial" w:cs="Arial" w:eastAsia="Arial" w:hAnsi="Arial"/>
                <w:sz w:val="15"/>
                <w:szCs w:val="15"/>
                <w:color w:val="auto"/>
              </w:rPr>
              <w:t>units, net</w:t>
            </w:r>
          </w:p>
        </w:tc>
        <w:tc>
          <w:tcPr>
            <w:tcW w:w="100" w:type="dxa"/>
            <w:vAlign w:val="bottom"/>
          </w:tcPr>
          <w:p>
            <w:pPr>
              <w:spacing w:after="0"/>
              <w:rPr>
                <w:sz w:val="17"/>
                <w:szCs w:val="17"/>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7"/>
                <w:szCs w:val="17"/>
                <w:color w:val="auto"/>
              </w:rPr>
            </w:pPr>
          </w:p>
        </w:tc>
        <w:tc>
          <w:tcPr>
            <w:tcW w:w="640" w:type="dxa"/>
            <w:vAlign w:val="bottom"/>
          </w:tcPr>
          <w:p>
            <w:pPr>
              <w:jc w:val="right"/>
              <w:ind w:right="24"/>
              <w:spacing w:after="0"/>
              <w:rPr>
                <w:sz w:val="20"/>
                <w:szCs w:val="20"/>
                <w:color w:val="auto"/>
              </w:rPr>
            </w:pPr>
            <w:r>
              <w:rPr>
                <w:rFonts w:ascii="Arial" w:cs="Arial" w:eastAsia="Arial" w:hAnsi="Arial"/>
                <w:sz w:val="15"/>
                <w:szCs w:val="15"/>
                <w:color w:val="auto"/>
              </w:rPr>
              <w:t>1</w:t>
            </w:r>
          </w:p>
        </w:tc>
        <w:tc>
          <w:tcPr>
            <w:tcW w:w="900" w:type="dxa"/>
            <w:vAlign w:val="bottom"/>
          </w:tcPr>
          <w:p>
            <w:pPr>
              <w:jc w:val="right"/>
              <w:spacing w:after="0"/>
              <w:rPr>
                <w:sz w:val="20"/>
                <w:szCs w:val="20"/>
                <w:color w:val="auto"/>
              </w:rPr>
            </w:pPr>
            <w:r>
              <w:rPr>
                <w:rFonts w:ascii="Arial" w:cs="Arial" w:eastAsia="Arial" w:hAnsi="Arial"/>
                <w:sz w:val="15"/>
                <w:szCs w:val="15"/>
                <w:color w:val="auto"/>
              </w:rPr>
              <w:t>(7,141)</w:t>
            </w:r>
          </w:p>
        </w:tc>
        <w:tc>
          <w:tcPr>
            <w:tcW w:w="160" w:type="dxa"/>
            <w:vAlign w:val="bottom"/>
          </w:tcPr>
          <w:p>
            <w:pPr>
              <w:spacing w:after="0"/>
              <w:rPr>
                <w:sz w:val="17"/>
                <w:szCs w:val="17"/>
                <w:color w:val="auto"/>
              </w:rPr>
            </w:pPr>
          </w:p>
        </w:tc>
        <w:tc>
          <w:tcPr>
            <w:tcW w:w="940" w:type="dxa"/>
            <w:vAlign w:val="bottom"/>
          </w:tcPr>
          <w:p>
            <w:pPr>
              <w:jc w:val="right"/>
              <w:ind w:right="64"/>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1140" w:type="dxa"/>
            <w:vAlign w:val="bottom"/>
          </w:tcPr>
          <w:p>
            <w:pPr>
              <w:jc w:val="right"/>
              <w:ind w:right="64"/>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760" w:type="dxa"/>
            <w:vAlign w:val="bottom"/>
          </w:tcPr>
          <w:p>
            <w:pPr>
              <w:jc w:val="right"/>
              <w:ind w:right="24"/>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7"/>
                <w:szCs w:val="17"/>
                <w:color w:val="auto"/>
              </w:rPr>
            </w:pPr>
          </w:p>
        </w:tc>
        <w:tc>
          <w:tcPr>
            <w:tcW w:w="980" w:type="dxa"/>
            <w:vAlign w:val="bottom"/>
          </w:tcPr>
          <w:p>
            <w:pPr>
              <w:jc w:val="right"/>
              <w:ind w:right="24"/>
              <w:spacing w:after="0"/>
              <w:rPr>
                <w:sz w:val="20"/>
                <w:szCs w:val="20"/>
                <w:color w:val="auto"/>
              </w:rPr>
            </w:pPr>
            <w:r>
              <w:rPr>
                <w:rFonts w:ascii="Arial" w:cs="Arial" w:eastAsia="Arial" w:hAnsi="Arial"/>
                <w:sz w:val="15"/>
                <w:szCs w:val="15"/>
                <w:color w:val="auto"/>
              </w:rPr>
              <w:t>(7,140)</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ind w:right="44"/>
              <w:spacing w:after="0"/>
              <w:rPr>
                <w:sz w:val="20"/>
                <w:szCs w:val="20"/>
                <w:color w:val="auto"/>
              </w:rPr>
            </w:pPr>
            <w:r>
              <w:rPr>
                <w:rFonts w:ascii="Arial" w:cs="Arial" w:eastAsia="Arial" w:hAnsi="Arial"/>
                <w:sz w:val="15"/>
                <w:szCs w:val="15"/>
                <w:color w:val="auto"/>
              </w:rPr>
              <w:t>(7,140)</w:t>
            </w:r>
          </w:p>
        </w:tc>
        <w:tc>
          <w:tcPr>
            <w:tcW w:w="0" w:type="dxa"/>
            <w:vAlign w:val="bottom"/>
          </w:tcPr>
          <w:p>
            <w:pPr>
              <w:spacing w:after="0"/>
              <w:rPr>
                <w:sz w:val="1"/>
                <w:szCs w:val="1"/>
                <w:color w:val="auto"/>
              </w:rPr>
            </w:pPr>
          </w:p>
        </w:tc>
      </w:tr>
      <w:tr>
        <w:trPr>
          <w:trHeight w:val="220"/>
        </w:trPr>
        <w:tc>
          <w:tcPr>
            <w:tcW w:w="3060" w:type="dxa"/>
            <w:vAlign w:val="bottom"/>
            <w:shd w:val="clear" w:color="auto" w:fill="CCEEFF"/>
          </w:tcPr>
          <w:p>
            <w:pPr>
              <w:ind w:left="20"/>
              <w:spacing w:after="0"/>
              <w:rPr>
                <w:sz w:val="20"/>
                <w:szCs w:val="20"/>
                <w:color w:val="auto"/>
              </w:rPr>
            </w:pPr>
            <w:r>
              <w:rPr>
                <w:rFonts w:ascii="Arial" w:cs="Arial" w:eastAsia="Arial" w:hAnsi="Arial"/>
                <w:sz w:val="15"/>
                <w:szCs w:val="15"/>
                <w:color w:val="auto"/>
              </w:rPr>
              <w:t>Conversion of OP units</w:t>
            </w:r>
          </w:p>
        </w:tc>
        <w:tc>
          <w:tcPr>
            <w:tcW w:w="1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w:t>
            </w:r>
          </w:p>
        </w:tc>
        <w:tc>
          <w:tcPr>
            <w:tcW w:w="9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446</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(446)</w:t>
            </w:r>
          </w:p>
        </w:tc>
        <w:tc>
          <w:tcPr>
            <w:tcW w:w="1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6"/>
        </w:trPr>
        <w:tc>
          <w:tcPr>
            <w:tcW w:w="3060" w:type="dxa"/>
            <w:vAlign w:val="bottom"/>
          </w:tcPr>
          <w:p>
            <w:pPr>
              <w:ind w:left="20"/>
              <w:spacing w:after="0"/>
              <w:rPr>
                <w:sz w:val="20"/>
                <w:szCs w:val="20"/>
                <w:color w:val="auto"/>
              </w:rPr>
            </w:pPr>
            <w:r>
              <w:rPr>
                <w:rFonts w:ascii="Arial" w:cs="Arial" w:eastAsia="Arial" w:hAnsi="Arial"/>
                <w:sz w:val="15"/>
                <w:szCs w:val="15"/>
                <w:color w:val="auto"/>
              </w:rPr>
              <w:t>Equity Interests - NG Sun LLC &amp; NG Sun</w:t>
            </w: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3060" w:type="dxa"/>
            <w:vAlign w:val="bottom"/>
          </w:tcPr>
          <w:p>
            <w:pPr>
              <w:ind w:left="20"/>
              <w:spacing w:after="0"/>
              <w:rPr>
                <w:sz w:val="20"/>
                <w:szCs w:val="20"/>
                <w:color w:val="auto"/>
              </w:rPr>
            </w:pPr>
            <w:r>
              <w:rPr>
                <w:rFonts w:ascii="Arial" w:cs="Arial" w:eastAsia="Arial" w:hAnsi="Arial"/>
                <w:sz w:val="15"/>
                <w:szCs w:val="15"/>
                <w:color w:val="auto"/>
              </w:rPr>
              <w:t>Whitewater LLC</w:t>
            </w:r>
          </w:p>
        </w:tc>
        <w:tc>
          <w:tcPr>
            <w:tcW w:w="100" w:type="dxa"/>
            <w:vAlign w:val="bottom"/>
          </w:tcPr>
          <w:p>
            <w:pPr>
              <w:spacing w:after="0"/>
              <w:rPr>
                <w:sz w:val="17"/>
                <w:szCs w:val="17"/>
                <w:color w:val="auto"/>
              </w:rPr>
            </w:pPr>
          </w:p>
        </w:tc>
        <w:tc>
          <w:tcPr>
            <w:tcW w:w="820" w:type="dxa"/>
            <w:vAlign w:val="bottom"/>
          </w:tcPr>
          <w:p>
            <w:pPr>
              <w:jc w:val="right"/>
              <w:ind w:right="64"/>
              <w:spacing w:after="0"/>
              <w:rPr>
                <w:sz w:val="20"/>
                <w:szCs w:val="20"/>
                <w:color w:val="auto"/>
              </w:rPr>
            </w:pPr>
            <w:r>
              <w:rPr>
                <w:rFonts w:ascii="Arial" w:cs="Arial" w:eastAsia="Arial" w:hAnsi="Arial"/>
                <w:sz w:val="15"/>
                <w:szCs w:val="15"/>
                <w:color w:val="auto"/>
              </w:rPr>
              <w:t>98</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ind w:right="24"/>
              <w:spacing w:after="0"/>
              <w:rPr>
                <w:sz w:val="20"/>
                <w:szCs w:val="20"/>
                <w:color w:val="auto"/>
              </w:rPr>
            </w:pPr>
            <w:r>
              <w:rPr>
                <w:rFonts w:ascii="Arial" w:cs="Arial" w:eastAsia="Arial" w:hAnsi="Arial"/>
                <w:sz w:val="15"/>
                <w:szCs w:val="15"/>
                <w:color w:val="auto"/>
              </w:rPr>
              <w:t>—</w:t>
            </w:r>
          </w:p>
        </w:tc>
        <w:tc>
          <w:tcPr>
            <w:tcW w:w="900" w:type="dxa"/>
            <w:vAlign w:val="bottom"/>
          </w:tcPr>
          <w:p>
            <w:pPr>
              <w:jc w:val="right"/>
              <w:ind w:right="24"/>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7"/>
                <w:szCs w:val="17"/>
                <w:color w:val="auto"/>
              </w:rPr>
            </w:pPr>
          </w:p>
        </w:tc>
        <w:tc>
          <w:tcPr>
            <w:tcW w:w="940" w:type="dxa"/>
            <w:vAlign w:val="bottom"/>
          </w:tcPr>
          <w:p>
            <w:pPr>
              <w:jc w:val="right"/>
              <w:ind w:right="24"/>
              <w:spacing w:after="0"/>
              <w:rPr>
                <w:sz w:val="20"/>
                <w:szCs w:val="20"/>
                <w:color w:val="auto"/>
              </w:rPr>
            </w:pPr>
            <w:r>
              <w:rPr>
                <w:rFonts w:ascii="Arial" w:cs="Arial" w:eastAsia="Arial" w:hAnsi="Arial"/>
                <w:sz w:val="15"/>
                <w:szCs w:val="15"/>
                <w:color w:val="auto"/>
              </w:rPr>
              <w:t>(85)</w:t>
            </w:r>
          </w:p>
        </w:tc>
        <w:tc>
          <w:tcPr>
            <w:tcW w:w="120" w:type="dxa"/>
            <w:vAlign w:val="bottom"/>
          </w:tcPr>
          <w:p>
            <w:pPr>
              <w:spacing w:after="0"/>
              <w:rPr>
                <w:sz w:val="17"/>
                <w:szCs w:val="17"/>
                <w:color w:val="auto"/>
              </w:rPr>
            </w:pPr>
          </w:p>
        </w:tc>
        <w:tc>
          <w:tcPr>
            <w:tcW w:w="1140" w:type="dxa"/>
            <w:vAlign w:val="bottom"/>
          </w:tcPr>
          <w:p>
            <w:pPr>
              <w:jc w:val="right"/>
              <w:ind w:right="64"/>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760" w:type="dxa"/>
            <w:vAlign w:val="bottom"/>
          </w:tcPr>
          <w:p>
            <w:pPr>
              <w:jc w:val="right"/>
              <w:ind w:right="24"/>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7"/>
                <w:szCs w:val="17"/>
                <w:color w:val="auto"/>
              </w:rPr>
            </w:pPr>
          </w:p>
        </w:tc>
        <w:tc>
          <w:tcPr>
            <w:tcW w:w="980" w:type="dxa"/>
            <w:vAlign w:val="bottom"/>
          </w:tcPr>
          <w:p>
            <w:pPr>
              <w:jc w:val="right"/>
              <w:ind w:right="24"/>
              <w:spacing w:after="0"/>
              <w:rPr>
                <w:sz w:val="20"/>
                <w:szCs w:val="20"/>
                <w:color w:val="auto"/>
              </w:rPr>
            </w:pPr>
            <w:r>
              <w:rPr>
                <w:rFonts w:ascii="Arial" w:cs="Arial" w:eastAsia="Arial" w:hAnsi="Arial"/>
                <w:sz w:val="15"/>
                <w:szCs w:val="15"/>
                <w:color w:val="auto"/>
              </w:rPr>
              <w:t>(85)</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ind w:right="84"/>
              <w:spacing w:after="0"/>
              <w:rPr>
                <w:sz w:val="20"/>
                <w:szCs w:val="20"/>
                <w:color w:val="auto"/>
              </w:rPr>
            </w:pPr>
            <w:r>
              <w:rPr>
                <w:rFonts w:ascii="Arial" w:cs="Arial" w:eastAsia="Arial" w:hAnsi="Arial"/>
                <w:sz w:val="15"/>
                <w:szCs w:val="15"/>
                <w:color w:val="auto"/>
              </w:rPr>
              <w:t>13</w:t>
            </w:r>
          </w:p>
        </w:tc>
        <w:tc>
          <w:tcPr>
            <w:tcW w:w="0" w:type="dxa"/>
            <w:vAlign w:val="bottom"/>
          </w:tcPr>
          <w:p>
            <w:pPr>
              <w:spacing w:after="0"/>
              <w:rPr>
                <w:sz w:val="1"/>
                <w:szCs w:val="1"/>
                <w:color w:val="auto"/>
              </w:rPr>
            </w:pPr>
          </w:p>
        </w:tc>
      </w:tr>
      <w:tr>
        <w:trPr>
          <w:trHeight w:val="180"/>
        </w:trPr>
        <w:tc>
          <w:tcPr>
            <w:tcW w:w="3060" w:type="dxa"/>
            <w:vAlign w:val="bottom"/>
            <w:shd w:val="clear" w:color="auto" w:fill="CCEEFF"/>
          </w:tcPr>
          <w:p>
            <w:pPr>
              <w:ind w:left="20"/>
              <w:spacing w:after="0"/>
              <w:rPr>
                <w:sz w:val="20"/>
                <w:szCs w:val="20"/>
                <w:color w:val="auto"/>
              </w:rPr>
            </w:pPr>
            <w:r>
              <w:rPr>
                <w:rFonts w:ascii="Arial" w:cs="Arial" w:eastAsia="Arial" w:hAnsi="Arial"/>
                <w:sz w:val="15"/>
                <w:szCs w:val="15"/>
                <w:color w:val="auto"/>
                <w:w w:val="98"/>
              </w:rPr>
              <w:t>Share-based compensation - amortization and</w:t>
            </w: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3060" w:type="dxa"/>
            <w:vAlign w:val="bottom"/>
            <w:shd w:val="clear" w:color="auto" w:fill="CCEEFF"/>
          </w:tcPr>
          <w:p>
            <w:pPr>
              <w:ind w:left="20"/>
              <w:spacing w:after="0"/>
              <w:rPr>
                <w:sz w:val="20"/>
                <w:szCs w:val="20"/>
                <w:color w:val="auto"/>
              </w:rPr>
            </w:pPr>
            <w:r>
              <w:rPr>
                <w:rFonts w:ascii="Arial" w:cs="Arial" w:eastAsia="Arial" w:hAnsi="Arial"/>
                <w:sz w:val="15"/>
                <w:szCs w:val="15"/>
                <w:color w:val="auto"/>
              </w:rPr>
              <w:t>forfeitures</w:t>
            </w:r>
          </w:p>
        </w:tc>
        <w:tc>
          <w:tcPr>
            <w:tcW w:w="1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w:t>
            </w:r>
          </w:p>
        </w:tc>
        <w:tc>
          <w:tcPr>
            <w:tcW w:w="9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4,928</w:t>
            </w: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93</w:t>
            </w: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5,021</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rPr>
              <w:t>5,021</w:t>
            </w:r>
          </w:p>
        </w:tc>
        <w:tc>
          <w:tcPr>
            <w:tcW w:w="0" w:type="dxa"/>
            <w:vAlign w:val="bottom"/>
          </w:tcPr>
          <w:p>
            <w:pPr>
              <w:spacing w:after="0"/>
              <w:rPr>
                <w:sz w:val="1"/>
                <w:szCs w:val="1"/>
                <w:color w:val="auto"/>
              </w:rPr>
            </w:pPr>
          </w:p>
        </w:tc>
      </w:tr>
      <w:tr>
        <w:trPr>
          <w:trHeight w:val="212"/>
        </w:trPr>
        <w:tc>
          <w:tcPr>
            <w:tcW w:w="3060" w:type="dxa"/>
            <w:vAlign w:val="bottom"/>
          </w:tcPr>
          <w:p>
            <w:pPr>
              <w:ind w:left="20"/>
              <w:spacing w:after="0"/>
              <w:rPr>
                <w:sz w:val="20"/>
                <w:szCs w:val="20"/>
                <w:color w:val="auto"/>
              </w:rPr>
            </w:pPr>
            <w:r>
              <w:rPr>
                <w:rFonts w:ascii="Arial" w:cs="Arial" w:eastAsia="Arial" w:hAnsi="Arial"/>
                <w:sz w:val="15"/>
                <w:szCs w:val="15"/>
                <w:color w:val="auto"/>
              </w:rPr>
              <w:t>Issuance of Series E preferred OP units</w:t>
            </w:r>
          </w:p>
        </w:tc>
        <w:tc>
          <w:tcPr>
            <w:tcW w:w="100" w:type="dxa"/>
            <w:vAlign w:val="bottom"/>
          </w:tcPr>
          <w:p>
            <w:pPr>
              <w:spacing w:after="0"/>
              <w:rPr>
                <w:sz w:val="18"/>
                <w:szCs w:val="18"/>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8"/>
                <w:szCs w:val="18"/>
                <w:color w:val="auto"/>
              </w:rPr>
            </w:pPr>
          </w:p>
        </w:tc>
        <w:tc>
          <w:tcPr>
            <w:tcW w:w="640" w:type="dxa"/>
            <w:vAlign w:val="bottom"/>
          </w:tcPr>
          <w:p>
            <w:pPr>
              <w:jc w:val="right"/>
              <w:ind w:right="24"/>
              <w:spacing w:after="0"/>
              <w:rPr>
                <w:sz w:val="20"/>
                <w:szCs w:val="20"/>
                <w:color w:val="auto"/>
              </w:rPr>
            </w:pPr>
            <w:r>
              <w:rPr>
                <w:rFonts w:ascii="Arial" w:cs="Arial" w:eastAsia="Arial" w:hAnsi="Arial"/>
                <w:sz w:val="15"/>
                <w:szCs w:val="15"/>
                <w:color w:val="auto"/>
              </w:rPr>
              <w:t>—</w:t>
            </w:r>
          </w:p>
        </w:tc>
        <w:tc>
          <w:tcPr>
            <w:tcW w:w="900" w:type="dxa"/>
            <w:vAlign w:val="bottom"/>
          </w:tcPr>
          <w:p>
            <w:pPr>
              <w:jc w:val="right"/>
              <w:ind w:right="24"/>
              <w:spacing w:after="0"/>
              <w:rPr>
                <w:sz w:val="20"/>
                <w:szCs w:val="20"/>
                <w:color w:val="auto"/>
              </w:rPr>
            </w:pPr>
            <w:r>
              <w:rPr>
                <w:rFonts w:ascii="Arial" w:cs="Arial" w:eastAsia="Arial" w:hAnsi="Arial"/>
                <w:sz w:val="15"/>
                <w:szCs w:val="15"/>
                <w:color w:val="auto"/>
              </w:rPr>
              <w:t>181</w:t>
            </w:r>
          </w:p>
        </w:tc>
        <w:tc>
          <w:tcPr>
            <w:tcW w:w="160" w:type="dxa"/>
            <w:vAlign w:val="bottom"/>
          </w:tcPr>
          <w:p>
            <w:pPr>
              <w:spacing w:after="0"/>
              <w:rPr>
                <w:sz w:val="18"/>
                <w:szCs w:val="18"/>
                <w:color w:val="auto"/>
              </w:rPr>
            </w:pPr>
          </w:p>
        </w:tc>
        <w:tc>
          <w:tcPr>
            <w:tcW w:w="940" w:type="dxa"/>
            <w:vAlign w:val="bottom"/>
          </w:tcPr>
          <w:p>
            <w:pPr>
              <w:jc w:val="right"/>
              <w:ind w:right="64"/>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8"/>
                <w:szCs w:val="18"/>
                <w:color w:val="auto"/>
              </w:rPr>
            </w:pPr>
          </w:p>
        </w:tc>
        <w:tc>
          <w:tcPr>
            <w:tcW w:w="1140" w:type="dxa"/>
            <w:vAlign w:val="bottom"/>
          </w:tcPr>
          <w:p>
            <w:pPr>
              <w:jc w:val="right"/>
              <w:ind w:right="64"/>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8"/>
                <w:szCs w:val="18"/>
                <w:color w:val="auto"/>
              </w:rPr>
            </w:pPr>
          </w:p>
        </w:tc>
        <w:tc>
          <w:tcPr>
            <w:tcW w:w="760" w:type="dxa"/>
            <w:vAlign w:val="bottom"/>
          </w:tcPr>
          <w:p>
            <w:pPr>
              <w:jc w:val="right"/>
              <w:ind w:right="24"/>
              <w:spacing w:after="0"/>
              <w:rPr>
                <w:sz w:val="20"/>
                <w:szCs w:val="20"/>
                <w:color w:val="auto"/>
              </w:rPr>
            </w:pPr>
            <w:r>
              <w:rPr>
                <w:rFonts w:ascii="Arial" w:cs="Arial" w:eastAsia="Arial" w:hAnsi="Arial"/>
                <w:sz w:val="15"/>
                <w:szCs w:val="15"/>
                <w:color w:val="auto"/>
              </w:rPr>
              <w:t>8,819</w:t>
            </w:r>
          </w:p>
        </w:tc>
        <w:tc>
          <w:tcPr>
            <w:tcW w:w="160" w:type="dxa"/>
            <w:vAlign w:val="bottom"/>
          </w:tcPr>
          <w:p>
            <w:pPr>
              <w:spacing w:after="0"/>
              <w:rPr>
                <w:sz w:val="18"/>
                <w:szCs w:val="18"/>
                <w:color w:val="auto"/>
              </w:rPr>
            </w:pPr>
          </w:p>
        </w:tc>
        <w:tc>
          <w:tcPr>
            <w:tcW w:w="980" w:type="dxa"/>
            <w:vAlign w:val="bottom"/>
          </w:tcPr>
          <w:p>
            <w:pPr>
              <w:jc w:val="right"/>
              <w:ind w:right="64"/>
              <w:spacing w:after="0"/>
              <w:rPr>
                <w:sz w:val="20"/>
                <w:szCs w:val="20"/>
                <w:color w:val="auto"/>
              </w:rPr>
            </w:pPr>
            <w:r>
              <w:rPr>
                <w:rFonts w:ascii="Arial" w:cs="Arial" w:eastAsia="Arial" w:hAnsi="Arial"/>
                <w:sz w:val="15"/>
                <w:szCs w:val="15"/>
                <w:color w:val="auto"/>
              </w:rPr>
              <w:t>9,000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ind w:right="84"/>
              <w:spacing w:after="0"/>
              <w:rPr>
                <w:sz w:val="20"/>
                <w:szCs w:val="20"/>
                <w:color w:val="auto"/>
              </w:rPr>
            </w:pPr>
            <w:r>
              <w:rPr>
                <w:rFonts w:ascii="Arial" w:cs="Arial" w:eastAsia="Arial" w:hAnsi="Arial"/>
                <w:sz w:val="15"/>
                <w:szCs w:val="15"/>
                <w:color w:val="auto"/>
              </w:rPr>
              <w:t>9,000</w:t>
            </w:r>
          </w:p>
        </w:tc>
        <w:tc>
          <w:tcPr>
            <w:tcW w:w="0" w:type="dxa"/>
            <w:vAlign w:val="bottom"/>
          </w:tcPr>
          <w:p>
            <w:pPr>
              <w:spacing w:after="0"/>
              <w:rPr>
                <w:sz w:val="1"/>
                <w:szCs w:val="1"/>
                <w:color w:val="auto"/>
              </w:rPr>
            </w:pPr>
          </w:p>
        </w:tc>
      </w:tr>
      <w:tr>
        <w:trPr>
          <w:trHeight w:val="220"/>
        </w:trPr>
        <w:tc>
          <w:tcPr>
            <w:tcW w:w="3060" w:type="dxa"/>
            <w:vAlign w:val="bottom"/>
            <w:shd w:val="clear" w:color="auto" w:fill="CCEEFF"/>
          </w:tcPr>
          <w:p>
            <w:pPr>
              <w:ind w:left="20"/>
              <w:spacing w:after="0"/>
              <w:rPr>
                <w:sz w:val="20"/>
                <w:szCs w:val="20"/>
                <w:color w:val="auto"/>
              </w:rPr>
            </w:pPr>
            <w:r>
              <w:rPr>
                <w:rFonts w:ascii="Arial" w:cs="Arial" w:eastAsia="Arial" w:hAnsi="Arial"/>
                <w:sz w:val="15"/>
                <w:szCs w:val="15"/>
                <w:color w:val="auto"/>
              </w:rPr>
              <w:t>Foreign currency translation</w:t>
            </w:r>
          </w:p>
        </w:tc>
        <w:tc>
          <w:tcPr>
            <w:tcW w:w="1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w:t>
            </w:r>
          </w:p>
        </w:tc>
        <w:tc>
          <w:tcPr>
            <w:tcW w:w="9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(6,994)</w:t>
            </w: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(306)</w:t>
            </w: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(7,300)</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(7,300)</w:t>
            </w:r>
          </w:p>
        </w:tc>
        <w:tc>
          <w:tcPr>
            <w:tcW w:w="0" w:type="dxa"/>
            <w:vAlign w:val="bottom"/>
          </w:tcPr>
          <w:p>
            <w:pPr>
              <w:spacing w:after="0"/>
              <w:rPr>
                <w:sz w:val="1"/>
                <w:szCs w:val="1"/>
                <w:color w:val="auto"/>
              </w:rPr>
            </w:pPr>
          </w:p>
        </w:tc>
      </w:tr>
      <w:tr>
        <w:trPr>
          <w:trHeight w:val="176"/>
        </w:trPr>
        <w:tc>
          <w:tcPr>
            <w:tcW w:w="3060" w:type="dxa"/>
            <w:vAlign w:val="bottom"/>
          </w:tcPr>
          <w:p>
            <w:pPr>
              <w:ind w:left="20"/>
              <w:spacing w:after="0"/>
              <w:rPr>
                <w:sz w:val="20"/>
                <w:szCs w:val="20"/>
                <w:color w:val="auto"/>
              </w:rPr>
            </w:pPr>
            <w:r>
              <w:rPr>
                <w:rFonts w:ascii="Arial" w:cs="Arial" w:eastAsia="Arial" w:hAnsi="Arial"/>
                <w:sz w:val="15"/>
                <w:szCs w:val="15"/>
                <w:color w:val="auto"/>
                <w:w w:val="96"/>
              </w:rPr>
              <w:t>Remeasurement of notes receivable and equity</w:t>
            </w: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3060" w:type="dxa"/>
            <w:vAlign w:val="bottom"/>
          </w:tcPr>
          <w:p>
            <w:pPr>
              <w:ind w:left="20"/>
              <w:spacing w:after="0"/>
              <w:rPr>
                <w:sz w:val="20"/>
                <w:szCs w:val="20"/>
                <w:color w:val="auto"/>
              </w:rPr>
            </w:pPr>
            <w:r>
              <w:rPr>
                <w:rFonts w:ascii="Arial" w:cs="Arial" w:eastAsia="Arial" w:hAnsi="Arial"/>
                <w:sz w:val="15"/>
                <w:szCs w:val="15"/>
                <w:color w:val="auto"/>
              </w:rPr>
              <w:t>method investment (see Note 17)</w:t>
            </w:r>
          </w:p>
        </w:tc>
        <w:tc>
          <w:tcPr>
            <w:tcW w:w="100" w:type="dxa"/>
            <w:vAlign w:val="bottom"/>
          </w:tcPr>
          <w:p>
            <w:pPr>
              <w:spacing w:after="0"/>
              <w:rPr>
                <w:sz w:val="17"/>
                <w:szCs w:val="17"/>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7"/>
                <w:szCs w:val="17"/>
                <w:color w:val="auto"/>
              </w:rPr>
            </w:pPr>
          </w:p>
        </w:tc>
        <w:tc>
          <w:tcPr>
            <w:tcW w:w="640" w:type="dxa"/>
            <w:vAlign w:val="bottom"/>
          </w:tcPr>
          <w:p>
            <w:pPr>
              <w:jc w:val="right"/>
              <w:ind w:right="24"/>
              <w:spacing w:after="0"/>
              <w:rPr>
                <w:sz w:val="20"/>
                <w:szCs w:val="20"/>
                <w:color w:val="auto"/>
              </w:rPr>
            </w:pPr>
            <w:r>
              <w:rPr>
                <w:rFonts w:ascii="Arial" w:cs="Arial" w:eastAsia="Arial" w:hAnsi="Arial"/>
                <w:sz w:val="15"/>
                <w:szCs w:val="15"/>
                <w:color w:val="auto"/>
              </w:rPr>
              <w:t>—</w:t>
            </w:r>
          </w:p>
        </w:tc>
        <w:tc>
          <w:tcPr>
            <w:tcW w:w="900" w:type="dxa"/>
            <w:vAlign w:val="bottom"/>
          </w:tcPr>
          <w:p>
            <w:pPr>
              <w:jc w:val="right"/>
              <w:ind w:right="24"/>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7"/>
                <w:szCs w:val="17"/>
                <w:color w:val="auto"/>
              </w:rPr>
            </w:pPr>
          </w:p>
        </w:tc>
        <w:tc>
          <w:tcPr>
            <w:tcW w:w="940" w:type="dxa"/>
            <w:vAlign w:val="bottom"/>
          </w:tcPr>
          <w:p>
            <w:pPr>
              <w:jc w:val="right"/>
              <w:ind w:right="64"/>
              <w:spacing w:after="0"/>
              <w:rPr>
                <w:sz w:val="20"/>
                <w:szCs w:val="20"/>
                <w:color w:val="auto"/>
              </w:rPr>
            </w:pPr>
            <w:r>
              <w:rPr>
                <w:rFonts w:ascii="Arial" w:cs="Arial" w:eastAsia="Arial" w:hAnsi="Arial"/>
                <w:sz w:val="15"/>
                <w:szCs w:val="15"/>
                <w:color w:val="auto"/>
              </w:rPr>
              <w:t>1,953</w:t>
            </w:r>
          </w:p>
        </w:tc>
        <w:tc>
          <w:tcPr>
            <w:tcW w:w="120" w:type="dxa"/>
            <w:vAlign w:val="bottom"/>
          </w:tcPr>
          <w:p>
            <w:pPr>
              <w:spacing w:after="0"/>
              <w:rPr>
                <w:sz w:val="17"/>
                <w:szCs w:val="17"/>
                <w:color w:val="auto"/>
              </w:rPr>
            </w:pPr>
          </w:p>
        </w:tc>
        <w:tc>
          <w:tcPr>
            <w:tcW w:w="1140" w:type="dxa"/>
            <w:vAlign w:val="bottom"/>
          </w:tcPr>
          <w:p>
            <w:pPr>
              <w:jc w:val="right"/>
              <w:ind w:right="64"/>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760" w:type="dxa"/>
            <w:vAlign w:val="bottom"/>
          </w:tcPr>
          <w:p>
            <w:pPr>
              <w:jc w:val="right"/>
              <w:ind w:right="24"/>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7"/>
                <w:szCs w:val="17"/>
                <w:color w:val="auto"/>
              </w:rPr>
            </w:pPr>
          </w:p>
        </w:tc>
        <w:tc>
          <w:tcPr>
            <w:tcW w:w="980" w:type="dxa"/>
            <w:vAlign w:val="bottom"/>
          </w:tcPr>
          <w:p>
            <w:pPr>
              <w:jc w:val="right"/>
              <w:ind w:right="64"/>
              <w:spacing w:after="0"/>
              <w:rPr>
                <w:sz w:val="20"/>
                <w:szCs w:val="20"/>
                <w:color w:val="auto"/>
              </w:rPr>
            </w:pPr>
            <w:r>
              <w:rPr>
                <w:rFonts w:ascii="Arial" w:cs="Arial" w:eastAsia="Arial" w:hAnsi="Arial"/>
                <w:sz w:val="15"/>
                <w:szCs w:val="15"/>
                <w:color w:val="auto"/>
              </w:rPr>
              <w:t>1,953</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ind w:right="84"/>
              <w:spacing w:after="0"/>
              <w:rPr>
                <w:sz w:val="20"/>
                <w:szCs w:val="20"/>
                <w:color w:val="auto"/>
              </w:rPr>
            </w:pPr>
            <w:r>
              <w:rPr>
                <w:rFonts w:ascii="Arial" w:cs="Arial" w:eastAsia="Arial" w:hAnsi="Arial"/>
                <w:sz w:val="15"/>
                <w:szCs w:val="15"/>
                <w:color w:val="auto"/>
              </w:rPr>
              <w:t>1,953</w:t>
            </w:r>
          </w:p>
        </w:tc>
        <w:tc>
          <w:tcPr>
            <w:tcW w:w="0" w:type="dxa"/>
            <w:vAlign w:val="bottom"/>
          </w:tcPr>
          <w:p>
            <w:pPr>
              <w:spacing w:after="0"/>
              <w:rPr>
                <w:sz w:val="1"/>
                <w:szCs w:val="1"/>
                <w:color w:val="auto"/>
              </w:rPr>
            </w:pPr>
          </w:p>
        </w:tc>
      </w:tr>
      <w:tr>
        <w:trPr>
          <w:trHeight w:val="220"/>
        </w:trPr>
        <w:tc>
          <w:tcPr>
            <w:tcW w:w="3060" w:type="dxa"/>
            <w:vAlign w:val="bottom"/>
            <w:shd w:val="clear" w:color="auto" w:fill="CCEEFF"/>
          </w:tcPr>
          <w:p>
            <w:pPr>
              <w:ind w:left="20"/>
              <w:spacing w:after="0"/>
              <w:rPr>
                <w:sz w:val="20"/>
                <w:szCs w:val="20"/>
                <w:color w:val="auto"/>
              </w:rPr>
            </w:pPr>
            <w:r>
              <w:rPr>
                <w:rFonts w:ascii="Arial" w:cs="Arial" w:eastAsia="Arial" w:hAnsi="Arial"/>
                <w:sz w:val="15"/>
                <w:szCs w:val="15"/>
                <w:color w:val="auto"/>
              </w:rPr>
              <w:t>Net income (loss)</w:t>
            </w: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(1,195)</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w:t>
            </w:r>
          </w:p>
        </w:tc>
        <w:tc>
          <w:tcPr>
            <w:tcW w:w="9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(14,514)</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231</w:t>
            </w: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(14,283)</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(15,478)</w:t>
            </w:r>
          </w:p>
        </w:tc>
        <w:tc>
          <w:tcPr>
            <w:tcW w:w="0" w:type="dxa"/>
            <w:vAlign w:val="bottom"/>
          </w:tcPr>
          <w:p>
            <w:pPr>
              <w:spacing w:after="0"/>
              <w:rPr>
                <w:sz w:val="1"/>
                <w:szCs w:val="1"/>
                <w:color w:val="auto"/>
              </w:rPr>
            </w:pPr>
          </w:p>
        </w:tc>
      </w:tr>
      <w:tr>
        <w:trPr>
          <w:trHeight w:val="212"/>
        </w:trPr>
        <w:tc>
          <w:tcPr>
            <w:tcW w:w="306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Distributions</w:t>
            </w: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(457)</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w:t>
            </w:r>
          </w:p>
        </w:tc>
        <w:tc>
          <w:tcPr>
            <w:tcW w:w="90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w:t>
            </w: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(73,730)</w:t>
            </w: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color w:val="auto"/>
              </w:rPr>
              <w:t>—</w:t>
            </w: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(2,918)</w:t>
            </w: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(76,648)</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(77,105)</w:t>
            </w:r>
          </w:p>
        </w:tc>
        <w:tc>
          <w:tcPr>
            <w:tcW w:w="0" w:type="dxa"/>
            <w:vAlign w:val="bottom"/>
          </w:tcPr>
          <w:p>
            <w:pPr>
              <w:spacing w:after="0"/>
              <w:rPr>
                <w:sz w:val="1"/>
                <w:szCs w:val="1"/>
                <w:color w:val="auto"/>
              </w:rPr>
            </w:pPr>
          </w:p>
        </w:tc>
      </w:tr>
      <w:tr>
        <w:trPr>
          <w:trHeight w:val="238"/>
        </w:trPr>
        <w:tc>
          <w:tcPr>
            <w:tcW w:w="3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Balance at March 31, 2020</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820" w:type="dxa"/>
            <w:vAlign w:val="bottom"/>
            <w:tcBorders>
              <w:bottom w:val="single" w:sz="8" w:color="auto"/>
            </w:tcBorders>
            <w:shd w:val="clear" w:color="auto" w:fill="CCEEFF"/>
          </w:tcPr>
          <w:p>
            <w:pPr>
              <w:jc w:val="right"/>
              <w:ind w:right="64"/>
              <w:spacing w:after="0"/>
              <w:rPr>
                <w:sz w:val="20"/>
                <w:szCs w:val="20"/>
                <w:color w:val="auto"/>
              </w:rPr>
            </w:pPr>
            <w:r>
              <w:rPr>
                <w:rFonts w:ascii="Arial" w:cs="Arial" w:eastAsia="Arial" w:hAnsi="Arial"/>
                <w:sz w:val="15"/>
                <w:szCs w:val="15"/>
                <w:color w:val="auto"/>
              </w:rPr>
              <w:t>76,450</w:t>
            </w:r>
          </w:p>
        </w:tc>
        <w:tc>
          <w:tcPr>
            <w:tcW w:w="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64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rPr>
              <w:t>933</w:t>
            </w:r>
          </w:p>
        </w:tc>
        <w:tc>
          <w:tcPr>
            <w:tcW w:w="90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w w:val="98"/>
              </w:rPr>
              <w:t>$ 5,211,678</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94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rPr>
              <w:t>(1,479,424)</w:t>
            </w:r>
          </w:p>
        </w:tc>
        <w:tc>
          <w:tcPr>
            <w:tcW w:w="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w w:val="95"/>
              </w:rPr>
              <w:t>$</w:t>
            </w:r>
          </w:p>
        </w:tc>
        <w:tc>
          <w:tcPr>
            <w:tcW w:w="114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rPr>
              <w:t>(8,325)</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76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rPr>
              <w:t>61,608</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980" w:type="dxa"/>
            <w:vAlign w:val="bottom"/>
            <w:tcBorders>
              <w:bottom w:val="single" w:sz="8" w:color="auto"/>
            </w:tcBorders>
            <w:shd w:val="clear" w:color="auto" w:fill="CCEEFF"/>
          </w:tcPr>
          <w:p>
            <w:pPr>
              <w:jc w:val="right"/>
              <w:ind w:right="64"/>
              <w:spacing w:after="0"/>
              <w:rPr>
                <w:sz w:val="20"/>
                <w:szCs w:val="20"/>
                <w:color w:val="auto"/>
              </w:rPr>
            </w:pPr>
            <w:r>
              <w:rPr>
                <w:rFonts w:ascii="Arial" w:cs="Arial" w:eastAsia="Arial" w:hAnsi="Arial"/>
                <w:sz w:val="15"/>
                <w:szCs w:val="15"/>
                <w:color w:val="auto"/>
              </w:rPr>
              <w:t>3,786,470</w:t>
            </w:r>
          </w:p>
        </w:tc>
        <w:tc>
          <w:tcPr>
            <w:tcW w:w="1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ind w:right="84"/>
              <w:spacing w:after="0"/>
              <w:rPr>
                <w:sz w:val="20"/>
                <w:szCs w:val="20"/>
                <w:color w:val="auto"/>
              </w:rPr>
            </w:pPr>
            <w:r>
              <w:rPr>
                <w:rFonts w:ascii="Arial" w:cs="Arial" w:eastAsia="Arial" w:hAnsi="Arial"/>
                <w:sz w:val="15"/>
                <w:szCs w:val="15"/>
                <w:color w:val="auto"/>
                <w:w w:val="95"/>
              </w:rPr>
              <w:t>3,862,920</w:t>
            </w:r>
          </w:p>
        </w:tc>
        <w:tc>
          <w:tcPr>
            <w:tcW w:w="0" w:type="dxa"/>
            <w:vAlign w:val="bottom"/>
          </w:tcPr>
          <w:p>
            <w:pPr>
              <w:spacing w:after="0"/>
              <w:rPr>
                <w:sz w:val="1"/>
                <w:szCs w:val="1"/>
                <w:color w:val="auto"/>
              </w:rPr>
            </w:pPr>
          </w:p>
        </w:tc>
      </w:tr>
      <w:tr>
        <w:trPr>
          <w:trHeight w:val="20"/>
        </w:trPr>
        <w:tc>
          <w:tcPr>
            <w:tcW w:w="3060" w:type="dxa"/>
            <w:vAlign w:val="bottom"/>
            <w:tcBorders>
              <w:top w:val="single" w:sz="8" w:color="CCEEFF"/>
              <w:bottom w:val="single" w:sz="8" w:color="CCEEFF"/>
            </w:tcBorders>
            <w:vMerge w:val="restart"/>
          </w:tcPr>
          <w:p>
            <w:pPr>
              <w:ind w:left="20"/>
              <w:spacing w:after="0" w:line="163" w:lineRule="exact"/>
              <w:rPr>
                <w:sz w:val="20"/>
                <w:szCs w:val="20"/>
                <w:color w:val="auto"/>
              </w:rPr>
            </w:pPr>
            <w:r>
              <w:rPr>
                <w:rFonts w:ascii="Arial" w:cs="Arial" w:eastAsia="Arial" w:hAnsi="Arial"/>
                <w:sz w:val="15"/>
                <w:szCs w:val="15"/>
                <w:color w:val="auto"/>
              </w:rPr>
              <w:t>Issuance of common stock and common OP</w:t>
            </w: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306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8"/>
        </w:trPr>
        <w:tc>
          <w:tcPr>
            <w:tcW w:w="3060" w:type="dxa"/>
            <w:vAlign w:val="bottom"/>
          </w:tcPr>
          <w:p>
            <w:pPr>
              <w:ind w:left="20"/>
              <w:spacing w:after="0"/>
              <w:rPr>
                <w:sz w:val="20"/>
                <w:szCs w:val="20"/>
                <w:color w:val="auto"/>
              </w:rPr>
            </w:pPr>
            <w:r>
              <w:rPr>
                <w:rFonts w:ascii="Arial" w:cs="Arial" w:eastAsia="Arial" w:hAnsi="Arial"/>
                <w:sz w:val="15"/>
                <w:szCs w:val="15"/>
                <w:color w:val="auto"/>
              </w:rPr>
              <w:t>units, net</w:t>
            </w:r>
          </w:p>
        </w:tc>
        <w:tc>
          <w:tcPr>
            <w:tcW w:w="100" w:type="dxa"/>
            <w:vAlign w:val="bottom"/>
          </w:tcPr>
          <w:p>
            <w:pPr>
              <w:spacing w:after="0"/>
              <w:rPr>
                <w:sz w:val="17"/>
                <w:szCs w:val="17"/>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7"/>
                <w:szCs w:val="17"/>
                <w:color w:val="auto"/>
              </w:rPr>
            </w:pPr>
          </w:p>
        </w:tc>
        <w:tc>
          <w:tcPr>
            <w:tcW w:w="640" w:type="dxa"/>
            <w:vAlign w:val="bottom"/>
          </w:tcPr>
          <w:p>
            <w:pPr>
              <w:jc w:val="right"/>
              <w:ind w:right="24"/>
              <w:spacing w:after="0"/>
              <w:rPr>
                <w:sz w:val="20"/>
                <w:szCs w:val="20"/>
                <w:color w:val="auto"/>
              </w:rPr>
            </w:pPr>
            <w:r>
              <w:rPr>
                <w:rFonts w:ascii="Arial" w:cs="Arial" w:eastAsia="Arial" w:hAnsi="Arial"/>
                <w:sz w:val="15"/>
                <w:szCs w:val="15"/>
                <w:color w:val="auto"/>
              </w:rPr>
              <w:t>49</w:t>
            </w:r>
          </w:p>
        </w:tc>
        <w:tc>
          <w:tcPr>
            <w:tcW w:w="900" w:type="dxa"/>
            <w:vAlign w:val="bottom"/>
          </w:tcPr>
          <w:p>
            <w:pPr>
              <w:jc w:val="right"/>
              <w:ind w:right="24"/>
              <w:spacing w:after="0"/>
              <w:rPr>
                <w:sz w:val="20"/>
                <w:szCs w:val="20"/>
                <w:color w:val="auto"/>
              </w:rPr>
            </w:pPr>
            <w:r>
              <w:rPr>
                <w:rFonts w:ascii="Arial" w:cs="Arial" w:eastAsia="Arial" w:hAnsi="Arial"/>
                <w:sz w:val="15"/>
                <w:szCs w:val="15"/>
                <w:color w:val="auto"/>
              </w:rPr>
              <w:t>628,506</w:t>
            </w:r>
          </w:p>
        </w:tc>
        <w:tc>
          <w:tcPr>
            <w:tcW w:w="160" w:type="dxa"/>
            <w:vAlign w:val="bottom"/>
          </w:tcPr>
          <w:p>
            <w:pPr>
              <w:spacing w:after="0"/>
              <w:rPr>
                <w:sz w:val="17"/>
                <w:szCs w:val="17"/>
                <w:color w:val="auto"/>
              </w:rPr>
            </w:pPr>
          </w:p>
        </w:tc>
        <w:tc>
          <w:tcPr>
            <w:tcW w:w="940" w:type="dxa"/>
            <w:vAlign w:val="bottom"/>
          </w:tcPr>
          <w:p>
            <w:pPr>
              <w:jc w:val="right"/>
              <w:ind w:right="64"/>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1140" w:type="dxa"/>
            <w:vAlign w:val="bottom"/>
          </w:tcPr>
          <w:p>
            <w:pPr>
              <w:jc w:val="right"/>
              <w:ind w:right="64"/>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760" w:type="dxa"/>
            <w:vAlign w:val="bottom"/>
          </w:tcPr>
          <w:p>
            <w:pPr>
              <w:jc w:val="right"/>
              <w:ind w:right="24"/>
              <w:spacing w:after="0"/>
              <w:rPr>
                <w:sz w:val="20"/>
                <w:szCs w:val="20"/>
                <w:color w:val="auto"/>
              </w:rPr>
            </w:pPr>
            <w:r>
              <w:rPr>
                <w:rFonts w:ascii="Arial" w:cs="Arial" w:eastAsia="Arial" w:hAnsi="Arial"/>
                <w:sz w:val="15"/>
                <w:szCs w:val="15"/>
                <w:color w:val="auto"/>
              </w:rPr>
              <w:t>10,114</w:t>
            </w:r>
          </w:p>
        </w:tc>
        <w:tc>
          <w:tcPr>
            <w:tcW w:w="160" w:type="dxa"/>
            <w:vAlign w:val="bottom"/>
          </w:tcPr>
          <w:p>
            <w:pPr>
              <w:spacing w:after="0"/>
              <w:rPr>
                <w:sz w:val="17"/>
                <w:szCs w:val="17"/>
                <w:color w:val="auto"/>
              </w:rPr>
            </w:pPr>
          </w:p>
        </w:tc>
        <w:tc>
          <w:tcPr>
            <w:tcW w:w="980" w:type="dxa"/>
            <w:vAlign w:val="bottom"/>
          </w:tcPr>
          <w:p>
            <w:pPr>
              <w:jc w:val="right"/>
              <w:ind w:right="64"/>
              <w:spacing w:after="0"/>
              <w:rPr>
                <w:sz w:val="20"/>
                <w:szCs w:val="20"/>
                <w:color w:val="auto"/>
              </w:rPr>
            </w:pPr>
            <w:r>
              <w:rPr>
                <w:rFonts w:ascii="Arial" w:cs="Arial" w:eastAsia="Arial" w:hAnsi="Arial"/>
                <w:sz w:val="15"/>
                <w:szCs w:val="15"/>
                <w:color w:val="auto"/>
              </w:rPr>
              <w:t>638,669</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ind w:right="84"/>
              <w:spacing w:after="0"/>
              <w:rPr>
                <w:sz w:val="20"/>
                <w:szCs w:val="20"/>
                <w:color w:val="auto"/>
              </w:rPr>
            </w:pPr>
            <w:r>
              <w:rPr>
                <w:rFonts w:ascii="Arial" w:cs="Arial" w:eastAsia="Arial" w:hAnsi="Arial"/>
                <w:sz w:val="15"/>
                <w:szCs w:val="15"/>
                <w:color w:val="auto"/>
              </w:rPr>
              <w:t>638,669</w:t>
            </w:r>
          </w:p>
        </w:tc>
        <w:tc>
          <w:tcPr>
            <w:tcW w:w="0" w:type="dxa"/>
            <w:vAlign w:val="bottom"/>
          </w:tcPr>
          <w:p>
            <w:pPr>
              <w:spacing w:after="0"/>
              <w:rPr>
                <w:sz w:val="1"/>
                <w:szCs w:val="1"/>
                <w:color w:val="auto"/>
              </w:rPr>
            </w:pPr>
          </w:p>
        </w:tc>
      </w:tr>
      <w:tr>
        <w:trPr>
          <w:trHeight w:val="220"/>
        </w:trPr>
        <w:tc>
          <w:tcPr>
            <w:tcW w:w="3060" w:type="dxa"/>
            <w:vAlign w:val="bottom"/>
            <w:shd w:val="clear" w:color="auto" w:fill="CCEEFF"/>
          </w:tcPr>
          <w:p>
            <w:pPr>
              <w:ind w:left="20"/>
              <w:spacing w:after="0"/>
              <w:rPr>
                <w:sz w:val="20"/>
                <w:szCs w:val="20"/>
                <w:color w:val="auto"/>
              </w:rPr>
            </w:pPr>
            <w:r>
              <w:rPr>
                <w:rFonts w:ascii="Arial" w:cs="Arial" w:eastAsia="Arial" w:hAnsi="Arial"/>
                <w:sz w:val="15"/>
                <w:szCs w:val="15"/>
                <w:color w:val="auto"/>
              </w:rPr>
              <w:t>Conversion of OP units</w:t>
            </w:r>
          </w:p>
        </w:tc>
        <w:tc>
          <w:tcPr>
            <w:tcW w:w="1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1</w:t>
            </w:r>
          </w:p>
        </w:tc>
        <w:tc>
          <w:tcPr>
            <w:tcW w:w="9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130</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(131)</w:t>
            </w:r>
          </w:p>
        </w:tc>
        <w:tc>
          <w:tcPr>
            <w:tcW w:w="1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12"/>
        </w:trPr>
        <w:tc>
          <w:tcPr>
            <w:tcW w:w="3060" w:type="dxa"/>
            <w:vAlign w:val="bottom"/>
          </w:tcPr>
          <w:p>
            <w:pPr>
              <w:ind w:left="20"/>
              <w:spacing w:after="0"/>
              <w:rPr>
                <w:sz w:val="20"/>
                <w:szCs w:val="20"/>
                <w:color w:val="auto"/>
              </w:rPr>
            </w:pPr>
            <w:r>
              <w:rPr>
                <w:rFonts w:ascii="Arial" w:cs="Arial" w:eastAsia="Arial" w:hAnsi="Arial"/>
                <w:sz w:val="15"/>
                <w:szCs w:val="15"/>
                <w:color w:val="auto"/>
              </w:rPr>
              <w:t>Equity Interests - NG Sun LLC</w:t>
            </w:r>
          </w:p>
        </w:tc>
        <w:tc>
          <w:tcPr>
            <w:tcW w:w="100" w:type="dxa"/>
            <w:vAlign w:val="bottom"/>
          </w:tcPr>
          <w:p>
            <w:pPr>
              <w:spacing w:after="0"/>
              <w:rPr>
                <w:sz w:val="18"/>
                <w:szCs w:val="18"/>
                <w:color w:val="auto"/>
              </w:rPr>
            </w:pPr>
          </w:p>
        </w:tc>
        <w:tc>
          <w:tcPr>
            <w:tcW w:w="820" w:type="dxa"/>
            <w:vAlign w:val="bottom"/>
          </w:tcPr>
          <w:p>
            <w:pPr>
              <w:jc w:val="right"/>
              <w:ind w:right="44"/>
              <w:spacing w:after="0"/>
              <w:rPr>
                <w:sz w:val="20"/>
                <w:szCs w:val="20"/>
                <w:color w:val="auto"/>
              </w:rPr>
            </w:pPr>
            <w:r>
              <w:rPr>
                <w:rFonts w:ascii="Arial" w:cs="Arial" w:eastAsia="Arial" w:hAnsi="Arial"/>
                <w:sz w:val="15"/>
                <w:szCs w:val="15"/>
                <w:color w:val="auto"/>
              </w:rPr>
              <w:t>(641)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ind w:right="24"/>
              <w:spacing w:after="0"/>
              <w:rPr>
                <w:sz w:val="20"/>
                <w:szCs w:val="20"/>
                <w:color w:val="auto"/>
              </w:rPr>
            </w:pPr>
            <w:r>
              <w:rPr>
                <w:rFonts w:ascii="Arial" w:cs="Arial" w:eastAsia="Arial" w:hAnsi="Arial"/>
                <w:sz w:val="15"/>
                <w:szCs w:val="15"/>
                <w:color w:val="auto"/>
              </w:rPr>
              <w:t>—</w:t>
            </w:r>
          </w:p>
        </w:tc>
        <w:tc>
          <w:tcPr>
            <w:tcW w:w="900" w:type="dxa"/>
            <w:vAlign w:val="bottom"/>
          </w:tcPr>
          <w:p>
            <w:pPr>
              <w:jc w:val="right"/>
              <w:ind w:right="24"/>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8"/>
                <w:szCs w:val="18"/>
                <w:color w:val="auto"/>
              </w:rPr>
            </w:pPr>
          </w:p>
        </w:tc>
        <w:tc>
          <w:tcPr>
            <w:tcW w:w="940" w:type="dxa"/>
            <w:vAlign w:val="bottom"/>
          </w:tcPr>
          <w:p>
            <w:pPr>
              <w:jc w:val="right"/>
              <w:ind w:right="24"/>
              <w:spacing w:after="0"/>
              <w:rPr>
                <w:sz w:val="20"/>
                <w:szCs w:val="20"/>
                <w:color w:val="auto"/>
              </w:rPr>
            </w:pPr>
            <w:r>
              <w:rPr>
                <w:rFonts w:ascii="Arial" w:cs="Arial" w:eastAsia="Arial" w:hAnsi="Arial"/>
                <w:sz w:val="15"/>
                <w:szCs w:val="15"/>
                <w:color w:val="auto"/>
              </w:rPr>
              <w:t>(67)</w:t>
            </w:r>
          </w:p>
        </w:tc>
        <w:tc>
          <w:tcPr>
            <w:tcW w:w="120" w:type="dxa"/>
            <w:vAlign w:val="bottom"/>
          </w:tcPr>
          <w:p>
            <w:pPr>
              <w:spacing w:after="0"/>
              <w:rPr>
                <w:sz w:val="18"/>
                <w:szCs w:val="18"/>
                <w:color w:val="auto"/>
              </w:rPr>
            </w:pPr>
          </w:p>
        </w:tc>
        <w:tc>
          <w:tcPr>
            <w:tcW w:w="1140" w:type="dxa"/>
            <w:vAlign w:val="bottom"/>
          </w:tcPr>
          <w:p>
            <w:pPr>
              <w:jc w:val="right"/>
              <w:ind w:right="64"/>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8"/>
                <w:szCs w:val="18"/>
                <w:color w:val="auto"/>
              </w:rPr>
            </w:pPr>
          </w:p>
        </w:tc>
        <w:tc>
          <w:tcPr>
            <w:tcW w:w="760" w:type="dxa"/>
            <w:vAlign w:val="bottom"/>
          </w:tcPr>
          <w:p>
            <w:pPr>
              <w:jc w:val="right"/>
              <w:ind w:right="24"/>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8"/>
                <w:szCs w:val="18"/>
                <w:color w:val="auto"/>
              </w:rPr>
            </w:pPr>
          </w:p>
        </w:tc>
        <w:tc>
          <w:tcPr>
            <w:tcW w:w="980" w:type="dxa"/>
            <w:vAlign w:val="bottom"/>
          </w:tcPr>
          <w:p>
            <w:pPr>
              <w:jc w:val="right"/>
              <w:ind w:right="24"/>
              <w:spacing w:after="0"/>
              <w:rPr>
                <w:sz w:val="20"/>
                <w:szCs w:val="20"/>
                <w:color w:val="auto"/>
              </w:rPr>
            </w:pPr>
            <w:r>
              <w:rPr>
                <w:rFonts w:ascii="Arial" w:cs="Arial" w:eastAsia="Arial" w:hAnsi="Arial"/>
                <w:sz w:val="15"/>
                <w:szCs w:val="15"/>
                <w:color w:val="auto"/>
              </w:rPr>
              <w:t>(67)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ind w:right="44"/>
              <w:spacing w:after="0"/>
              <w:rPr>
                <w:sz w:val="20"/>
                <w:szCs w:val="20"/>
                <w:color w:val="auto"/>
              </w:rPr>
            </w:pPr>
            <w:r>
              <w:rPr>
                <w:rFonts w:ascii="Arial" w:cs="Arial" w:eastAsia="Arial" w:hAnsi="Arial"/>
                <w:sz w:val="15"/>
                <w:szCs w:val="15"/>
                <w:color w:val="auto"/>
              </w:rPr>
              <w:t>(708)</w:t>
            </w:r>
          </w:p>
        </w:tc>
        <w:tc>
          <w:tcPr>
            <w:tcW w:w="0" w:type="dxa"/>
            <w:vAlign w:val="bottom"/>
          </w:tcPr>
          <w:p>
            <w:pPr>
              <w:spacing w:after="0"/>
              <w:rPr>
                <w:sz w:val="1"/>
                <w:szCs w:val="1"/>
                <w:color w:val="auto"/>
              </w:rPr>
            </w:pPr>
          </w:p>
        </w:tc>
      </w:tr>
      <w:tr>
        <w:trPr>
          <w:trHeight w:val="220"/>
        </w:trPr>
        <w:tc>
          <w:tcPr>
            <w:tcW w:w="3060" w:type="dxa"/>
            <w:vAlign w:val="bottom"/>
            <w:shd w:val="clear" w:color="auto" w:fill="CCEEFF"/>
          </w:tcPr>
          <w:p>
            <w:pPr>
              <w:ind w:left="20"/>
              <w:spacing w:after="0"/>
              <w:rPr>
                <w:sz w:val="20"/>
                <w:szCs w:val="20"/>
                <w:color w:val="auto"/>
              </w:rPr>
            </w:pPr>
            <w:r>
              <w:rPr>
                <w:rFonts w:ascii="Arial" w:cs="Arial" w:eastAsia="Arial" w:hAnsi="Arial"/>
                <w:sz w:val="15"/>
                <w:szCs w:val="15"/>
                <w:color w:val="auto"/>
              </w:rPr>
              <w:t>Issuance of Series F preferred OP units</w:t>
            </w: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8,965</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w:t>
            </w:r>
          </w:p>
        </w:tc>
        <w:tc>
          <w:tcPr>
            <w:tcW w:w="9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rPr>
              <w:t>8,965</w:t>
            </w:r>
          </w:p>
        </w:tc>
        <w:tc>
          <w:tcPr>
            <w:tcW w:w="0" w:type="dxa"/>
            <w:vAlign w:val="bottom"/>
          </w:tcPr>
          <w:p>
            <w:pPr>
              <w:spacing w:after="0"/>
              <w:rPr>
                <w:sz w:val="1"/>
                <w:szCs w:val="1"/>
                <w:color w:val="auto"/>
              </w:rPr>
            </w:pPr>
          </w:p>
        </w:tc>
      </w:tr>
      <w:tr>
        <w:trPr>
          <w:trHeight w:val="176"/>
        </w:trPr>
        <w:tc>
          <w:tcPr>
            <w:tcW w:w="3060" w:type="dxa"/>
            <w:vAlign w:val="bottom"/>
          </w:tcPr>
          <w:p>
            <w:pPr>
              <w:ind w:left="20"/>
              <w:spacing w:after="0"/>
              <w:rPr>
                <w:sz w:val="20"/>
                <w:szCs w:val="20"/>
                <w:color w:val="auto"/>
              </w:rPr>
            </w:pPr>
            <w:r>
              <w:rPr>
                <w:rFonts w:ascii="Arial" w:cs="Arial" w:eastAsia="Arial" w:hAnsi="Arial"/>
                <w:sz w:val="15"/>
                <w:szCs w:val="15"/>
                <w:color w:val="auto"/>
                <w:w w:val="98"/>
              </w:rPr>
              <w:t>Share-based compensation - amortization and</w:t>
            </w: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3060" w:type="dxa"/>
            <w:vAlign w:val="bottom"/>
          </w:tcPr>
          <w:p>
            <w:pPr>
              <w:ind w:left="20"/>
              <w:spacing w:after="0"/>
              <w:rPr>
                <w:sz w:val="20"/>
                <w:szCs w:val="20"/>
                <w:color w:val="auto"/>
              </w:rPr>
            </w:pPr>
            <w:r>
              <w:rPr>
                <w:rFonts w:ascii="Arial" w:cs="Arial" w:eastAsia="Arial" w:hAnsi="Arial"/>
                <w:sz w:val="15"/>
                <w:szCs w:val="15"/>
                <w:color w:val="auto"/>
              </w:rPr>
              <w:t>forfeitures</w:t>
            </w:r>
          </w:p>
        </w:tc>
        <w:tc>
          <w:tcPr>
            <w:tcW w:w="100" w:type="dxa"/>
            <w:vAlign w:val="bottom"/>
          </w:tcPr>
          <w:p>
            <w:pPr>
              <w:spacing w:after="0"/>
              <w:rPr>
                <w:sz w:val="17"/>
                <w:szCs w:val="17"/>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7"/>
                <w:szCs w:val="17"/>
                <w:color w:val="auto"/>
              </w:rPr>
            </w:pPr>
          </w:p>
        </w:tc>
        <w:tc>
          <w:tcPr>
            <w:tcW w:w="640" w:type="dxa"/>
            <w:vAlign w:val="bottom"/>
          </w:tcPr>
          <w:p>
            <w:pPr>
              <w:jc w:val="right"/>
              <w:ind w:right="24"/>
              <w:spacing w:after="0"/>
              <w:rPr>
                <w:sz w:val="20"/>
                <w:szCs w:val="20"/>
                <w:color w:val="auto"/>
              </w:rPr>
            </w:pPr>
            <w:r>
              <w:rPr>
                <w:rFonts w:ascii="Arial" w:cs="Arial" w:eastAsia="Arial" w:hAnsi="Arial"/>
                <w:sz w:val="15"/>
                <w:szCs w:val="15"/>
                <w:color w:val="auto"/>
              </w:rPr>
              <w:t>—</w:t>
            </w:r>
          </w:p>
        </w:tc>
        <w:tc>
          <w:tcPr>
            <w:tcW w:w="900" w:type="dxa"/>
            <w:vAlign w:val="bottom"/>
          </w:tcPr>
          <w:p>
            <w:pPr>
              <w:jc w:val="right"/>
              <w:ind w:right="24"/>
              <w:spacing w:after="0"/>
              <w:rPr>
                <w:sz w:val="20"/>
                <w:szCs w:val="20"/>
                <w:color w:val="auto"/>
              </w:rPr>
            </w:pPr>
            <w:r>
              <w:rPr>
                <w:rFonts w:ascii="Arial" w:cs="Arial" w:eastAsia="Arial" w:hAnsi="Arial"/>
                <w:sz w:val="15"/>
                <w:szCs w:val="15"/>
                <w:color w:val="auto"/>
              </w:rPr>
              <w:t>7,284</w:t>
            </w:r>
          </w:p>
        </w:tc>
        <w:tc>
          <w:tcPr>
            <w:tcW w:w="160" w:type="dxa"/>
            <w:vAlign w:val="bottom"/>
          </w:tcPr>
          <w:p>
            <w:pPr>
              <w:spacing w:after="0"/>
              <w:rPr>
                <w:sz w:val="17"/>
                <w:szCs w:val="17"/>
                <w:color w:val="auto"/>
              </w:rPr>
            </w:pPr>
          </w:p>
        </w:tc>
        <w:tc>
          <w:tcPr>
            <w:tcW w:w="940" w:type="dxa"/>
            <w:vAlign w:val="bottom"/>
          </w:tcPr>
          <w:p>
            <w:pPr>
              <w:jc w:val="right"/>
              <w:ind w:right="64"/>
              <w:spacing w:after="0"/>
              <w:rPr>
                <w:sz w:val="20"/>
                <w:szCs w:val="20"/>
                <w:color w:val="auto"/>
              </w:rPr>
            </w:pPr>
            <w:r>
              <w:rPr>
                <w:rFonts w:ascii="Arial" w:cs="Arial" w:eastAsia="Arial" w:hAnsi="Arial"/>
                <w:sz w:val="15"/>
                <w:szCs w:val="15"/>
                <w:color w:val="auto"/>
              </w:rPr>
              <w:t>92</w:t>
            </w:r>
          </w:p>
        </w:tc>
        <w:tc>
          <w:tcPr>
            <w:tcW w:w="120" w:type="dxa"/>
            <w:vAlign w:val="bottom"/>
          </w:tcPr>
          <w:p>
            <w:pPr>
              <w:spacing w:after="0"/>
              <w:rPr>
                <w:sz w:val="17"/>
                <w:szCs w:val="17"/>
                <w:color w:val="auto"/>
              </w:rPr>
            </w:pPr>
          </w:p>
        </w:tc>
        <w:tc>
          <w:tcPr>
            <w:tcW w:w="1140" w:type="dxa"/>
            <w:vAlign w:val="bottom"/>
          </w:tcPr>
          <w:p>
            <w:pPr>
              <w:jc w:val="right"/>
              <w:ind w:right="64"/>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760" w:type="dxa"/>
            <w:vAlign w:val="bottom"/>
          </w:tcPr>
          <w:p>
            <w:pPr>
              <w:jc w:val="right"/>
              <w:ind w:right="24"/>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7"/>
                <w:szCs w:val="17"/>
                <w:color w:val="auto"/>
              </w:rPr>
            </w:pPr>
          </w:p>
        </w:tc>
        <w:tc>
          <w:tcPr>
            <w:tcW w:w="980" w:type="dxa"/>
            <w:vAlign w:val="bottom"/>
          </w:tcPr>
          <w:p>
            <w:pPr>
              <w:jc w:val="right"/>
              <w:ind w:right="64"/>
              <w:spacing w:after="0"/>
              <w:rPr>
                <w:sz w:val="20"/>
                <w:szCs w:val="20"/>
                <w:color w:val="auto"/>
              </w:rPr>
            </w:pPr>
            <w:r>
              <w:rPr>
                <w:rFonts w:ascii="Arial" w:cs="Arial" w:eastAsia="Arial" w:hAnsi="Arial"/>
                <w:sz w:val="15"/>
                <w:szCs w:val="15"/>
                <w:color w:val="auto"/>
              </w:rPr>
              <w:t>7,376</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ind w:right="84"/>
              <w:spacing w:after="0"/>
              <w:rPr>
                <w:sz w:val="20"/>
                <w:szCs w:val="20"/>
                <w:color w:val="auto"/>
              </w:rPr>
            </w:pPr>
            <w:r>
              <w:rPr>
                <w:rFonts w:ascii="Arial" w:cs="Arial" w:eastAsia="Arial" w:hAnsi="Arial"/>
                <w:sz w:val="15"/>
                <w:szCs w:val="15"/>
                <w:color w:val="auto"/>
              </w:rPr>
              <w:t>7,376</w:t>
            </w:r>
          </w:p>
        </w:tc>
        <w:tc>
          <w:tcPr>
            <w:tcW w:w="0" w:type="dxa"/>
            <w:vAlign w:val="bottom"/>
          </w:tcPr>
          <w:p>
            <w:pPr>
              <w:spacing w:after="0"/>
              <w:rPr>
                <w:sz w:val="1"/>
                <w:szCs w:val="1"/>
                <w:color w:val="auto"/>
              </w:rPr>
            </w:pPr>
          </w:p>
        </w:tc>
      </w:tr>
      <w:tr>
        <w:trPr>
          <w:trHeight w:val="220"/>
        </w:trPr>
        <w:tc>
          <w:tcPr>
            <w:tcW w:w="3060" w:type="dxa"/>
            <w:vAlign w:val="bottom"/>
            <w:shd w:val="clear" w:color="auto" w:fill="CCEEFF"/>
          </w:tcPr>
          <w:p>
            <w:pPr>
              <w:ind w:left="20"/>
              <w:spacing w:after="0"/>
              <w:rPr>
                <w:sz w:val="20"/>
                <w:szCs w:val="20"/>
                <w:color w:val="auto"/>
              </w:rPr>
            </w:pPr>
            <w:r>
              <w:rPr>
                <w:rFonts w:ascii="Arial" w:cs="Arial" w:eastAsia="Arial" w:hAnsi="Arial"/>
                <w:sz w:val="15"/>
                <w:szCs w:val="15"/>
                <w:color w:val="auto"/>
              </w:rPr>
              <w:t>Foreign currency translation</w:t>
            </w:r>
          </w:p>
        </w:tc>
        <w:tc>
          <w:tcPr>
            <w:tcW w:w="1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w:t>
            </w:r>
          </w:p>
        </w:tc>
        <w:tc>
          <w:tcPr>
            <w:tcW w:w="9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3,850</w:t>
            </w: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22</w:t>
            </w: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3,872</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rPr>
              <w:t>3,872</w:t>
            </w:r>
          </w:p>
        </w:tc>
        <w:tc>
          <w:tcPr>
            <w:tcW w:w="0" w:type="dxa"/>
            <w:vAlign w:val="bottom"/>
          </w:tcPr>
          <w:p>
            <w:pPr>
              <w:spacing w:after="0"/>
              <w:rPr>
                <w:sz w:val="1"/>
                <w:szCs w:val="1"/>
                <w:color w:val="auto"/>
              </w:rPr>
            </w:pPr>
          </w:p>
        </w:tc>
      </w:tr>
      <w:tr>
        <w:trPr>
          <w:trHeight w:val="212"/>
        </w:trPr>
        <w:tc>
          <w:tcPr>
            <w:tcW w:w="3060" w:type="dxa"/>
            <w:vAlign w:val="bottom"/>
          </w:tcPr>
          <w:p>
            <w:pPr>
              <w:ind w:left="20"/>
              <w:spacing w:after="0"/>
              <w:rPr>
                <w:sz w:val="20"/>
                <w:szCs w:val="20"/>
                <w:color w:val="auto"/>
              </w:rPr>
            </w:pPr>
            <w:r>
              <w:rPr>
                <w:rFonts w:ascii="Arial" w:cs="Arial" w:eastAsia="Arial" w:hAnsi="Arial"/>
                <w:sz w:val="15"/>
                <w:szCs w:val="15"/>
                <w:color w:val="auto"/>
              </w:rPr>
              <w:t>Net income</w:t>
            </w:r>
          </w:p>
        </w:tc>
        <w:tc>
          <w:tcPr>
            <w:tcW w:w="100" w:type="dxa"/>
            <w:vAlign w:val="bottom"/>
          </w:tcPr>
          <w:p>
            <w:pPr>
              <w:spacing w:after="0"/>
              <w:rPr>
                <w:sz w:val="18"/>
                <w:szCs w:val="18"/>
                <w:color w:val="auto"/>
              </w:rPr>
            </w:pPr>
          </w:p>
        </w:tc>
        <w:tc>
          <w:tcPr>
            <w:tcW w:w="820" w:type="dxa"/>
            <w:vAlign w:val="bottom"/>
          </w:tcPr>
          <w:p>
            <w:pPr>
              <w:jc w:val="right"/>
              <w:ind w:right="44"/>
              <w:spacing w:after="0"/>
              <w:rPr>
                <w:sz w:val="20"/>
                <w:szCs w:val="20"/>
                <w:color w:val="auto"/>
              </w:rPr>
            </w:pPr>
            <w:r>
              <w:rPr>
                <w:rFonts w:ascii="Arial" w:cs="Arial" w:eastAsia="Arial" w:hAnsi="Arial"/>
                <w:sz w:val="15"/>
                <w:szCs w:val="15"/>
                <w:color w:val="auto"/>
              </w:rPr>
              <w:t>(300)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ind w:right="24"/>
              <w:spacing w:after="0"/>
              <w:rPr>
                <w:sz w:val="20"/>
                <w:szCs w:val="20"/>
                <w:color w:val="auto"/>
              </w:rPr>
            </w:pPr>
            <w:r>
              <w:rPr>
                <w:rFonts w:ascii="Arial" w:cs="Arial" w:eastAsia="Arial" w:hAnsi="Arial"/>
                <w:sz w:val="15"/>
                <w:szCs w:val="15"/>
                <w:color w:val="auto"/>
              </w:rPr>
              <w:t>—</w:t>
            </w:r>
          </w:p>
        </w:tc>
        <w:tc>
          <w:tcPr>
            <w:tcW w:w="900" w:type="dxa"/>
            <w:vAlign w:val="bottom"/>
          </w:tcPr>
          <w:p>
            <w:pPr>
              <w:jc w:val="right"/>
              <w:ind w:right="24"/>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8"/>
                <w:szCs w:val="18"/>
                <w:color w:val="auto"/>
              </w:rPr>
            </w:pPr>
          </w:p>
        </w:tc>
        <w:tc>
          <w:tcPr>
            <w:tcW w:w="940" w:type="dxa"/>
            <w:vAlign w:val="bottom"/>
          </w:tcPr>
          <w:p>
            <w:pPr>
              <w:jc w:val="right"/>
              <w:ind w:right="64"/>
              <w:spacing w:after="0"/>
              <w:rPr>
                <w:sz w:val="20"/>
                <w:szCs w:val="20"/>
                <w:color w:val="auto"/>
              </w:rPr>
            </w:pPr>
            <w:r>
              <w:rPr>
                <w:rFonts w:ascii="Arial" w:cs="Arial" w:eastAsia="Arial" w:hAnsi="Arial"/>
                <w:sz w:val="15"/>
                <w:szCs w:val="15"/>
                <w:color w:val="auto"/>
              </w:rPr>
              <w:t>60,492</w:t>
            </w:r>
          </w:p>
        </w:tc>
        <w:tc>
          <w:tcPr>
            <w:tcW w:w="120" w:type="dxa"/>
            <w:vAlign w:val="bottom"/>
          </w:tcPr>
          <w:p>
            <w:pPr>
              <w:spacing w:after="0"/>
              <w:rPr>
                <w:sz w:val="18"/>
                <w:szCs w:val="18"/>
                <w:color w:val="auto"/>
              </w:rPr>
            </w:pPr>
          </w:p>
        </w:tc>
        <w:tc>
          <w:tcPr>
            <w:tcW w:w="1140" w:type="dxa"/>
            <w:vAlign w:val="bottom"/>
          </w:tcPr>
          <w:p>
            <w:pPr>
              <w:jc w:val="right"/>
              <w:ind w:right="64"/>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8"/>
                <w:szCs w:val="18"/>
                <w:color w:val="auto"/>
              </w:rPr>
            </w:pPr>
          </w:p>
        </w:tc>
        <w:tc>
          <w:tcPr>
            <w:tcW w:w="760" w:type="dxa"/>
            <w:vAlign w:val="bottom"/>
          </w:tcPr>
          <w:p>
            <w:pPr>
              <w:jc w:val="right"/>
              <w:ind w:right="24"/>
              <w:spacing w:after="0"/>
              <w:rPr>
                <w:sz w:val="20"/>
                <w:szCs w:val="20"/>
                <w:color w:val="auto"/>
              </w:rPr>
            </w:pPr>
            <w:r>
              <w:rPr>
                <w:rFonts w:ascii="Arial" w:cs="Arial" w:eastAsia="Arial" w:hAnsi="Arial"/>
                <w:sz w:val="15"/>
                <w:szCs w:val="15"/>
                <w:color w:val="auto"/>
              </w:rPr>
              <w:t>3,163</w:t>
            </w:r>
          </w:p>
        </w:tc>
        <w:tc>
          <w:tcPr>
            <w:tcW w:w="160" w:type="dxa"/>
            <w:vAlign w:val="bottom"/>
          </w:tcPr>
          <w:p>
            <w:pPr>
              <w:spacing w:after="0"/>
              <w:rPr>
                <w:sz w:val="18"/>
                <w:szCs w:val="18"/>
                <w:color w:val="auto"/>
              </w:rPr>
            </w:pPr>
          </w:p>
        </w:tc>
        <w:tc>
          <w:tcPr>
            <w:tcW w:w="980" w:type="dxa"/>
            <w:vAlign w:val="bottom"/>
          </w:tcPr>
          <w:p>
            <w:pPr>
              <w:jc w:val="right"/>
              <w:ind w:right="64"/>
              <w:spacing w:after="0"/>
              <w:rPr>
                <w:sz w:val="20"/>
                <w:szCs w:val="20"/>
                <w:color w:val="auto"/>
              </w:rPr>
            </w:pPr>
            <w:r>
              <w:rPr>
                <w:rFonts w:ascii="Arial" w:cs="Arial" w:eastAsia="Arial" w:hAnsi="Arial"/>
                <w:sz w:val="15"/>
                <w:szCs w:val="15"/>
                <w:color w:val="auto"/>
              </w:rPr>
              <w:t>63,655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ind w:right="84"/>
              <w:spacing w:after="0"/>
              <w:rPr>
                <w:sz w:val="20"/>
                <w:szCs w:val="20"/>
                <w:color w:val="auto"/>
              </w:rPr>
            </w:pPr>
            <w:r>
              <w:rPr>
                <w:rFonts w:ascii="Arial" w:cs="Arial" w:eastAsia="Arial" w:hAnsi="Arial"/>
                <w:sz w:val="15"/>
                <w:szCs w:val="15"/>
                <w:color w:val="auto"/>
              </w:rPr>
              <w:t>63,355</w:t>
            </w:r>
          </w:p>
        </w:tc>
        <w:tc>
          <w:tcPr>
            <w:tcW w:w="0" w:type="dxa"/>
            <w:vAlign w:val="bottom"/>
          </w:tcPr>
          <w:p>
            <w:pPr>
              <w:spacing w:after="0"/>
              <w:rPr>
                <w:sz w:val="1"/>
                <w:szCs w:val="1"/>
                <w:color w:val="auto"/>
              </w:rPr>
            </w:pPr>
          </w:p>
        </w:tc>
      </w:tr>
      <w:tr>
        <w:trPr>
          <w:trHeight w:val="216"/>
        </w:trPr>
        <w:tc>
          <w:tcPr>
            <w:tcW w:w="3060" w:type="dxa"/>
            <w:vAlign w:val="bottom"/>
            <w:shd w:val="clear" w:color="auto" w:fill="CCEEFF"/>
          </w:tcPr>
          <w:p>
            <w:pPr>
              <w:ind w:left="20"/>
              <w:spacing w:after="0"/>
              <w:rPr>
                <w:sz w:val="20"/>
                <w:szCs w:val="20"/>
                <w:color w:val="auto"/>
              </w:rPr>
            </w:pPr>
            <w:r>
              <w:rPr>
                <w:rFonts w:ascii="Arial" w:cs="Arial" w:eastAsia="Arial" w:hAnsi="Arial"/>
                <w:sz w:val="15"/>
                <w:szCs w:val="15"/>
                <w:color w:val="auto"/>
              </w:rPr>
              <w:t>Distributions</w:t>
            </w: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rPr>
              <w:t>(492)</w:t>
            </w: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rPr>
              <w:t>—</w:t>
            </w:r>
          </w:p>
        </w:tc>
        <w:tc>
          <w:tcPr>
            <w:tcW w:w="90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rPr>
              <w:t>—</w:t>
            </w:r>
          </w:p>
        </w:tc>
        <w:tc>
          <w:tcPr>
            <w:tcW w:w="1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rPr>
              <w:t>(77,635)</w:t>
            </w:r>
          </w:p>
        </w:tc>
        <w:tc>
          <w:tcPr>
            <w:tcW w:w="1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64"/>
              <w:spacing w:after="0"/>
              <w:rPr>
                <w:sz w:val="20"/>
                <w:szCs w:val="20"/>
                <w:color w:val="auto"/>
              </w:rPr>
            </w:pPr>
            <w:r>
              <w:rPr>
                <w:rFonts w:ascii="Arial" w:cs="Arial" w:eastAsia="Arial" w:hAnsi="Arial"/>
                <w:sz w:val="15"/>
                <w:szCs w:val="15"/>
                <w:color w:val="auto"/>
              </w:rPr>
              <w:t>—</w:t>
            </w:r>
          </w:p>
        </w:tc>
        <w:tc>
          <w:tcPr>
            <w:tcW w:w="1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(2,971)</w:t>
            </w:r>
          </w:p>
        </w:tc>
        <w:tc>
          <w:tcPr>
            <w:tcW w:w="1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rPr>
              <w:t>(80,606)</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rPr>
              <w:t>(81,098)</w:t>
            </w:r>
          </w:p>
        </w:tc>
        <w:tc>
          <w:tcPr>
            <w:tcW w:w="0" w:type="dxa"/>
            <w:vAlign w:val="bottom"/>
          </w:tcPr>
          <w:p>
            <w:pPr>
              <w:spacing w:after="0"/>
              <w:rPr>
                <w:sz w:val="1"/>
                <w:szCs w:val="1"/>
                <w:color w:val="auto"/>
              </w:rPr>
            </w:pPr>
          </w:p>
        </w:tc>
      </w:tr>
      <w:tr>
        <w:trPr>
          <w:trHeight w:val="213"/>
        </w:trPr>
        <w:tc>
          <w:tcPr>
            <w:tcW w:w="3060" w:type="dxa"/>
            <w:vAlign w:val="bottom"/>
          </w:tcPr>
          <w:p>
            <w:pPr>
              <w:ind w:left="20"/>
              <w:spacing w:after="0"/>
              <w:rPr>
                <w:sz w:val="20"/>
                <w:szCs w:val="20"/>
                <w:color w:val="auto"/>
              </w:rPr>
            </w:pPr>
            <w:r>
              <w:rPr>
                <w:rFonts w:ascii="Arial" w:cs="Arial" w:eastAsia="Arial" w:hAnsi="Arial"/>
                <w:sz w:val="15"/>
                <w:szCs w:val="15"/>
                <w:b w:val="1"/>
                <w:bCs w:val="1"/>
                <w:color w:val="auto"/>
              </w:rPr>
              <w:t>Balance at June 30, 2020</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82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color w:val="auto"/>
              </w:rPr>
              <w:t>83,982</w:t>
            </w:r>
          </w:p>
        </w:tc>
        <w:tc>
          <w:tcPr>
            <w:tcW w:w="1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64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983</w:t>
            </w:r>
          </w:p>
        </w:tc>
        <w:tc>
          <w:tcPr>
            <w:tcW w:w="90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w w:val="98"/>
              </w:rPr>
              <w:t>$ 5,847,598</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94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(1,496,542)</w:t>
            </w:r>
          </w:p>
        </w:tc>
        <w:tc>
          <w:tcPr>
            <w:tcW w:w="12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w w:val="95"/>
              </w:rPr>
              <w:t>$</w:t>
            </w:r>
          </w:p>
        </w:tc>
        <w:tc>
          <w:tcPr>
            <w:tcW w:w="114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(4,475)</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76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71,805</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98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color w:val="auto"/>
              </w:rPr>
              <w:t>4,419,369</w:t>
            </w:r>
          </w:p>
        </w:tc>
        <w:tc>
          <w:tcPr>
            <w:tcW w:w="16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color w:val="auto"/>
                <w:w w:val="95"/>
              </w:rPr>
              <w:t>4,503,351</w:t>
            </w:r>
          </w:p>
        </w:tc>
        <w:tc>
          <w:tcPr>
            <w:tcW w:w="0" w:type="dxa"/>
            <w:vAlign w:val="bottom"/>
          </w:tcPr>
          <w:p>
            <w:pPr>
              <w:spacing w:after="0"/>
              <w:rPr>
                <w:sz w:val="1"/>
                <w:szCs w:val="1"/>
                <w:color w:val="auto"/>
              </w:rPr>
            </w:pPr>
          </w:p>
        </w:tc>
      </w:tr>
      <w:tr>
        <w:trPr>
          <w:trHeight w:val="21"/>
        </w:trPr>
        <w:tc>
          <w:tcPr>
            <w:tcW w:w="30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SUN COMMUNITIES, INC.</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EQUITY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(Unaudited)</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200" w:type="dxa"/>
            <w:vAlign w:val="bottom"/>
            <w:tcBorders>
              <w:bottom w:val="single" w:sz="8" w:color="auto"/>
            </w:tcBorders>
            <w:gridSpan w:val="3"/>
          </w:tcPr>
          <w:p>
            <w:pPr>
              <w:jc w:val="right"/>
              <w:ind w:right="264"/>
              <w:spacing w:after="0"/>
              <w:rPr>
                <w:sz w:val="20"/>
                <w:szCs w:val="20"/>
                <w:color w:val="auto"/>
              </w:rPr>
            </w:pPr>
            <w:r>
              <w:rPr>
                <w:rFonts w:ascii="Arial" w:cs="Arial" w:eastAsia="Arial" w:hAnsi="Arial"/>
                <w:sz w:val="14"/>
                <w:szCs w:val="14"/>
                <w:b w:val="1"/>
                <w:bCs w:val="1"/>
                <w:color w:val="auto"/>
              </w:rPr>
              <w:t>Stockholders’ Equity</w:t>
            </w: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00" w:type="dxa"/>
            <w:vAlign w:val="bottom"/>
            <w:vMerge w:val="restart"/>
          </w:tcPr>
          <w:p>
            <w:pPr>
              <w:jc w:val="right"/>
              <w:ind w:right="4"/>
              <w:spacing w:after="0"/>
              <w:rPr>
                <w:sz w:val="20"/>
                <w:szCs w:val="20"/>
                <w:color w:val="auto"/>
              </w:rPr>
            </w:pPr>
            <w:r>
              <w:rPr>
                <w:rFonts w:ascii="Arial" w:cs="Arial" w:eastAsia="Arial" w:hAnsi="Arial"/>
                <w:sz w:val="14"/>
                <w:szCs w:val="14"/>
                <w:b w:val="1"/>
                <w:bCs w:val="1"/>
                <w:color w:val="auto"/>
              </w:rPr>
              <w:t>Additional</w:t>
            </w:r>
          </w:p>
        </w:tc>
        <w:tc>
          <w:tcPr>
            <w:tcW w:w="1100" w:type="dxa"/>
            <w:vAlign w:val="bottom"/>
            <w:gridSpan w:val="2"/>
          </w:tcPr>
          <w:p>
            <w:pPr>
              <w:jc w:val="center"/>
              <w:spacing w:after="0" w:line="153" w:lineRule="exact"/>
              <w:rPr>
                <w:sz w:val="20"/>
                <w:szCs w:val="20"/>
                <w:color w:val="auto"/>
              </w:rPr>
            </w:pPr>
            <w:r>
              <w:rPr>
                <w:rFonts w:ascii="Arial" w:cs="Arial" w:eastAsia="Arial" w:hAnsi="Arial"/>
                <w:sz w:val="14"/>
                <w:szCs w:val="14"/>
                <w:b w:val="1"/>
                <w:bCs w:val="1"/>
                <w:color w:val="auto"/>
                <w:w w:val="93"/>
              </w:rPr>
              <w:t>Distributions in</w:t>
            </w:r>
          </w:p>
        </w:tc>
        <w:tc>
          <w:tcPr>
            <w:tcW w:w="12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4"/>
              </w:rPr>
              <w:t>Accumulated Other</w:t>
            </w:r>
          </w:p>
        </w:tc>
        <w:tc>
          <w:tcPr>
            <w:tcW w:w="120" w:type="dxa"/>
            <w:vAlign w:val="bottom"/>
          </w:tcPr>
          <w:p>
            <w:pPr>
              <w:spacing w:after="0"/>
              <w:rPr>
                <w:sz w:val="13"/>
                <w:szCs w:val="13"/>
                <w:color w:val="auto"/>
              </w:rPr>
            </w:pPr>
          </w:p>
        </w:tc>
        <w:tc>
          <w:tcPr>
            <w:tcW w:w="760" w:type="dxa"/>
            <w:vAlign w:val="bottom"/>
            <w:vMerge w:val="restart"/>
          </w:tcPr>
          <w:p>
            <w:pPr>
              <w:jc w:val="center"/>
              <w:ind w:right="4"/>
              <w:spacing w:after="0"/>
              <w:rPr>
                <w:sz w:val="20"/>
                <w:szCs w:val="20"/>
                <w:color w:val="auto"/>
              </w:rPr>
            </w:pPr>
            <w:r>
              <w:rPr>
                <w:rFonts w:ascii="Arial" w:cs="Arial" w:eastAsia="Arial" w:hAnsi="Arial"/>
                <w:sz w:val="14"/>
                <w:szCs w:val="14"/>
                <w:b w:val="1"/>
                <w:bCs w:val="1"/>
                <w:color w:val="auto"/>
              </w:rPr>
              <w:t>Non-</w:t>
            </w:r>
          </w:p>
        </w:tc>
        <w:tc>
          <w:tcPr>
            <w:tcW w:w="160" w:type="dxa"/>
            <w:vAlign w:val="bottom"/>
          </w:tcPr>
          <w:p>
            <w:pPr>
              <w:spacing w:after="0"/>
              <w:rPr>
                <w:sz w:val="13"/>
                <w:szCs w:val="13"/>
                <w:color w:val="auto"/>
              </w:rPr>
            </w:pPr>
          </w:p>
        </w:tc>
        <w:tc>
          <w:tcPr>
            <w:tcW w:w="114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5"/>
              </w:rPr>
              <w:t>Total</w:t>
            </w: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w w:val="93"/>
              </w:rPr>
              <w:t>Temporary</w:t>
            </w:r>
          </w:p>
        </w:tc>
        <w:tc>
          <w:tcPr>
            <w:tcW w:w="100" w:type="dxa"/>
            <w:vAlign w:val="bottom"/>
          </w:tcPr>
          <w:p>
            <w:pPr>
              <w:spacing w:after="0"/>
              <w:rPr>
                <w:sz w:val="12"/>
                <w:szCs w:val="12"/>
                <w:color w:val="auto"/>
              </w:rPr>
            </w:pPr>
          </w:p>
        </w:tc>
        <w:tc>
          <w:tcPr>
            <w:tcW w:w="64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2"/>
              </w:rPr>
              <w:t>Common</w:t>
            </w:r>
          </w:p>
        </w:tc>
        <w:tc>
          <w:tcPr>
            <w:tcW w:w="90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jc w:val="center"/>
              <w:ind w:right="24"/>
              <w:spacing w:after="0" w:line="149" w:lineRule="exact"/>
              <w:rPr>
                <w:sz w:val="20"/>
                <w:szCs w:val="20"/>
                <w:color w:val="auto"/>
              </w:rPr>
            </w:pPr>
            <w:r>
              <w:rPr>
                <w:rFonts w:ascii="Arial" w:cs="Arial" w:eastAsia="Arial" w:hAnsi="Arial"/>
                <w:sz w:val="14"/>
                <w:szCs w:val="14"/>
                <w:b w:val="1"/>
                <w:bCs w:val="1"/>
                <w:color w:val="auto"/>
                <w:w w:val="85"/>
              </w:rPr>
              <w:t>Excess of</w:t>
            </w:r>
          </w:p>
        </w:tc>
        <w:tc>
          <w:tcPr>
            <w:tcW w:w="12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900" w:type="dxa"/>
            <w:vAlign w:val="bottom"/>
          </w:tcPr>
          <w:p>
            <w:pPr>
              <w:jc w:val="right"/>
              <w:ind w:right="104"/>
              <w:spacing w:after="0" w:line="149" w:lineRule="exact"/>
              <w:rPr>
                <w:sz w:val="20"/>
                <w:szCs w:val="20"/>
                <w:color w:val="auto"/>
              </w:rPr>
            </w:pPr>
            <w:r>
              <w:rPr>
                <w:rFonts w:ascii="Arial" w:cs="Arial" w:eastAsia="Arial" w:hAnsi="Arial"/>
                <w:sz w:val="14"/>
                <w:szCs w:val="14"/>
                <w:b w:val="1"/>
                <w:bCs w:val="1"/>
                <w:color w:val="auto"/>
              </w:rPr>
              <w:t>Paid-in</w:t>
            </w:r>
          </w:p>
        </w:tc>
        <w:tc>
          <w:tcPr>
            <w:tcW w:w="160" w:type="dxa"/>
            <w:vAlign w:val="bottom"/>
          </w:tcPr>
          <w:p>
            <w:pPr>
              <w:spacing w:after="0"/>
              <w:rPr>
                <w:sz w:val="12"/>
                <w:szCs w:val="12"/>
                <w:color w:val="auto"/>
              </w:rPr>
            </w:pPr>
          </w:p>
        </w:tc>
        <w:tc>
          <w:tcPr>
            <w:tcW w:w="940" w:type="dxa"/>
            <w:vAlign w:val="bottom"/>
          </w:tcPr>
          <w:p>
            <w:pPr>
              <w:jc w:val="center"/>
              <w:ind w:right="24"/>
              <w:spacing w:after="0" w:line="149" w:lineRule="exact"/>
              <w:rPr>
                <w:sz w:val="20"/>
                <w:szCs w:val="20"/>
                <w:color w:val="auto"/>
              </w:rPr>
            </w:pPr>
            <w:r>
              <w:rPr>
                <w:rFonts w:ascii="Arial" w:cs="Arial" w:eastAsia="Arial" w:hAnsi="Arial"/>
                <w:sz w:val="14"/>
                <w:szCs w:val="14"/>
                <w:b w:val="1"/>
                <w:bCs w:val="1"/>
                <w:color w:val="auto"/>
                <w:w w:val="90"/>
              </w:rPr>
              <w:t>Accumulated</w:t>
            </w:r>
          </w:p>
        </w:tc>
        <w:tc>
          <w:tcPr>
            <w:tcW w:w="120" w:type="dxa"/>
            <w:vAlign w:val="bottom"/>
          </w:tcPr>
          <w:p>
            <w:pPr>
              <w:spacing w:after="0"/>
              <w:rPr>
                <w:sz w:val="12"/>
                <w:szCs w:val="12"/>
                <w:color w:val="auto"/>
              </w:rPr>
            </w:pPr>
          </w:p>
        </w:tc>
        <w:tc>
          <w:tcPr>
            <w:tcW w:w="1140" w:type="dxa"/>
            <w:vAlign w:val="bottom"/>
          </w:tcPr>
          <w:p>
            <w:pPr>
              <w:jc w:val="right"/>
              <w:ind w:right="64"/>
              <w:spacing w:after="0" w:line="149" w:lineRule="exact"/>
              <w:rPr>
                <w:sz w:val="20"/>
                <w:szCs w:val="20"/>
                <w:color w:val="auto"/>
              </w:rPr>
            </w:pPr>
            <w:r>
              <w:rPr>
                <w:rFonts w:ascii="Arial" w:cs="Arial" w:eastAsia="Arial" w:hAnsi="Arial"/>
                <w:sz w:val="14"/>
                <w:szCs w:val="14"/>
                <w:b w:val="1"/>
                <w:bCs w:val="1"/>
                <w:color w:val="auto"/>
                <w:w w:val="93"/>
              </w:rPr>
              <w:t>Comprehensive</w:t>
            </w:r>
          </w:p>
        </w:tc>
        <w:tc>
          <w:tcPr>
            <w:tcW w:w="120" w:type="dxa"/>
            <w:vAlign w:val="bottom"/>
          </w:tcPr>
          <w:p>
            <w:pPr>
              <w:spacing w:after="0"/>
              <w:rPr>
                <w:sz w:val="12"/>
                <w:szCs w:val="12"/>
                <w:color w:val="auto"/>
              </w:rPr>
            </w:pPr>
          </w:p>
        </w:tc>
        <w:tc>
          <w:tcPr>
            <w:tcW w:w="760" w:type="dxa"/>
            <w:vAlign w:val="bottom"/>
          </w:tcPr>
          <w:p>
            <w:pPr>
              <w:jc w:val="center"/>
              <w:ind w:right="4"/>
              <w:spacing w:after="0" w:line="149" w:lineRule="exact"/>
              <w:rPr>
                <w:sz w:val="20"/>
                <w:szCs w:val="20"/>
                <w:color w:val="auto"/>
              </w:rPr>
            </w:pPr>
            <w:r>
              <w:rPr>
                <w:rFonts w:ascii="Arial" w:cs="Arial" w:eastAsia="Arial" w:hAnsi="Arial"/>
                <w:sz w:val="14"/>
                <w:szCs w:val="14"/>
                <w:b w:val="1"/>
                <w:bCs w:val="1"/>
                <w:color w:val="auto"/>
                <w:w w:val="93"/>
              </w:rPr>
              <w:t>controlling</w:t>
            </w:r>
          </w:p>
        </w:tc>
        <w:tc>
          <w:tcPr>
            <w:tcW w:w="160" w:type="dxa"/>
            <w:vAlign w:val="bottom"/>
          </w:tcPr>
          <w:p>
            <w:pPr>
              <w:spacing w:after="0"/>
              <w:rPr>
                <w:sz w:val="12"/>
                <w:szCs w:val="12"/>
                <w:color w:val="auto"/>
              </w:rPr>
            </w:pPr>
          </w:p>
        </w:tc>
        <w:tc>
          <w:tcPr>
            <w:tcW w:w="11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Stockholders’</w:t>
            </w:r>
          </w:p>
        </w:tc>
        <w:tc>
          <w:tcPr>
            <w:tcW w:w="940" w:type="dxa"/>
            <w:vAlign w:val="bottom"/>
            <w:gridSpan w:val="2"/>
            <w:vMerge w:val="restart"/>
          </w:tcPr>
          <w:p>
            <w:pPr>
              <w:jc w:val="right"/>
              <w:ind w:right="4"/>
              <w:spacing w:after="0"/>
              <w:rPr>
                <w:sz w:val="20"/>
                <w:szCs w:val="20"/>
                <w:color w:val="auto"/>
              </w:rPr>
            </w:pPr>
            <w:r>
              <w:rPr>
                <w:rFonts w:ascii="Arial" w:cs="Arial" w:eastAsia="Arial" w:hAnsi="Arial"/>
                <w:sz w:val="14"/>
                <w:szCs w:val="14"/>
                <w:b w:val="1"/>
                <w:bCs w:val="1"/>
                <w:color w:val="auto"/>
              </w:rPr>
              <w:t>Total Equity</w:t>
            </w:r>
          </w:p>
        </w:tc>
        <w:tc>
          <w:tcPr>
            <w:tcW w:w="0" w:type="dxa"/>
            <w:vAlign w:val="bottom"/>
          </w:tcPr>
          <w:p>
            <w:pPr>
              <w:spacing w:after="0"/>
              <w:rPr>
                <w:sz w:val="1"/>
                <w:szCs w:val="1"/>
                <w:color w:val="auto"/>
              </w:rPr>
            </w:pPr>
          </w:p>
        </w:tc>
      </w:tr>
      <w:tr>
        <w:trPr>
          <w:trHeight w:val="192"/>
        </w:trPr>
        <w:tc>
          <w:tcPr>
            <w:tcW w:w="3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gridSpan w:val="2"/>
          </w:tcPr>
          <w:p>
            <w:pPr>
              <w:ind w:left="160"/>
              <w:spacing w:after="0"/>
              <w:rPr>
                <w:sz w:val="20"/>
                <w:szCs w:val="20"/>
                <w:color w:val="auto"/>
              </w:rPr>
            </w:pPr>
            <w:r>
              <w:rPr>
                <w:rFonts w:ascii="Arial" w:cs="Arial" w:eastAsia="Arial" w:hAnsi="Arial"/>
                <w:sz w:val="14"/>
                <w:szCs w:val="14"/>
                <w:b w:val="1"/>
                <w:bCs w:val="1"/>
                <w:color w:val="auto"/>
              </w:rPr>
              <w:t>Equity</w:t>
            </w:r>
          </w:p>
        </w:tc>
        <w:tc>
          <w:tcPr>
            <w:tcW w:w="100" w:type="dxa"/>
            <w:vAlign w:val="bottom"/>
          </w:tcPr>
          <w:p>
            <w:pPr>
              <w:spacing w:after="0"/>
              <w:rPr>
                <w:sz w:val="16"/>
                <w:szCs w:val="16"/>
                <w:color w:val="auto"/>
              </w:rPr>
            </w:pPr>
          </w:p>
        </w:tc>
        <w:tc>
          <w:tcPr>
            <w:tcW w:w="640" w:type="dxa"/>
            <w:vAlign w:val="bottom"/>
          </w:tcPr>
          <w:p>
            <w:pPr>
              <w:jc w:val="right"/>
              <w:ind w:right="104"/>
              <w:spacing w:after="0"/>
              <w:rPr>
                <w:sz w:val="20"/>
                <w:szCs w:val="20"/>
                <w:color w:val="auto"/>
              </w:rPr>
            </w:pPr>
            <w:r>
              <w:rPr>
                <w:rFonts w:ascii="Arial" w:cs="Arial" w:eastAsia="Arial" w:hAnsi="Arial"/>
                <w:sz w:val="14"/>
                <w:szCs w:val="14"/>
                <w:b w:val="1"/>
                <w:bCs w:val="1"/>
                <w:color w:val="auto"/>
              </w:rPr>
              <w:t>Stock</w:t>
            </w:r>
          </w:p>
        </w:tc>
        <w:tc>
          <w:tcPr>
            <w:tcW w:w="900" w:type="dxa"/>
            <w:vAlign w:val="bottom"/>
          </w:tcPr>
          <w:p>
            <w:pPr>
              <w:jc w:val="right"/>
              <w:ind w:right="104"/>
              <w:spacing w:after="0"/>
              <w:rPr>
                <w:sz w:val="20"/>
                <w:szCs w:val="20"/>
                <w:color w:val="auto"/>
              </w:rPr>
            </w:pPr>
            <w:r>
              <w:rPr>
                <w:rFonts w:ascii="Arial" w:cs="Arial" w:eastAsia="Arial" w:hAnsi="Arial"/>
                <w:sz w:val="14"/>
                <w:szCs w:val="14"/>
                <w:b w:val="1"/>
                <w:bCs w:val="1"/>
                <w:color w:val="auto"/>
              </w:rPr>
              <w:t>Capital</w:t>
            </w:r>
          </w:p>
        </w:tc>
        <w:tc>
          <w:tcPr>
            <w:tcW w:w="160" w:type="dxa"/>
            <w:vAlign w:val="bottom"/>
          </w:tcPr>
          <w:p>
            <w:pPr>
              <w:spacing w:after="0"/>
              <w:rPr>
                <w:sz w:val="16"/>
                <w:szCs w:val="16"/>
                <w:color w:val="auto"/>
              </w:rPr>
            </w:pPr>
          </w:p>
        </w:tc>
        <w:tc>
          <w:tcPr>
            <w:tcW w:w="940" w:type="dxa"/>
            <w:vAlign w:val="bottom"/>
          </w:tcPr>
          <w:p>
            <w:pPr>
              <w:jc w:val="center"/>
              <w:ind w:right="24"/>
              <w:spacing w:after="0"/>
              <w:rPr>
                <w:sz w:val="20"/>
                <w:szCs w:val="20"/>
                <w:color w:val="auto"/>
              </w:rPr>
            </w:pPr>
            <w:r>
              <w:rPr>
                <w:rFonts w:ascii="Arial" w:cs="Arial" w:eastAsia="Arial" w:hAnsi="Arial"/>
                <w:sz w:val="14"/>
                <w:szCs w:val="14"/>
                <w:b w:val="1"/>
                <w:bCs w:val="1"/>
                <w:color w:val="auto"/>
                <w:w w:val="93"/>
              </w:rPr>
              <w:t>Earnings</w:t>
            </w:r>
          </w:p>
        </w:tc>
        <w:tc>
          <w:tcPr>
            <w:tcW w:w="120" w:type="dxa"/>
            <w:vAlign w:val="bottom"/>
          </w:tcPr>
          <w:p>
            <w:pPr>
              <w:spacing w:after="0"/>
              <w:rPr>
                <w:sz w:val="16"/>
                <w:szCs w:val="16"/>
                <w:color w:val="auto"/>
              </w:rPr>
            </w:pPr>
          </w:p>
        </w:tc>
        <w:tc>
          <w:tcPr>
            <w:tcW w:w="1140" w:type="dxa"/>
            <w:vAlign w:val="bottom"/>
          </w:tcPr>
          <w:p>
            <w:pPr>
              <w:jc w:val="right"/>
              <w:ind w:right="84"/>
              <w:spacing w:after="0"/>
              <w:rPr>
                <w:sz w:val="20"/>
                <w:szCs w:val="20"/>
                <w:color w:val="auto"/>
              </w:rPr>
            </w:pPr>
            <w:r>
              <w:rPr>
                <w:rFonts w:ascii="Arial" w:cs="Arial" w:eastAsia="Arial" w:hAnsi="Arial"/>
                <w:sz w:val="14"/>
                <w:szCs w:val="14"/>
                <w:b w:val="1"/>
                <w:bCs w:val="1"/>
                <w:color w:val="auto"/>
                <w:w w:val="93"/>
              </w:rPr>
              <w:t>Income / (Loss)</w:t>
            </w:r>
          </w:p>
        </w:tc>
        <w:tc>
          <w:tcPr>
            <w:tcW w:w="120" w:type="dxa"/>
            <w:vAlign w:val="bottom"/>
          </w:tcPr>
          <w:p>
            <w:pPr>
              <w:spacing w:after="0"/>
              <w:rPr>
                <w:sz w:val="16"/>
                <w:szCs w:val="16"/>
                <w:color w:val="auto"/>
              </w:rPr>
            </w:pPr>
          </w:p>
        </w:tc>
        <w:tc>
          <w:tcPr>
            <w:tcW w:w="760" w:type="dxa"/>
            <w:vAlign w:val="bottom"/>
          </w:tcPr>
          <w:p>
            <w:pPr>
              <w:jc w:val="center"/>
              <w:ind w:right="4"/>
              <w:spacing w:after="0"/>
              <w:rPr>
                <w:sz w:val="20"/>
                <w:szCs w:val="20"/>
                <w:color w:val="auto"/>
              </w:rPr>
            </w:pPr>
            <w:r>
              <w:rPr>
                <w:rFonts w:ascii="Arial" w:cs="Arial" w:eastAsia="Arial" w:hAnsi="Arial"/>
                <w:sz w:val="14"/>
                <w:szCs w:val="14"/>
                <w:b w:val="1"/>
                <w:bCs w:val="1"/>
                <w:color w:val="auto"/>
                <w:w w:val="89"/>
              </w:rPr>
              <w:t>Interests</w:t>
            </w:r>
          </w:p>
        </w:tc>
        <w:tc>
          <w:tcPr>
            <w:tcW w:w="160" w:type="dxa"/>
            <w:vAlign w:val="bottom"/>
          </w:tcPr>
          <w:p>
            <w:pPr>
              <w:spacing w:after="0"/>
              <w:rPr>
                <w:sz w:val="16"/>
                <w:szCs w:val="16"/>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8"/>
              </w:rPr>
              <w:t>Equity</w:t>
            </w:r>
          </w:p>
        </w:tc>
        <w:tc>
          <w:tcPr>
            <w:tcW w:w="9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0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Balance at December 31, 2018</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820" w:type="dxa"/>
            <w:vAlign w:val="bottom"/>
            <w:tcBorders>
              <w:top w:val="single" w:sz="8" w:color="auto"/>
            </w:tcBorders>
            <w:shd w:val="clear" w:color="auto" w:fill="CCEEFF"/>
          </w:tcPr>
          <w:p>
            <w:pPr>
              <w:jc w:val="right"/>
              <w:ind w:right="64"/>
              <w:spacing w:after="0"/>
              <w:rPr>
                <w:sz w:val="20"/>
                <w:szCs w:val="20"/>
                <w:color w:val="auto"/>
              </w:rPr>
            </w:pPr>
            <w:r>
              <w:rPr>
                <w:rFonts w:ascii="Arial" w:cs="Arial" w:eastAsia="Arial" w:hAnsi="Arial"/>
                <w:sz w:val="15"/>
                <w:szCs w:val="15"/>
                <w:color w:val="auto"/>
              </w:rPr>
              <w:t>63,592</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640" w:type="dxa"/>
            <w:vAlign w:val="bottom"/>
            <w:tcBorders>
              <w:top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rPr>
              <w:t>864</w:t>
            </w:r>
          </w:p>
        </w:tc>
        <w:tc>
          <w:tcPr>
            <w:tcW w:w="900" w:type="dxa"/>
            <w:vAlign w:val="bottom"/>
            <w:tcBorders>
              <w:top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w w:val="98"/>
              </w:rPr>
              <w:t>$ 4,398,949</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940" w:type="dxa"/>
            <w:vAlign w:val="bottom"/>
            <w:tcBorders>
              <w:top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rPr>
              <w:t>(1,288,486)</w:t>
            </w:r>
          </w:p>
        </w:tc>
        <w:tc>
          <w:tcPr>
            <w:tcW w:w="1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w w:val="95"/>
              </w:rPr>
              <w:t>$</w:t>
            </w:r>
          </w:p>
        </w:tc>
        <w:tc>
          <w:tcPr>
            <w:tcW w:w="1140" w:type="dxa"/>
            <w:vAlign w:val="bottom"/>
            <w:tcBorders>
              <w:top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rPr>
              <w:t>(4,504)</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760" w:type="dxa"/>
            <w:vAlign w:val="bottom"/>
            <w:tcBorders>
              <w:top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rPr>
              <w:t>60,499</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980" w:type="dxa"/>
            <w:vAlign w:val="bottom"/>
            <w:tcBorders>
              <w:top w:val="single" w:sz="8" w:color="auto"/>
            </w:tcBorders>
            <w:shd w:val="clear" w:color="auto" w:fill="CCEEFF"/>
          </w:tcPr>
          <w:p>
            <w:pPr>
              <w:jc w:val="right"/>
              <w:ind w:right="64"/>
              <w:spacing w:after="0"/>
              <w:rPr>
                <w:sz w:val="20"/>
                <w:szCs w:val="20"/>
                <w:color w:val="auto"/>
              </w:rPr>
            </w:pPr>
            <w:r>
              <w:rPr>
                <w:rFonts w:ascii="Arial" w:cs="Arial" w:eastAsia="Arial" w:hAnsi="Arial"/>
                <w:sz w:val="15"/>
                <w:szCs w:val="15"/>
                <w:color w:val="auto"/>
              </w:rPr>
              <w:t>3,167,322</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ind w:right="84"/>
              <w:spacing w:after="0"/>
              <w:rPr>
                <w:sz w:val="20"/>
                <w:szCs w:val="20"/>
                <w:color w:val="auto"/>
              </w:rPr>
            </w:pPr>
            <w:r>
              <w:rPr>
                <w:rFonts w:ascii="Arial" w:cs="Arial" w:eastAsia="Arial" w:hAnsi="Arial"/>
                <w:sz w:val="15"/>
                <w:szCs w:val="15"/>
                <w:color w:val="auto"/>
                <w:w w:val="95"/>
              </w:rPr>
              <w:t>3,230,914</w:t>
            </w:r>
          </w:p>
        </w:tc>
        <w:tc>
          <w:tcPr>
            <w:tcW w:w="0" w:type="dxa"/>
            <w:vAlign w:val="bottom"/>
          </w:tcPr>
          <w:p>
            <w:pPr>
              <w:spacing w:after="0"/>
              <w:rPr>
                <w:sz w:val="1"/>
                <w:szCs w:val="1"/>
                <w:color w:val="auto"/>
              </w:rPr>
            </w:pPr>
          </w:p>
        </w:tc>
      </w:tr>
      <w:tr>
        <w:trPr>
          <w:trHeight w:val="176"/>
        </w:trPr>
        <w:tc>
          <w:tcPr>
            <w:tcW w:w="3060" w:type="dxa"/>
            <w:vAlign w:val="bottom"/>
          </w:tcPr>
          <w:p>
            <w:pPr>
              <w:ind w:left="20"/>
              <w:spacing w:after="0"/>
              <w:rPr>
                <w:sz w:val="20"/>
                <w:szCs w:val="20"/>
                <w:color w:val="auto"/>
              </w:rPr>
            </w:pPr>
            <w:r>
              <w:rPr>
                <w:rFonts w:ascii="Arial" w:cs="Arial" w:eastAsia="Arial" w:hAnsi="Arial"/>
                <w:sz w:val="15"/>
                <w:szCs w:val="15"/>
                <w:color w:val="auto"/>
              </w:rPr>
              <w:t>Issuance of common stock and common OP</w:t>
            </w: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3060" w:type="dxa"/>
            <w:vAlign w:val="bottom"/>
          </w:tcPr>
          <w:p>
            <w:pPr>
              <w:ind w:left="20"/>
              <w:spacing w:after="0"/>
              <w:rPr>
                <w:sz w:val="20"/>
                <w:szCs w:val="20"/>
                <w:color w:val="auto"/>
              </w:rPr>
            </w:pPr>
            <w:r>
              <w:rPr>
                <w:rFonts w:ascii="Arial" w:cs="Arial" w:eastAsia="Arial" w:hAnsi="Arial"/>
                <w:sz w:val="15"/>
                <w:szCs w:val="15"/>
                <w:color w:val="auto"/>
              </w:rPr>
              <w:t>units, net</w:t>
            </w:r>
          </w:p>
        </w:tc>
        <w:tc>
          <w:tcPr>
            <w:tcW w:w="100" w:type="dxa"/>
            <w:vAlign w:val="bottom"/>
          </w:tcPr>
          <w:p>
            <w:pPr>
              <w:spacing w:after="0"/>
              <w:rPr>
                <w:sz w:val="17"/>
                <w:szCs w:val="17"/>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7"/>
                <w:szCs w:val="17"/>
                <w:color w:val="auto"/>
              </w:rPr>
            </w:pPr>
          </w:p>
        </w:tc>
        <w:tc>
          <w:tcPr>
            <w:tcW w:w="640" w:type="dxa"/>
            <w:vAlign w:val="bottom"/>
          </w:tcPr>
          <w:p>
            <w:pPr>
              <w:jc w:val="right"/>
              <w:ind w:right="24"/>
              <w:spacing w:after="0"/>
              <w:rPr>
                <w:sz w:val="20"/>
                <w:szCs w:val="20"/>
                <w:color w:val="auto"/>
              </w:rPr>
            </w:pPr>
            <w:r>
              <w:rPr>
                <w:rFonts w:ascii="Arial" w:cs="Arial" w:eastAsia="Arial" w:hAnsi="Arial"/>
                <w:sz w:val="15"/>
                <w:szCs w:val="15"/>
                <w:color w:val="auto"/>
              </w:rPr>
              <w:t>1</w:t>
            </w:r>
          </w:p>
        </w:tc>
        <w:tc>
          <w:tcPr>
            <w:tcW w:w="900" w:type="dxa"/>
            <w:vAlign w:val="bottom"/>
          </w:tcPr>
          <w:p>
            <w:pPr>
              <w:jc w:val="right"/>
              <w:spacing w:after="0"/>
              <w:rPr>
                <w:sz w:val="20"/>
                <w:szCs w:val="20"/>
                <w:color w:val="auto"/>
              </w:rPr>
            </w:pPr>
            <w:r>
              <w:rPr>
                <w:rFonts w:ascii="Arial" w:cs="Arial" w:eastAsia="Arial" w:hAnsi="Arial"/>
                <w:sz w:val="15"/>
                <w:szCs w:val="15"/>
                <w:color w:val="auto"/>
              </w:rPr>
              <w:t>(4,322)</w:t>
            </w:r>
          </w:p>
        </w:tc>
        <w:tc>
          <w:tcPr>
            <w:tcW w:w="160" w:type="dxa"/>
            <w:vAlign w:val="bottom"/>
          </w:tcPr>
          <w:p>
            <w:pPr>
              <w:spacing w:after="0"/>
              <w:rPr>
                <w:sz w:val="17"/>
                <w:szCs w:val="17"/>
                <w:color w:val="auto"/>
              </w:rPr>
            </w:pPr>
          </w:p>
        </w:tc>
        <w:tc>
          <w:tcPr>
            <w:tcW w:w="940" w:type="dxa"/>
            <w:vAlign w:val="bottom"/>
          </w:tcPr>
          <w:p>
            <w:pPr>
              <w:jc w:val="right"/>
              <w:ind w:right="64"/>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1140" w:type="dxa"/>
            <w:vAlign w:val="bottom"/>
          </w:tcPr>
          <w:p>
            <w:pPr>
              <w:jc w:val="right"/>
              <w:ind w:right="64"/>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760" w:type="dxa"/>
            <w:vAlign w:val="bottom"/>
          </w:tcPr>
          <w:p>
            <w:pPr>
              <w:jc w:val="right"/>
              <w:ind w:right="24"/>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7"/>
                <w:szCs w:val="17"/>
                <w:color w:val="auto"/>
              </w:rPr>
            </w:pPr>
          </w:p>
        </w:tc>
        <w:tc>
          <w:tcPr>
            <w:tcW w:w="980" w:type="dxa"/>
            <w:vAlign w:val="bottom"/>
          </w:tcPr>
          <w:p>
            <w:pPr>
              <w:jc w:val="right"/>
              <w:ind w:right="24"/>
              <w:spacing w:after="0"/>
              <w:rPr>
                <w:sz w:val="20"/>
                <w:szCs w:val="20"/>
                <w:color w:val="auto"/>
              </w:rPr>
            </w:pPr>
            <w:r>
              <w:rPr>
                <w:rFonts w:ascii="Arial" w:cs="Arial" w:eastAsia="Arial" w:hAnsi="Arial"/>
                <w:sz w:val="15"/>
                <w:szCs w:val="15"/>
                <w:color w:val="auto"/>
              </w:rPr>
              <w:t>(4,321)</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ind w:right="44"/>
              <w:spacing w:after="0"/>
              <w:rPr>
                <w:sz w:val="20"/>
                <w:szCs w:val="20"/>
                <w:color w:val="auto"/>
              </w:rPr>
            </w:pPr>
            <w:r>
              <w:rPr>
                <w:rFonts w:ascii="Arial" w:cs="Arial" w:eastAsia="Arial" w:hAnsi="Arial"/>
                <w:sz w:val="15"/>
                <w:szCs w:val="15"/>
                <w:color w:val="auto"/>
              </w:rPr>
              <w:t>(4,321)</w:t>
            </w:r>
          </w:p>
        </w:tc>
        <w:tc>
          <w:tcPr>
            <w:tcW w:w="0" w:type="dxa"/>
            <w:vAlign w:val="bottom"/>
          </w:tcPr>
          <w:p>
            <w:pPr>
              <w:spacing w:after="0"/>
              <w:rPr>
                <w:sz w:val="1"/>
                <w:szCs w:val="1"/>
                <w:color w:val="auto"/>
              </w:rPr>
            </w:pPr>
          </w:p>
        </w:tc>
      </w:tr>
      <w:tr>
        <w:trPr>
          <w:trHeight w:val="220"/>
        </w:trPr>
        <w:tc>
          <w:tcPr>
            <w:tcW w:w="3060" w:type="dxa"/>
            <w:vAlign w:val="bottom"/>
            <w:shd w:val="clear" w:color="auto" w:fill="CCEEFF"/>
          </w:tcPr>
          <w:p>
            <w:pPr>
              <w:ind w:left="20"/>
              <w:spacing w:after="0"/>
              <w:rPr>
                <w:sz w:val="20"/>
                <w:szCs w:val="20"/>
                <w:color w:val="auto"/>
              </w:rPr>
            </w:pPr>
            <w:r>
              <w:rPr>
                <w:rFonts w:ascii="Arial" w:cs="Arial" w:eastAsia="Arial" w:hAnsi="Arial"/>
                <w:sz w:val="15"/>
                <w:szCs w:val="15"/>
                <w:color w:val="auto"/>
              </w:rPr>
              <w:t>Conversion of OP units</w:t>
            </w:r>
          </w:p>
        </w:tc>
        <w:tc>
          <w:tcPr>
            <w:tcW w:w="1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w:t>
            </w:r>
          </w:p>
        </w:tc>
        <w:tc>
          <w:tcPr>
            <w:tcW w:w="9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280</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(280)</w:t>
            </w:r>
          </w:p>
        </w:tc>
        <w:tc>
          <w:tcPr>
            <w:tcW w:w="1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12"/>
        </w:trPr>
        <w:tc>
          <w:tcPr>
            <w:tcW w:w="3060" w:type="dxa"/>
            <w:vAlign w:val="bottom"/>
          </w:tcPr>
          <w:p>
            <w:pPr>
              <w:ind w:left="20"/>
              <w:spacing w:after="0"/>
              <w:rPr>
                <w:sz w:val="20"/>
                <w:szCs w:val="20"/>
                <w:color w:val="auto"/>
              </w:rPr>
            </w:pPr>
            <w:r>
              <w:rPr>
                <w:rFonts w:ascii="Arial" w:cs="Arial" w:eastAsia="Arial" w:hAnsi="Arial"/>
                <w:sz w:val="15"/>
                <w:szCs w:val="15"/>
                <w:color w:val="auto"/>
              </w:rPr>
              <w:t>Equity Interests - NG Sun LLC</w:t>
            </w:r>
          </w:p>
        </w:tc>
        <w:tc>
          <w:tcPr>
            <w:tcW w:w="100" w:type="dxa"/>
            <w:vAlign w:val="bottom"/>
          </w:tcPr>
          <w:p>
            <w:pPr>
              <w:spacing w:after="0"/>
              <w:rPr>
                <w:sz w:val="18"/>
                <w:szCs w:val="18"/>
                <w:color w:val="auto"/>
              </w:rPr>
            </w:pPr>
          </w:p>
        </w:tc>
        <w:tc>
          <w:tcPr>
            <w:tcW w:w="820" w:type="dxa"/>
            <w:vAlign w:val="bottom"/>
          </w:tcPr>
          <w:p>
            <w:pPr>
              <w:jc w:val="right"/>
              <w:ind w:right="64"/>
              <w:spacing w:after="0"/>
              <w:rPr>
                <w:sz w:val="20"/>
                <w:szCs w:val="20"/>
                <w:color w:val="auto"/>
              </w:rPr>
            </w:pPr>
            <w:r>
              <w:rPr>
                <w:rFonts w:ascii="Arial" w:cs="Arial" w:eastAsia="Arial" w:hAnsi="Arial"/>
                <w:sz w:val="15"/>
                <w:szCs w:val="15"/>
                <w:color w:val="auto"/>
              </w:rPr>
              <w:t>256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ind w:right="24"/>
              <w:spacing w:after="0"/>
              <w:rPr>
                <w:sz w:val="20"/>
                <w:szCs w:val="20"/>
                <w:color w:val="auto"/>
              </w:rPr>
            </w:pPr>
            <w:r>
              <w:rPr>
                <w:rFonts w:ascii="Arial" w:cs="Arial" w:eastAsia="Arial" w:hAnsi="Arial"/>
                <w:sz w:val="15"/>
                <w:szCs w:val="15"/>
                <w:color w:val="auto"/>
              </w:rPr>
              <w:t>—</w:t>
            </w:r>
          </w:p>
        </w:tc>
        <w:tc>
          <w:tcPr>
            <w:tcW w:w="900" w:type="dxa"/>
            <w:vAlign w:val="bottom"/>
          </w:tcPr>
          <w:p>
            <w:pPr>
              <w:jc w:val="right"/>
              <w:ind w:right="24"/>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8"/>
                <w:szCs w:val="18"/>
                <w:color w:val="auto"/>
              </w:rPr>
            </w:pPr>
          </w:p>
        </w:tc>
        <w:tc>
          <w:tcPr>
            <w:tcW w:w="940" w:type="dxa"/>
            <w:vAlign w:val="bottom"/>
          </w:tcPr>
          <w:p>
            <w:pPr>
              <w:jc w:val="right"/>
              <w:ind w:right="24"/>
              <w:spacing w:after="0"/>
              <w:rPr>
                <w:sz w:val="20"/>
                <w:szCs w:val="20"/>
                <w:color w:val="auto"/>
              </w:rPr>
            </w:pPr>
            <w:r>
              <w:rPr>
                <w:rFonts w:ascii="Arial" w:cs="Arial" w:eastAsia="Arial" w:hAnsi="Arial"/>
                <w:sz w:val="15"/>
                <w:szCs w:val="15"/>
                <w:color w:val="auto"/>
              </w:rPr>
              <w:t>(65)</w:t>
            </w:r>
          </w:p>
        </w:tc>
        <w:tc>
          <w:tcPr>
            <w:tcW w:w="120" w:type="dxa"/>
            <w:vAlign w:val="bottom"/>
          </w:tcPr>
          <w:p>
            <w:pPr>
              <w:spacing w:after="0"/>
              <w:rPr>
                <w:sz w:val="18"/>
                <w:szCs w:val="18"/>
                <w:color w:val="auto"/>
              </w:rPr>
            </w:pPr>
          </w:p>
        </w:tc>
        <w:tc>
          <w:tcPr>
            <w:tcW w:w="1140" w:type="dxa"/>
            <w:vAlign w:val="bottom"/>
          </w:tcPr>
          <w:p>
            <w:pPr>
              <w:jc w:val="right"/>
              <w:ind w:right="64"/>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(191)</w:t>
            </w:r>
          </w:p>
        </w:tc>
        <w:tc>
          <w:tcPr>
            <w:tcW w:w="160" w:type="dxa"/>
            <w:vAlign w:val="bottom"/>
          </w:tcPr>
          <w:p>
            <w:pPr>
              <w:spacing w:after="0"/>
              <w:rPr>
                <w:sz w:val="18"/>
                <w:szCs w:val="18"/>
                <w:color w:val="auto"/>
              </w:rPr>
            </w:pPr>
          </w:p>
        </w:tc>
        <w:tc>
          <w:tcPr>
            <w:tcW w:w="980" w:type="dxa"/>
            <w:vAlign w:val="bottom"/>
          </w:tcPr>
          <w:p>
            <w:pPr>
              <w:jc w:val="right"/>
              <w:ind w:right="24"/>
              <w:spacing w:after="0"/>
              <w:rPr>
                <w:sz w:val="20"/>
                <w:szCs w:val="20"/>
                <w:color w:val="auto"/>
              </w:rPr>
            </w:pPr>
            <w:r>
              <w:rPr>
                <w:rFonts w:ascii="Arial" w:cs="Arial" w:eastAsia="Arial" w:hAnsi="Arial"/>
                <w:sz w:val="15"/>
                <w:szCs w:val="15"/>
                <w:color w:val="auto"/>
              </w:rPr>
              <w:t>(256)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ind w:right="8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0"/>
        </w:trPr>
        <w:tc>
          <w:tcPr>
            <w:tcW w:w="3060" w:type="dxa"/>
            <w:vAlign w:val="bottom"/>
            <w:shd w:val="clear" w:color="auto" w:fill="CCEEFF"/>
          </w:tcPr>
          <w:p>
            <w:pPr>
              <w:ind w:left="20"/>
              <w:spacing w:after="0"/>
              <w:rPr>
                <w:sz w:val="20"/>
                <w:szCs w:val="20"/>
                <w:color w:val="auto"/>
              </w:rPr>
            </w:pPr>
            <w:r>
              <w:rPr>
                <w:rFonts w:ascii="Arial" w:cs="Arial" w:eastAsia="Arial" w:hAnsi="Arial"/>
                <w:sz w:val="15"/>
                <w:szCs w:val="15"/>
                <w:color w:val="auto"/>
                <w:w w:val="98"/>
              </w:rPr>
              <w:t>Share-based compensation - amortization and</w:t>
            </w: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3060" w:type="dxa"/>
            <w:vAlign w:val="bottom"/>
            <w:shd w:val="clear" w:color="auto" w:fill="CCEEFF"/>
          </w:tcPr>
          <w:p>
            <w:pPr>
              <w:ind w:left="20"/>
              <w:spacing w:after="0"/>
              <w:rPr>
                <w:sz w:val="20"/>
                <w:szCs w:val="20"/>
                <w:color w:val="auto"/>
              </w:rPr>
            </w:pPr>
            <w:r>
              <w:rPr>
                <w:rFonts w:ascii="Arial" w:cs="Arial" w:eastAsia="Arial" w:hAnsi="Arial"/>
                <w:sz w:val="15"/>
                <w:szCs w:val="15"/>
                <w:color w:val="auto"/>
              </w:rPr>
              <w:t>forfeitures</w:t>
            </w:r>
          </w:p>
        </w:tc>
        <w:tc>
          <w:tcPr>
            <w:tcW w:w="1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w:t>
            </w:r>
          </w:p>
        </w:tc>
        <w:tc>
          <w:tcPr>
            <w:tcW w:w="9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3,719</w:t>
            </w: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74</w:t>
            </w: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3,793</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rPr>
              <w:t>3,793</w:t>
            </w:r>
          </w:p>
        </w:tc>
        <w:tc>
          <w:tcPr>
            <w:tcW w:w="0" w:type="dxa"/>
            <w:vAlign w:val="bottom"/>
          </w:tcPr>
          <w:p>
            <w:pPr>
              <w:spacing w:after="0"/>
              <w:rPr>
                <w:sz w:val="1"/>
                <w:szCs w:val="1"/>
                <w:color w:val="auto"/>
              </w:rPr>
            </w:pPr>
          </w:p>
        </w:tc>
      </w:tr>
      <w:tr>
        <w:trPr>
          <w:trHeight w:val="212"/>
        </w:trPr>
        <w:tc>
          <w:tcPr>
            <w:tcW w:w="3060" w:type="dxa"/>
            <w:vAlign w:val="bottom"/>
          </w:tcPr>
          <w:p>
            <w:pPr>
              <w:ind w:left="20"/>
              <w:spacing w:after="0"/>
              <w:rPr>
                <w:sz w:val="20"/>
                <w:szCs w:val="20"/>
                <w:color w:val="auto"/>
              </w:rPr>
            </w:pPr>
            <w:r>
              <w:rPr>
                <w:rFonts w:ascii="Arial" w:cs="Arial" w:eastAsia="Arial" w:hAnsi="Arial"/>
                <w:sz w:val="15"/>
                <w:szCs w:val="15"/>
                <w:color w:val="auto"/>
              </w:rPr>
              <w:t>Issuance of Series D OP units</w:t>
            </w:r>
          </w:p>
        </w:tc>
        <w:tc>
          <w:tcPr>
            <w:tcW w:w="100" w:type="dxa"/>
            <w:vAlign w:val="bottom"/>
          </w:tcPr>
          <w:p>
            <w:pPr>
              <w:spacing w:after="0"/>
              <w:rPr>
                <w:sz w:val="18"/>
                <w:szCs w:val="18"/>
                <w:color w:val="auto"/>
              </w:rPr>
            </w:pPr>
          </w:p>
        </w:tc>
        <w:tc>
          <w:tcPr>
            <w:tcW w:w="820" w:type="dxa"/>
            <w:vAlign w:val="bottom"/>
          </w:tcPr>
          <w:p>
            <w:pPr>
              <w:jc w:val="right"/>
              <w:ind w:right="64"/>
              <w:spacing w:after="0"/>
              <w:rPr>
                <w:sz w:val="20"/>
                <w:szCs w:val="20"/>
                <w:color w:val="auto"/>
              </w:rPr>
            </w:pPr>
            <w:r>
              <w:rPr>
                <w:rFonts w:ascii="Arial" w:cs="Arial" w:eastAsia="Arial" w:hAnsi="Arial"/>
                <w:sz w:val="15"/>
                <w:szCs w:val="15"/>
                <w:color w:val="auto"/>
              </w:rPr>
              <w:t>51,930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ind w:right="24"/>
              <w:spacing w:after="0"/>
              <w:rPr>
                <w:sz w:val="20"/>
                <w:szCs w:val="20"/>
                <w:color w:val="auto"/>
              </w:rPr>
            </w:pPr>
            <w:r>
              <w:rPr>
                <w:rFonts w:ascii="Arial" w:cs="Arial" w:eastAsia="Arial" w:hAnsi="Arial"/>
                <w:sz w:val="15"/>
                <w:szCs w:val="15"/>
                <w:color w:val="auto"/>
              </w:rPr>
              <w:t>—</w:t>
            </w:r>
          </w:p>
        </w:tc>
        <w:tc>
          <w:tcPr>
            <w:tcW w:w="900" w:type="dxa"/>
            <w:vAlign w:val="bottom"/>
          </w:tcPr>
          <w:p>
            <w:pPr>
              <w:jc w:val="right"/>
              <w:ind w:right="24"/>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8"/>
                <w:szCs w:val="18"/>
                <w:color w:val="auto"/>
              </w:rPr>
            </w:pPr>
          </w:p>
        </w:tc>
        <w:tc>
          <w:tcPr>
            <w:tcW w:w="940" w:type="dxa"/>
            <w:vAlign w:val="bottom"/>
          </w:tcPr>
          <w:p>
            <w:pPr>
              <w:jc w:val="right"/>
              <w:ind w:right="64"/>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8"/>
                <w:szCs w:val="18"/>
                <w:color w:val="auto"/>
              </w:rPr>
            </w:pPr>
          </w:p>
        </w:tc>
        <w:tc>
          <w:tcPr>
            <w:tcW w:w="1140" w:type="dxa"/>
            <w:vAlign w:val="bottom"/>
          </w:tcPr>
          <w:p>
            <w:pPr>
              <w:jc w:val="right"/>
              <w:ind w:right="64"/>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8"/>
                <w:szCs w:val="18"/>
                <w:color w:val="auto"/>
              </w:rPr>
            </w:pPr>
          </w:p>
        </w:tc>
        <w:tc>
          <w:tcPr>
            <w:tcW w:w="760" w:type="dxa"/>
            <w:vAlign w:val="bottom"/>
          </w:tcPr>
          <w:p>
            <w:pPr>
              <w:jc w:val="right"/>
              <w:ind w:right="24"/>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8"/>
                <w:szCs w:val="18"/>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8"/>
                <w:szCs w:val="18"/>
                <w:color w:val="auto"/>
              </w:rPr>
            </w:pPr>
          </w:p>
        </w:tc>
        <w:tc>
          <w:tcPr>
            <w:tcW w:w="820" w:type="dxa"/>
            <w:vAlign w:val="bottom"/>
          </w:tcPr>
          <w:p>
            <w:pPr>
              <w:jc w:val="right"/>
              <w:ind w:right="84"/>
              <w:spacing w:after="0"/>
              <w:rPr>
                <w:sz w:val="20"/>
                <w:szCs w:val="20"/>
                <w:color w:val="auto"/>
              </w:rPr>
            </w:pPr>
            <w:r>
              <w:rPr>
                <w:rFonts w:ascii="Arial" w:cs="Arial" w:eastAsia="Arial" w:hAnsi="Arial"/>
                <w:sz w:val="15"/>
                <w:szCs w:val="15"/>
                <w:color w:val="auto"/>
              </w:rPr>
              <w:t>51,930</w:t>
            </w:r>
          </w:p>
        </w:tc>
        <w:tc>
          <w:tcPr>
            <w:tcW w:w="0" w:type="dxa"/>
            <w:vAlign w:val="bottom"/>
          </w:tcPr>
          <w:p>
            <w:pPr>
              <w:spacing w:after="0"/>
              <w:rPr>
                <w:sz w:val="1"/>
                <w:szCs w:val="1"/>
                <w:color w:val="auto"/>
              </w:rPr>
            </w:pPr>
          </w:p>
        </w:tc>
      </w:tr>
      <w:tr>
        <w:trPr>
          <w:trHeight w:val="220"/>
        </w:trPr>
        <w:tc>
          <w:tcPr>
            <w:tcW w:w="3060" w:type="dxa"/>
            <w:vAlign w:val="bottom"/>
            <w:shd w:val="clear" w:color="auto" w:fill="CCEEFF"/>
          </w:tcPr>
          <w:p>
            <w:pPr>
              <w:ind w:left="20"/>
              <w:spacing w:after="0"/>
              <w:rPr>
                <w:sz w:val="20"/>
                <w:szCs w:val="20"/>
                <w:color w:val="auto"/>
              </w:rPr>
            </w:pPr>
            <w:r>
              <w:rPr>
                <w:rFonts w:ascii="Arial" w:cs="Arial" w:eastAsia="Arial" w:hAnsi="Arial"/>
                <w:sz w:val="15"/>
                <w:szCs w:val="15"/>
                <w:color w:val="auto"/>
              </w:rPr>
              <w:t>Foreign currency translation</w:t>
            </w:r>
          </w:p>
        </w:tc>
        <w:tc>
          <w:tcPr>
            <w:tcW w:w="1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w:t>
            </w:r>
          </w:p>
        </w:tc>
        <w:tc>
          <w:tcPr>
            <w:tcW w:w="9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1,498</w:t>
            </w: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77</w:t>
            </w: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1,575</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rPr>
              <w:t>1,575</w:t>
            </w:r>
          </w:p>
        </w:tc>
        <w:tc>
          <w:tcPr>
            <w:tcW w:w="0" w:type="dxa"/>
            <w:vAlign w:val="bottom"/>
          </w:tcPr>
          <w:p>
            <w:pPr>
              <w:spacing w:after="0"/>
              <w:rPr>
                <w:sz w:val="1"/>
                <w:szCs w:val="1"/>
                <w:color w:val="auto"/>
              </w:rPr>
            </w:pPr>
          </w:p>
        </w:tc>
      </w:tr>
      <w:tr>
        <w:trPr>
          <w:trHeight w:val="212"/>
        </w:trPr>
        <w:tc>
          <w:tcPr>
            <w:tcW w:w="3060" w:type="dxa"/>
            <w:vAlign w:val="bottom"/>
          </w:tcPr>
          <w:p>
            <w:pPr>
              <w:ind w:left="20"/>
              <w:spacing w:after="0"/>
              <w:rPr>
                <w:sz w:val="20"/>
                <w:szCs w:val="20"/>
                <w:color w:val="auto"/>
              </w:rPr>
            </w:pPr>
            <w:r>
              <w:rPr>
                <w:rFonts w:ascii="Arial" w:cs="Arial" w:eastAsia="Arial" w:hAnsi="Arial"/>
                <w:sz w:val="15"/>
                <w:szCs w:val="15"/>
                <w:color w:val="auto"/>
              </w:rPr>
              <w:t>Net income</w:t>
            </w:r>
          </w:p>
        </w:tc>
        <w:tc>
          <w:tcPr>
            <w:tcW w:w="100" w:type="dxa"/>
            <w:vAlign w:val="bottom"/>
          </w:tcPr>
          <w:p>
            <w:pPr>
              <w:spacing w:after="0"/>
              <w:rPr>
                <w:sz w:val="18"/>
                <w:szCs w:val="18"/>
                <w:color w:val="auto"/>
              </w:rPr>
            </w:pPr>
          </w:p>
        </w:tc>
        <w:tc>
          <w:tcPr>
            <w:tcW w:w="820" w:type="dxa"/>
            <w:vAlign w:val="bottom"/>
          </w:tcPr>
          <w:p>
            <w:pPr>
              <w:jc w:val="right"/>
              <w:ind w:right="64"/>
              <w:spacing w:after="0"/>
              <w:rPr>
                <w:sz w:val="20"/>
                <w:szCs w:val="20"/>
                <w:color w:val="auto"/>
              </w:rPr>
            </w:pPr>
            <w:r>
              <w:rPr>
                <w:rFonts w:ascii="Arial" w:cs="Arial" w:eastAsia="Arial" w:hAnsi="Arial"/>
                <w:sz w:val="15"/>
                <w:szCs w:val="15"/>
                <w:color w:val="auto"/>
              </w:rPr>
              <w:t>178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ind w:right="24"/>
              <w:spacing w:after="0"/>
              <w:rPr>
                <w:sz w:val="20"/>
                <w:szCs w:val="20"/>
                <w:color w:val="auto"/>
              </w:rPr>
            </w:pPr>
            <w:r>
              <w:rPr>
                <w:rFonts w:ascii="Arial" w:cs="Arial" w:eastAsia="Arial" w:hAnsi="Arial"/>
                <w:sz w:val="15"/>
                <w:szCs w:val="15"/>
                <w:color w:val="auto"/>
              </w:rPr>
              <w:t>—</w:t>
            </w:r>
          </w:p>
        </w:tc>
        <w:tc>
          <w:tcPr>
            <w:tcW w:w="900" w:type="dxa"/>
            <w:vAlign w:val="bottom"/>
          </w:tcPr>
          <w:p>
            <w:pPr>
              <w:jc w:val="right"/>
              <w:ind w:right="24"/>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8"/>
                <w:szCs w:val="18"/>
                <w:color w:val="auto"/>
              </w:rPr>
            </w:pPr>
          </w:p>
        </w:tc>
        <w:tc>
          <w:tcPr>
            <w:tcW w:w="940" w:type="dxa"/>
            <w:vAlign w:val="bottom"/>
          </w:tcPr>
          <w:p>
            <w:pPr>
              <w:jc w:val="right"/>
              <w:ind w:right="64"/>
              <w:spacing w:after="0"/>
              <w:rPr>
                <w:sz w:val="20"/>
                <w:szCs w:val="20"/>
                <w:color w:val="auto"/>
              </w:rPr>
            </w:pPr>
            <w:r>
              <w:rPr>
                <w:rFonts w:ascii="Arial" w:cs="Arial" w:eastAsia="Arial" w:hAnsi="Arial"/>
                <w:sz w:val="15"/>
                <w:szCs w:val="15"/>
                <w:color w:val="auto"/>
              </w:rPr>
              <w:t>36,086</w:t>
            </w:r>
          </w:p>
        </w:tc>
        <w:tc>
          <w:tcPr>
            <w:tcW w:w="120" w:type="dxa"/>
            <w:vAlign w:val="bottom"/>
          </w:tcPr>
          <w:p>
            <w:pPr>
              <w:spacing w:after="0"/>
              <w:rPr>
                <w:sz w:val="18"/>
                <w:szCs w:val="18"/>
                <w:color w:val="auto"/>
              </w:rPr>
            </w:pPr>
          </w:p>
        </w:tc>
        <w:tc>
          <w:tcPr>
            <w:tcW w:w="1140" w:type="dxa"/>
            <w:vAlign w:val="bottom"/>
          </w:tcPr>
          <w:p>
            <w:pPr>
              <w:jc w:val="right"/>
              <w:ind w:right="64"/>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8"/>
                <w:szCs w:val="18"/>
                <w:color w:val="auto"/>
              </w:rPr>
            </w:pPr>
          </w:p>
        </w:tc>
        <w:tc>
          <w:tcPr>
            <w:tcW w:w="760" w:type="dxa"/>
            <w:vAlign w:val="bottom"/>
          </w:tcPr>
          <w:p>
            <w:pPr>
              <w:jc w:val="right"/>
              <w:ind w:right="24"/>
              <w:spacing w:after="0"/>
              <w:rPr>
                <w:sz w:val="20"/>
                <w:szCs w:val="20"/>
                <w:color w:val="auto"/>
              </w:rPr>
            </w:pPr>
            <w:r>
              <w:rPr>
                <w:rFonts w:ascii="Arial" w:cs="Arial" w:eastAsia="Arial" w:hAnsi="Arial"/>
                <w:sz w:val="15"/>
                <w:szCs w:val="15"/>
                <w:color w:val="auto"/>
              </w:rPr>
              <w:t>863</w:t>
            </w:r>
          </w:p>
        </w:tc>
        <w:tc>
          <w:tcPr>
            <w:tcW w:w="160" w:type="dxa"/>
            <w:vAlign w:val="bottom"/>
          </w:tcPr>
          <w:p>
            <w:pPr>
              <w:spacing w:after="0"/>
              <w:rPr>
                <w:sz w:val="18"/>
                <w:szCs w:val="18"/>
                <w:color w:val="auto"/>
              </w:rPr>
            </w:pPr>
          </w:p>
        </w:tc>
        <w:tc>
          <w:tcPr>
            <w:tcW w:w="980" w:type="dxa"/>
            <w:vAlign w:val="bottom"/>
          </w:tcPr>
          <w:p>
            <w:pPr>
              <w:jc w:val="right"/>
              <w:ind w:right="64"/>
              <w:spacing w:after="0"/>
              <w:rPr>
                <w:sz w:val="20"/>
                <w:szCs w:val="20"/>
                <w:color w:val="auto"/>
              </w:rPr>
            </w:pPr>
            <w:r>
              <w:rPr>
                <w:rFonts w:ascii="Arial" w:cs="Arial" w:eastAsia="Arial" w:hAnsi="Arial"/>
                <w:sz w:val="15"/>
                <w:szCs w:val="15"/>
                <w:color w:val="auto"/>
              </w:rPr>
              <w:t>36,949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ind w:right="84"/>
              <w:spacing w:after="0"/>
              <w:rPr>
                <w:sz w:val="20"/>
                <w:szCs w:val="20"/>
                <w:color w:val="auto"/>
              </w:rPr>
            </w:pPr>
            <w:r>
              <w:rPr>
                <w:rFonts w:ascii="Arial" w:cs="Arial" w:eastAsia="Arial" w:hAnsi="Arial"/>
                <w:sz w:val="15"/>
                <w:szCs w:val="15"/>
                <w:color w:val="auto"/>
              </w:rPr>
              <w:t>37,127</w:t>
            </w:r>
          </w:p>
        </w:tc>
        <w:tc>
          <w:tcPr>
            <w:tcW w:w="0" w:type="dxa"/>
            <w:vAlign w:val="bottom"/>
          </w:tcPr>
          <w:p>
            <w:pPr>
              <w:spacing w:after="0"/>
              <w:rPr>
                <w:sz w:val="1"/>
                <w:szCs w:val="1"/>
                <w:color w:val="auto"/>
              </w:rPr>
            </w:pPr>
          </w:p>
        </w:tc>
      </w:tr>
      <w:tr>
        <w:trPr>
          <w:trHeight w:val="216"/>
        </w:trPr>
        <w:tc>
          <w:tcPr>
            <w:tcW w:w="3060" w:type="dxa"/>
            <w:vAlign w:val="bottom"/>
            <w:shd w:val="clear" w:color="auto" w:fill="CCEEFF"/>
          </w:tcPr>
          <w:p>
            <w:pPr>
              <w:ind w:left="20"/>
              <w:spacing w:after="0"/>
              <w:rPr>
                <w:sz w:val="20"/>
                <w:szCs w:val="20"/>
                <w:color w:val="auto"/>
              </w:rPr>
            </w:pPr>
            <w:r>
              <w:rPr>
                <w:rFonts w:ascii="Arial" w:cs="Arial" w:eastAsia="Arial" w:hAnsi="Arial"/>
                <w:sz w:val="15"/>
                <w:szCs w:val="15"/>
                <w:color w:val="auto"/>
              </w:rPr>
              <w:t>Distributions</w:t>
            </w: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rPr>
              <w:t>(528)</w:t>
            </w: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rPr>
              <w:t>—</w:t>
            </w:r>
          </w:p>
        </w:tc>
        <w:tc>
          <w:tcPr>
            <w:tcW w:w="90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rPr>
              <w:t>15</w:t>
            </w:r>
          </w:p>
        </w:tc>
        <w:tc>
          <w:tcPr>
            <w:tcW w:w="1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rPr>
              <w:t>(65,214)</w:t>
            </w:r>
          </w:p>
        </w:tc>
        <w:tc>
          <w:tcPr>
            <w:tcW w:w="1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64"/>
              <w:spacing w:after="0"/>
              <w:rPr>
                <w:sz w:val="20"/>
                <w:szCs w:val="20"/>
                <w:color w:val="auto"/>
              </w:rPr>
            </w:pPr>
            <w:r>
              <w:rPr>
                <w:rFonts w:ascii="Arial" w:cs="Arial" w:eastAsia="Arial" w:hAnsi="Arial"/>
                <w:sz w:val="15"/>
                <w:szCs w:val="15"/>
                <w:color w:val="auto"/>
              </w:rPr>
              <w:t>—</w:t>
            </w:r>
          </w:p>
        </w:tc>
        <w:tc>
          <w:tcPr>
            <w:tcW w:w="1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(2,954)</w:t>
            </w:r>
          </w:p>
        </w:tc>
        <w:tc>
          <w:tcPr>
            <w:tcW w:w="1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rPr>
              <w:t>(68,153)</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rPr>
              <w:t>(68,681)</w:t>
            </w:r>
          </w:p>
        </w:tc>
        <w:tc>
          <w:tcPr>
            <w:tcW w:w="0" w:type="dxa"/>
            <w:vAlign w:val="bottom"/>
          </w:tcPr>
          <w:p>
            <w:pPr>
              <w:spacing w:after="0"/>
              <w:rPr>
                <w:sz w:val="1"/>
                <w:szCs w:val="1"/>
                <w:color w:val="auto"/>
              </w:rPr>
            </w:pPr>
          </w:p>
        </w:tc>
      </w:tr>
      <w:tr>
        <w:trPr>
          <w:trHeight w:val="213"/>
        </w:trPr>
        <w:tc>
          <w:tcPr>
            <w:tcW w:w="3060" w:type="dxa"/>
            <w:vAlign w:val="bottom"/>
          </w:tcPr>
          <w:p>
            <w:pPr>
              <w:ind w:left="20"/>
              <w:spacing w:after="0"/>
              <w:rPr>
                <w:sz w:val="20"/>
                <w:szCs w:val="20"/>
                <w:color w:val="auto"/>
              </w:rPr>
            </w:pPr>
            <w:r>
              <w:rPr>
                <w:rFonts w:ascii="Arial" w:cs="Arial" w:eastAsia="Arial" w:hAnsi="Arial"/>
                <w:sz w:val="15"/>
                <w:szCs w:val="15"/>
                <w:b w:val="1"/>
                <w:bCs w:val="1"/>
                <w:color w:val="auto"/>
              </w:rPr>
              <w:t>Balance at March 31, 2019</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82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color w:val="auto"/>
              </w:rPr>
              <w:t>115,428</w:t>
            </w:r>
          </w:p>
        </w:tc>
        <w:tc>
          <w:tcPr>
            <w:tcW w:w="1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64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865</w:t>
            </w:r>
          </w:p>
        </w:tc>
        <w:tc>
          <w:tcPr>
            <w:tcW w:w="90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w w:val="98"/>
              </w:rPr>
              <w:t>$ 4,398,641</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94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(1,317,605)</w:t>
            </w:r>
          </w:p>
        </w:tc>
        <w:tc>
          <w:tcPr>
            <w:tcW w:w="12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w w:val="95"/>
              </w:rPr>
              <w:t>$</w:t>
            </w:r>
          </w:p>
        </w:tc>
        <w:tc>
          <w:tcPr>
            <w:tcW w:w="114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(3,006)</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76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58,014</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98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color w:val="auto"/>
              </w:rPr>
              <w:t>3,136,909</w:t>
            </w:r>
          </w:p>
        </w:tc>
        <w:tc>
          <w:tcPr>
            <w:tcW w:w="16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color w:val="auto"/>
                <w:w w:val="95"/>
              </w:rPr>
              <w:t>3,252,337</w:t>
            </w:r>
          </w:p>
        </w:tc>
        <w:tc>
          <w:tcPr>
            <w:tcW w:w="0" w:type="dxa"/>
            <w:vAlign w:val="bottom"/>
          </w:tcPr>
          <w:p>
            <w:pPr>
              <w:spacing w:after="0"/>
              <w:rPr>
                <w:sz w:val="1"/>
                <w:szCs w:val="1"/>
                <w:color w:val="auto"/>
              </w:rPr>
            </w:pPr>
          </w:p>
        </w:tc>
      </w:tr>
      <w:tr>
        <w:trPr>
          <w:trHeight w:val="20"/>
        </w:trPr>
        <w:tc>
          <w:tcPr>
            <w:tcW w:w="30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3060" w:type="dxa"/>
            <w:vAlign w:val="bottom"/>
            <w:shd w:val="clear" w:color="auto" w:fill="CCEEFF"/>
          </w:tcPr>
          <w:p>
            <w:pPr>
              <w:ind w:left="20"/>
              <w:spacing w:after="0" w:line="143" w:lineRule="exact"/>
              <w:rPr>
                <w:sz w:val="20"/>
                <w:szCs w:val="20"/>
                <w:color w:val="auto"/>
              </w:rPr>
            </w:pPr>
            <w:r>
              <w:rPr>
                <w:rFonts w:ascii="Arial" w:cs="Arial" w:eastAsia="Arial" w:hAnsi="Arial"/>
                <w:sz w:val="15"/>
                <w:szCs w:val="15"/>
                <w:color w:val="auto"/>
              </w:rPr>
              <w:t>Issuance of common stock and common OP</w:t>
            </w: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2"/>
        </w:trPr>
        <w:tc>
          <w:tcPr>
            <w:tcW w:w="3060" w:type="dxa"/>
            <w:vAlign w:val="bottom"/>
            <w:shd w:val="clear" w:color="auto" w:fill="CCEEFF"/>
          </w:tcPr>
          <w:p>
            <w:pPr>
              <w:ind w:left="20"/>
              <w:spacing w:after="0"/>
              <w:rPr>
                <w:sz w:val="20"/>
                <w:szCs w:val="20"/>
                <w:color w:val="auto"/>
              </w:rPr>
            </w:pPr>
            <w:r>
              <w:rPr>
                <w:rFonts w:ascii="Arial" w:cs="Arial" w:eastAsia="Arial" w:hAnsi="Arial"/>
                <w:sz w:val="15"/>
                <w:szCs w:val="15"/>
                <w:color w:val="auto"/>
              </w:rPr>
              <w:t>units, net</w:t>
            </w:r>
          </w:p>
        </w:tc>
        <w:tc>
          <w:tcPr>
            <w:tcW w:w="1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37</w:t>
            </w:r>
          </w:p>
        </w:tc>
        <w:tc>
          <w:tcPr>
            <w:tcW w:w="9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447,704</w:t>
            </w: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447,741</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rPr>
              <w:t>447,741</w:t>
            </w:r>
          </w:p>
        </w:tc>
        <w:tc>
          <w:tcPr>
            <w:tcW w:w="0" w:type="dxa"/>
            <w:vAlign w:val="bottom"/>
          </w:tcPr>
          <w:p>
            <w:pPr>
              <w:spacing w:after="0"/>
              <w:rPr>
                <w:sz w:val="1"/>
                <w:szCs w:val="1"/>
                <w:color w:val="auto"/>
              </w:rPr>
            </w:pPr>
          </w:p>
        </w:tc>
      </w:tr>
      <w:tr>
        <w:trPr>
          <w:trHeight w:val="212"/>
        </w:trPr>
        <w:tc>
          <w:tcPr>
            <w:tcW w:w="3060" w:type="dxa"/>
            <w:vAlign w:val="bottom"/>
          </w:tcPr>
          <w:p>
            <w:pPr>
              <w:ind w:left="20"/>
              <w:spacing w:after="0"/>
              <w:rPr>
                <w:sz w:val="20"/>
                <w:szCs w:val="20"/>
                <w:color w:val="auto"/>
              </w:rPr>
            </w:pPr>
            <w:r>
              <w:rPr>
                <w:rFonts w:ascii="Arial" w:cs="Arial" w:eastAsia="Arial" w:hAnsi="Arial"/>
                <w:sz w:val="15"/>
                <w:szCs w:val="15"/>
                <w:color w:val="auto"/>
              </w:rPr>
              <w:t>Conversion of OP units</w:t>
            </w:r>
          </w:p>
        </w:tc>
        <w:tc>
          <w:tcPr>
            <w:tcW w:w="100" w:type="dxa"/>
            <w:vAlign w:val="bottom"/>
          </w:tcPr>
          <w:p>
            <w:pPr>
              <w:spacing w:after="0"/>
              <w:rPr>
                <w:sz w:val="18"/>
                <w:szCs w:val="18"/>
                <w:color w:val="auto"/>
              </w:rPr>
            </w:pPr>
          </w:p>
        </w:tc>
        <w:tc>
          <w:tcPr>
            <w:tcW w:w="820" w:type="dxa"/>
            <w:vAlign w:val="bottom"/>
          </w:tcPr>
          <w:p>
            <w:pPr>
              <w:jc w:val="right"/>
              <w:ind w:right="44"/>
              <w:spacing w:after="0"/>
              <w:rPr>
                <w:sz w:val="20"/>
                <w:szCs w:val="20"/>
                <w:color w:val="auto"/>
              </w:rPr>
            </w:pPr>
            <w:r>
              <w:rPr>
                <w:rFonts w:ascii="Arial" w:cs="Arial" w:eastAsia="Arial" w:hAnsi="Arial"/>
                <w:sz w:val="15"/>
                <w:szCs w:val="15"/>
                <w:color w:val="auto"/>
              </w:rPr>
              <w:t>(112)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ind w:right="24"/>
              <w:spacing w:after="0"/>
              <w:rPr>
                <w:sz w:val="20"/>
                <w:szCs w:val="20"/>
                <w:color w:val="auto"/>
              </w:rPr>
            </w:pPr>
            <w:r>
              <w:rPr>
                <w:rFonts w:ascii="Arial" w:cs="Arial" w:eastAsia="Arial" w:hAnsi="Arial"/>
                <w:sz w:val="15"/>
                <w:szCs w:val="15"/>
                <w:color w:val="auto"/>
              </w:rPr>
              <w:t>5</w:t>
            </w:r>
          </w:p>
        </w:tc>
        <w:tc>
          <w:tcPr>
            <w:tcW w:w="900" w:type="dxa"/>
            <w:vAlign w:val="bottom"/>
          </w:tcPr>
          <w:p>
            <w:pPr>
              <w:jc w:val="right"/>
              <w:ind w:right="24"/>
              <w:spacing w:after="0"/>
              <w:rPr>
                <w:sz w:val="20"/>
                <w:szCs w:val="20"/>
                <w:color w:val="auto"/>
              </w:rPr>
            </w:pPr>
            <w:r>
              <w:rPr>
                <w:rFonts w:ascii="Arial" w:cs="Arial" w:eastAsia="Arial" w:hAnsi="Arial"/>
                <w:sz w:val="15"/>
                <w:szCs w:val="15"/>
                <w:color w:val="auto"/>
              </w:rPr>
              <w:t>242</w:t>
            </w:r>
          </w:p>
        </w:tc>
        <w:tc>
          <w:tcPr>
            <w:tcW w:w="160" w:type="dxa"/>
            <w:vAlign w:val="bottom"/>
          </w:tcPr>
          <w:p>
            <w:pPr>
              <w:spacing w:after="0"/>
              <w:rPr>
                <w:sz w:val="18"/>
                <w:szCs w:val="18"/>
                <w:color w:val="auto"/>
              </w:rPr>
            </w:pPr>
          </w:p>
        </w:tc>
        <w:tc>
          <w:tcPr>
            <w:tcW w:w="940" w:type="dxa"/>
            <w:vAlign w:val="bottom"/>
          </w:tcPr>
          <w:p>
            <w:pPr>
              <w:jc w:val="right"/>
              <w:ind w:right="64"/>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8"/>
                <w:szCs w:val="18"/>
                <w:color w:val="auto"/>
              </w:rPr>
            </w:pPr>
          </w:p>
        </w:tc>
        <w:tc>
          <w:tcPr>
            <w:tcW w:w="1140" w:type="dxa"/>
            <w:vAlign w:val="bottom"/>
          </w:tcPr>
          <w:p>
            <w:pPr>
              <w:jc w:val="right"/>
              <w:ind w:right="64"/>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(135)</w:t>
            </w:r>
          </w:p>
        </w:tc>
        <w:tc>
          <w:tcPr>
            <w:tcW w:w="160" w:type="dxa"/>
            <w:vAlign w:val="bottom"/>
          </w:tcPr>
          <w:p>
            <w:pPr>
              <w:spacing w:after="0"/>
              <w:rPr>
                <w:sz w:val="18"/>
                <w:szCs w:val="18"/>
                <w:color w:val="auto"/>
              </w:rPr>
            </w:pPr>
          </w:p>
        </w:tc>
        <w:tc>
          <w:tcPr>
            <w:tcW w:w="980" w:type="dxa"/>
            <w:vAlign w:val="bottom"/>
          </w:tcPr>
          <w:p>
            <w:pPr>
              <w:jc w:val="right"/>
              <w:ind w:right="64"/>
              <w:spacing w:after="0"/>
              <w:rPr>
                <w:sz w:val="20"/>
                <w:szCs w:val="20"/>
                <w:color w:val="auto"/>
              </w:rPr>
            </w:pPr>
            <w:r>
              <w:rPr>
                <w:rFonts w:ascii="Arial" w:cs="Arial" w:eastAsia="Arial" w:hAnsi="Arial"/>
                <w:sz w:val="15"/>
                <w:szCs w:val="15"/>
                <w:color w:val="auto"/>
              </w:rPr>
              <w:t>112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ind w:right="8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20"/>
        </w:trPr>
        <w:tc>
          <w:tcPr>
            <w:tcW w:w="3060" w:type="dxa"/>
            <w:vAlign w:val="bottom"/>
            <w:shd w:val="clear" w:color="auto" w:fill="CCEEFF"/>
          </w:tcPr>
          <w:p>
            <w:pPr>
              <w:ind w:left="20"/>
              <w:spacing w:after="0"/>
              <w:rPr>
                <w:sz w:val="20"/>
                <w:szCs w:val="20"/>
                <w:color w:val="auto"/>
              </w:rPr>
            </w:pPr>
            <w:r>
              <w:rPr>
                <w:rFonts w:ascii="Arial" w:cs="Arial" w:eastAsia="Arial" w:hAnsi="Arial"/>
                <w:sz w:val="15"/>
                <w:szCs w:val="15"/>
                <w:color w:val="auto"/>
              </w:rPr>
              <w:t>Conversion of Series A-4 preferred stock</w:t>
            </w: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(337)</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w:t>
            </w:r>
          </w:p>
        </w:tc>
        <w:tc>
          <w:tcPr>
            <w:tcW w:w="9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337</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337</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12"/>
        </w:trPr>
        <w:tc>
          <w:tcPr>
            <w:tcW w:w="3060" w:type="dxa"/>
            <w:vAlign w:val="bottom"/>
          </w:tcPr>
          <w:p>
            <w:pPr>
              <w:ind w:left="20"/>
              <w:spacing w:after="0"/>
              <w:rPr>
                <w:sz w:val="20"/>
                <w:szCs w:val="20"/>
                <w:color w:val="auto"/>
              </w:rPr>
            </w:pPr>
            <w:r>
              <w:rPr>
                <w:rFonts w:ascii="Arial" w:cs="Arial" w:eastAsia="Arial" w:hAnsi="Arial"/>
                <w:sz w:val="15"/>
                <w:szCs w:val="15"/>
                <w:color w:val="auto"/>
              </w:rPr>
              <w:t>Equity Interests - NG Sun LLC</w:t>
            </w:r>
          </w:p>
        </w:tc>
        <w:tc>
          <w:tcPr>
            <w:tcW w:w="100" w:type="dxa"/>
            <w:vAlign w:val="bottom"/>
          </w:tcPr>
          <w:p>
            <w:pPr>
              <w:spacing w:after="0"/>
              <w:rPr>
                <w:sz w:val="18"/>
                <w:szCs w:val="18"/>
                <w:color w:val="auto"/>
              </w:rPr>
            </w:pPr>
          </w:p>
        </w:tc>
        <w:tc>
          <w:tcPr>
            <w:tcW w:w="820" w:type="dxa"/>
            <w:vAlign w:val="bottom"/>
          </w:tcPr>
          <w:p>
            <w:pPr>
              <w:jc w:val="right"/>
              <w:ind w:right="64"/>
              <w:spacing w:after="0"/>
              <w:rPr>
                <w:sz w:val="20"/>
                <w:szCs w:val="20"/>
                <w:color w:val="auto"/>
              </w:rPr>
            </w:pPr>
            <w:r>
              <w:rPr>
                <w:rFonts w:ascii="Arial" w:cs="Arial" w:eastAsia="Arial" w:hAnsi="Arial"/>
                <w:sz w:val="15"/>
                <w:szCs w:val="15"/>
                <w:color w:val="auto"/>
              </w:rPr>
              <w:t>117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ind w:right="24"/>
              <w:spacing w:after="0"/>
              <w:rPr>
                <w:sz w:val="20"/>
                <w:szCs w:val="20"/>
                <w:color w:val="auto"/>
              </w:rPr>
            </w:pPr>
            <w:r>
              <w:rPr>
                <w:rFonts w:ascii="Arial" w:cs="Arial" w:eastAsia="Arial" w:hAnsi="Arial"/>
                <w:sz w:val="15"/>
                <w:szCs w:val="15"/>
                <w:color w:val="auto"/>
              </w:rPr>
              <w:t>—</w:t>
            </w:r>
          </w:p>
        </w:tc>
        <w:tc>
          <w:tcPr>
            <w:tcW w:w="900" w:type="dxa"/>
            <w:vAlign w:val="bottom"/>
          </w:tcPr>
          <w:p>
            <w:pPr>
              <w:jc w:val="right"/>
              <w:ind w:right="24"/>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8"/>
                <w:szCs w:val="18"/>
                <w:color w:val="auto"/>
              </w:rPr>
            </w:pPr>
          </w:p>
        </w:tc>
        <w:tc>
          <w:tcPr>
            <w:tcW w:w="940" w:type="dxa"/>
            <w:vAlign w:val="bottom"/>
          </w:tcPr>
          <w:p>
            <w:pPr>
              <w:jc w:val="right"/>
              <w:ind w:right="24"/>
              <w:spacing w:after="0"/>
              <w:rPr>
                <w:sz w:val="20"/>
                <w:szCs w:val="20"/>
                <w:color w:val="auto"/>
              </w:rPr>
            </w:pPr>
            <w:r>
              <w:rPr>
                <w:rFonts w:ascii="Arial" w:cs="Arial" w:eastAsia="Arial" w:hAnsi="Arial"/>
                <w:sz w:val="15"/>
                <w:szCs w:val="15"/>
                <w:color w:val="auto"/>
              </w:rPr>
              <w:t>(308)</w:t>
            </w:r>
          </w:p>
        </w:tc>
        <w:tc>
          <w:tcPr>
            <w:tcW w:w="120" w:type="dxa"/>
            <w:vAlign w:val="bottom"/>
          </w:tcPr>
          <w:p>
            <w:pPr>
              <w:spacing w:after="0"/>
              <w:rPr>
                <w:sz w:val="18"/>
                <w:szCs w:val="18"/>
                <w:color w:val="auto"/>
              </w:rPr>
            </w:pPr>
          </w:p>
        </w:tc>
        <w:tc>
          <w:tcPr>
            <w:tcW w:w="1140" w:type="dxa"/>
            <w:vAlign w:val="bottom"/>
          </w:tcPr>
          <w:p>
            <w:pPr>
              <w:jc w:val="right"/>
              <w:ind w:right="64"/>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8"/>
                <w:szCs w:val="18"/>
                <w:color w:val="auto"/>
              </w:rPr>
            </w:pPr>
          </w:p>
        </w:tc>
        <w:tc>
          <w:tcPr>
            <w:tcW w:w="760" w:type="dxa"/>
            <w:vAlign w:val="bottom"/>
          </w:tcPr>
          <w:p>
            <w:pPr>
              <w:jc w:val="right"/>
              <w:ind w:right="24"/>
              <w:spacing w:after="0"/>
              <w:rPr>
                <w:sz w:val="20"/>
                <w:szCs w:val="20"/>
                <w:color w:val="auto"/>
              </w:rPr>
            </w:pPr>
            <w:r>
              <w:rPr>
                <w:rFonts w:ascii="Arial" w:cs="Arial" w:eastAsia="Arial" w:hAnsi="Arial"/>
                <w:sz w:val="15"/>
                <w:szCs w:val="15"/>
                <w:color w:val="auto"/>
              </w:rPr>
              <w:t>191</w:t>
            </w:r>
          </w:p>
        </w:tc>
        <w:tc>
          <w:tcPr>
            <w:tcW w:w="160" w:type="dxa"/>
            <w:vAlign w:val="bottom"/>
          </w:tcPr>
          <w:p>
            <w:pPr>
              <w:spacing w:after="0"/>
              <w:rPr>
                <w:sz w:val="18"/>
                <w:szCs w:val="18"/>
                <w:color w:val="auto"/>
              </w:rPr>
            </w:pPr>
          </w:p>
        </w:tc>
        <w:tc>
          <w:tcPr>
            <w:tcW w:w="980" w:type="dxa"/>
            <w:vAlign w:val="bottom"/>
          </w:tcPr>
          <w:p>
            <w:pPr>
              <w:jc w:val="right"/>
              <w:ind w:right="24"/>
              <w:spacing w:after="0"/>
              <w:rPr>
                <w:sz w:val="20"/>
                <w:szCs w:val="20"/>
                <w:color w:val="auto"/>
              </w:rPr>
            </w:pPr>
            <w:r>
              <w:rPr>
                <w:rFonts w:ascii="Arial" w:cs="Arial" w:eastAsia="Arial" w:hAnsi="Arial"/>
                <w:sz w:val="15"/>
                <w:szCs w:val="15"/>
                <w:color w:val="auto"/>
              </w:rPr>
              <w:t>(117)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ind w:right="8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0"/>
        </w:trPr>
        <w:tc>
          <w:tcPr>
            <w:tcW w:w="3060" w:type="dxa"/>
            <w:vAlign w:val="bottom"/>
            <w:shd w:val="clear" w:color="auto" w:fill="CCEEFF"/>
          </w:tcPr>
          <w:p>
            <w:pPr>
              <w:ind w:left="20"/>
              <w:spacing w:after="0"/>
              <w:rPr>
                <w:sz w:val="20"/>
                <w:szCs w:val="20"/>
                <w:color w:val="auto"/>
              </w:rPr>
            </w:pPr>
            <w:r>
              <w:rPr>
                <w:rFonts w:ascii="Arial" w:cs="Arial" w:eastAsia="Arial" w:hAnsi="Arial"/>
                <w:sz w:val="15"/>
                <w:szCs w:val="15"/>
                <w:color w:val="auto"/>
                <w:w w:val="98"/>
              </w:rPr>
              <w:t>Share-based compensation - amortization and</w:t>
            </w: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3060" w:type="dxa"/>
            <w:vAlign w:val="bottom"/>
            <w:shd w:val="clear" w:color="auto" w:fill="CCEEFF"/>
          </w:tcPr>
          <w:p>
            <w:pPr>
              <w:ind w:left="20"/>
              <w:spacing w:after="0"/>
              <w:rPr>
                <w:sz w:val="20"/>
                <w:szCs w:val="20"/>
                <w:color w:val="auto"/>
              </w:rPr>
            </w:pPr>
            <w:r>
              <w:rPr>
                <w:rFonts w:ascii="Arial" w:cs="Arial" w:eastAsia="Arial" w:hAnsi="Arial"/>
                <w:sz w:val="15"/>
                <w:szCs w:val="15"/>
                <w:color w:val="auto"/>
              </w:rPr>
              <w:t>forfeitures</w:t>
            </w:r>
          </w:p>
        </w:tc>
        <w:tc>
          <w:tcPr>
            <w:tcW w:w="1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w:t>
            </w:r>
          </w:p>
        </w:tc>
        <w:tc>
          <w:tcPr>
            <w:tcW w:w="9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4,414</w:t>
            </w: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84</w:t>
            </w: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4,498</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rPr>
              <w:t>4,498</w:t>
            </w:r>
          </w:p>
        </w:tc>
        <w:tc>
          <w:tcPr>
            <w:tcW w:w="0" w:type="dxa"/>
            <w:vAlign w:val="bottom"/>
          </w:tcPr>
          <w:p>
            <w:pPr>
              <w:spacing w:after="0"/>
              <w:rPr>
                <w:sz w:val="1"/>
                <w:szCs w:val="1"/>
                <w:color w:val="auto"/>
              </w:rPr>
            </w:pPr>
          </w:p>
        </w:tc>
      </w:tr>
      <w:tr>
        <w:trPr>
          <w:trHeight w:val="212"/>
        </w:trPr>
        <w:tc>
          <w:tcPr>
            <w:tcW w:w="3060" w:type="dxa"/>
            <w:vAlign w:val="bottom"/>
          </w:tcPr>
          <w:p>
            <w:pPr>
              <w:ind w:left="20"/>
              <w:spacing w:after="0"/>
              <w:rPr>
                <w:sz w:val="20"/>
                <w:szCs w:val="20"/>
                <w:color w:val="auto"/>
              </w:rPr>
            </w:pPr>
            <w:r>
              <w:rPr>
                <w:rFonts w:ascii="Arial" w:cs="Arial" w:eastAsia="Arial" w:hAnsi="Arial"/>
                <w:sz w:val="15"/>
                <w:szCs w:val="15"/>
                <w:color w:val="auto"/>
              </w:rPr>
              <w:t>Foreign currency translation</w:t>
            </w:r>
          </w:p>
        </w:tc>
        <w:tc>
          <w:tcPr>
            <w:tcW w:w="100" w:type="dxa"/>
            <w:vAlign w:val="bottom"/>
          </w:tcPr>
          <w:p>
            <w:pPr>
              <w:spacing w:after="0"/>
              <w:rPr>
                <w:sz w:val="18"/>
                <w:szCs w:val="18"/>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8"/>
                <w:szCs w:val="18"/>
                <w:color w:val="auto"/>
              </w:rPr>
            </w:pPr>
          </w:p>
        </w:tc>
        <w:tc>
          <w:tcPr>
            <w:tcW w:w="640" w:type="dxa"/>
            <w:vAlign w:val="bottom"/>
          </w:tcPr>
          <w:p>
            <w:pPr>
              <w:jc w:val="right"/>
              <w:ind w:right="24"/>
              <w:spacing w:after="0"/>
              <w:rPr>
                <w:sz w:val="20"/>
                <w:szCs w:val="20"/>
                <w:color w:val="auto"/>
              </w:rPr>
            </w:pPr>
            <w:r>
              <w:rPr>
                <w:rFonts w:ascii="Arial" w:cs="Arial" w:eastAsia="Arial" w:hAnsi="Arial"/>
                <w:sz w:val="15"/>
                <w:szCs w:val="15"/>
                <w:color w:val="auto"/>
              </w:rPr>
              <w:t>—</w:t>
            </w:r>
          </w:p>
        </w:tc>
        <w:tc>
          <w:tcPr>
            <w:tcW w:w="900" w:type="dxa"/>
            <w:vAlign w:val="bottom"/>
          </w:tcPr>
          <w:p>
            <w:pPr>
              <w:jc w:val="right"/>
              <w:ind w:right="24"/>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8"/>
                <w:szCs w:val="18"/>
                <w:color w:val="auto"/>
              </w:rPr>
            </w:pPr>
          </w:p>
        </w:tc>
        <w:tc>
          <w:tcPr>
            <w:tcW w:w="940" w:type="dxa"/>
            <w:vAlign w:val="bottom"/>
          </w:tcPr>
          <w:p>
            <w:pPr>
              <w:jc w:val="right"/>
              <w:ind w:right="64"/>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8"/>
                <w:szCs w:val="18"/>
                <w:color w:val="auto"/>
              </w:rPr>
            </w:pPr>
          </w:p>
        </w:tc>
        <w:tc>
          <w:tcPr>
            <w:tcW w:w="1140" w:type="dxa"/>
            <w:vAlign w:val="bottom"/>
          </w:tcPr>
          <w:p>
            <w:pPr>
              <w:jc w:val="right"/>
              <w:ind w:right="64"/>
              <w:spacing w:after="0"/>
              <w:rPr>
                <w:sz w:val="20"/>
                <w:szCs w:val="20"/>
                <w:color w:val="auto"/>
              </w:rPr>
            </w:pPr>
            <w:r>
              <w:rPr>
                <w:rFonts w:ascii="Arial" w:cs="Arial" w:eastAsia="Arial" w:hAnsi="Arial"/>
                <w:sz w:val="15"/>
                <w:szCs w:val="15"/>
                <w:color w:val="auto"/>
              </w:rPr>
              <w:t>1,822</w:t>
            </w:r>
          </w:p>
        </w:tc>
        <w:tc>
          <w:tcPr>
            <w:tcW w:w="120" w:type="dxa"/>
            <w:vAlign w:val="bottom"/>
          </w:tcPr>
          <w:p>
            <w:pPr>
              <w:spacing w:after="0"/>
              <w:rPr>
                <w:sz w:val="18"/>
                <w:szCs w:val="18"/>
                <w:color w:val="auto"/>
              </w:rPr>
            </w:pPr>
          </w:p>
        </w:tc>
        <w:tc>
          <w:tcPr>
            <w:tcW w:w="760" w:type="dxa"/>
            <w:vAlign w:val="bottom"/>
          </w:tcPr>
          <w:p>
            <w:pPr>
              <w:jc w:val="right"/>
              <w:ind w:right="24"/>
              <w:spacing w:after="0"/>
              <w:rPr>
                <w:sz w:val="20"/>
                <w:szCs w:val="20"/>
                <w:color w:val="auto"/>
              </w:rPr>
            </w:pPr>
            <w:r>
              <w:rPr>
                <w:rFonts w:ascii="Arial" w:cs="Arial" w:eastAsia="Arial" w:hAnsi="Arial"/>
                <w:sz w:val="15"/>
                <w:szCs w:val="15"/>
                <w:color w:val="auto"/>
              </w:rPr>
              <w:t>91</w:t>
            </w:r>
          </w:p>
        </w:tc>
        <w:tc>
          <w:tcPr>
            <w:tcW w:w="160" w:type="dxa"/>
            <w:vAlign w:val="bottom"/>
          </w:tcPr>
          <w:p>
            <w:pPr>
              <w:spacing w:after="0"/>
              <w:rPr>
                <w:sz w:val="18"/>
                <w:szCs w:val="18"/>
                <w:color w:val="auto"/>
              </w:rPr>
            </w:pPr>
          </w:p>
        </w:tc>
        <w:tc>
          <w:tcPr>
            <w:tcW w:w="980" w:type="dxa"/>
            <w:vAlign w:val="bottom"/>
          </w:tcPr>
          <w:p>
            <w:pPr>
              <w:jc w:val="right"/>
              <w:ind w:right="64"/>
              <w:spacing w:after="0"/>
              <w:rPr>
                <w:sz w:val="20"/>
                <w:szCs w:val="20"/>
                <w:color w:val="auto"/>
              </w:rPr>
            </w:pPr>
            <w:r>
              <w:rPr>
                <w:rFonts w:ascii="Arial" w:cs="Arial" w:eastAsia="Arial" w:hAnsi="Arial"/>
                <w:sz w:val="15"/>
                <w:szCs w:val="15"/>
                <w:color w:val="auto"/>
              </w:rPr>
              <w:t>1,913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ind w:right="84"/>
              <w:spacing w:after="0"/>
              <w:rPr>
                <w:sz w:val="20"/>
                <w:szCs w:val="20"/>
                <w:color w:val="auto"/>
              </w:rPr>
            </w:pPr>
            <w:r>
              <w:rPr>
                <w:rFonts w:ascii="Arial" w:cs="Arial" w:eastAsia="Arial" w:hAnsi="Arial"/>
                <w:sz w:val="15"/>
                <w:szCs w:val="15"/>
                <w:color w:val="auto"/>
              </w:rPr>
              <w:t>1,913</w:t>
            </w:r>
          </w:p>
        </w:tc>
        <w:tc>
          <w:tcPr>
            <w:tcW w:w="0" w:type="dxa"/>
            <w:vAlign w:val="bottom"/>
          </w:tcPr>
          <w:p>
            <w:pPr>
              <w:spacing w:after="0"/>
              <w:rPr>
                <w:sz w:val="1"/>
                <w:szCs w:val="1"/>
                <w:color w:val="auto"/>
              </w:rPr>
            </w:pPr>
          </w:p>
        </w:tc>
      </w:tr>
      <w:tr>
        <w:trPr>
          <w:trHeight w:val="220"/>
        </w:trPr>
        <w:tc>
          <w:tcPr>
            <w:tcW w:w="3060" w:type="dxa"/>
            <w:vAlign w:val="bottom"/>
            <w:shd w:val="clear" w:color="auto" w:fill="CCEEFF"/>
          </w:tcPr>
          <w:p>
            <w:pPr>
              <w:ind w:left="20"/>
              <w:spacing w:after="0"/>
              <w:rPr>
                <w:sz w:val="20"/>
                <w:szCs w:val="20"/>
                <w:color w:val="auto"/>
              </w:rPr>
            </w:pPr>
            <w:r>
              <w:rPr>
                <w:rFonts w:ascii="Arial" w:cs="Arial" w:eastAsia="Arial" w:hAnsi="Arial"/>
                <w:sz w:val="15"/>
                <w:szCs w:val="15"/>
                <w:color w:val="auto"/>
              </w:rPr>
              <w:t>Net income</w:t>
            </w: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15</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w:t>
            </w:r>
          </w:p>
        </w:tc>
        <w:tc>
          <w:tcPr>
            <w:tcW w:w="9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42,531</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2,570</w:t>
            </w: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45,101</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rPr>
              <w:t>45,116</w:t>
            </w:r>
          </w:p>
        </w:tc>
        <w:tc>
          <w:tcPr>
            <w:tcW w:w="0" w:type="dxa"/>
            <w:vAlign w:val="bottom"/>
          </w:tcPr>
          <w:p>
            <w:pPr>
              <w:spacing w:after="0"/>
              <w:rPr>
                <w:sz w:val="1"/>
                <w:szCs w:val="1"/>
                <w:color w:val="auto"/>
              </w:rPr>
            </w:pPr>
          </w:p>
        </w:tc>
      </w:tr>
      <w:tr>
        <w:trPr>
          <w:trHeight w:val="212"/>
        </w:trPr>
        <w:tc>
          <w:tcPr>
            <w:tcW w:w="306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Distributions</w:t>
            </w: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(558)</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(15)</w:t>
            </w: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(68,494)</w:t>
            </w: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color w:val="auto"/>
              </w:rPr>
              <w:t>—</w:t>
            </w: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(2,642)</w:t>
            </w: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(71,151)</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(71,709)</w:t>
            </w:r>
          </w:p>
        </w:tc>
        <w:tc>
          <w:tcPr>
            <w:tcW w:w="0" w:type="dxa"/>
            <w:vAlign w:val="bottom"/>
          </w:tcPr>
          <w:p>
            <w:pPr>
              <w:spacing w:after="0"/>
              <w:rPr>
                <w:sz w:val="1"/>
                <w:szCs w:val="1"/>
                <w:color w:val="auto"/>
              </w:rPr>
            </w:pPr>
          </w:p>
        </w:tc>
      </w:tr>
      <w:tr>
        <w:trPr>
          <w:trHeight w:val="239"/>
        </w:trPr>
        <w:tc>
          <w:tcPr>
            <w:tcW w:w="3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Balance at June 30, 2019</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820" w:type="dxa"/>
            <w:vAlign w:val="bottom"/>
            <w:tcBorders>
              <w:bottom w:val="single" w:sz="8" w:color="auto"/>
            </w:tcBorders>
            <w:shd w:val="clear" w:color="auto" w:fill="CCEEFF"/>
          </w:tcPr>
          <w:p>
            <w:pPr>
              <w:jc w:val="right"/>
              <w:ind w:right="64"/>
              <w:spacing w:after="0"/>
              <w:rPr>
                <w:sz w:val="20"/>
                <w:szCs w:val="20"/>
                <w:color w:val="auto"/>
              </w:rPr>
            </w:pPr>
            <w:r>
              <w:rPr>
                <w:rFonts w:ascii="Arial" w:cs="Arial" w:eastAsia="Arial" w:hAnsi="Arial"/>
                <w:sz w:val="15"/>
                <w:szCs w:val="15"/>
                <w:color w:val="auto"/>
              </w:rPr>
              <w:t>114,553</w:t>
            </w:r>
          </w:p>
        </w:tc>
        <w:tc>
          <w:tcPr>
            <w:tcW w:w="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64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rPr>
              <w:t>907</w:t>
            </w:r>
          </w:p>
        </w:tc>
        <w:tc>
          <w:tcPr>
            <w:tcW w:w="90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w w:val="98"/>
              </w:rPr>
              <w:t>$ 4,851,323</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94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rPr>
              <w:t>(1,343,792)</w:t>
            </w:r>
          </w:p>
        </w:tc>
        <w:tc>
          <w:tcPr>
            <w:tcW w:w="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w w:val="95"/>
              </w:rPr>
              <w:t>$</w:t>
            </w:r>
          </w:p>
        </w:tc>
        <w:tc>
          <w:tcPr>
            <w:tcW w:w="114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rPr>
              <w:t>(1,184)</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76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rPr>
              <w:t>58,089</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980" w:type="dxa"/>
            <w:vAlign w:val="bottom"/>
            <w:tcBorders>
              <w:bottom w:val="single" w:sz="8" w:color="auto"/>
            </w:tcBorders>
            <w:shd w:val="clear" w:color="auto" w:fill="CCEEFF"/>
          </w:tcPr>
          <w:p>
            <w:pPr>
              <w:jc w:val="right"/>
              <w:ind w:right="64"/>
              <w:spacing w:after="0"/>
              <w:rPr>
                <w:sz w:val="20"/>
                <w:szCs w:val="20"/>
                <w:color w:val="auto"/>
              </w:rPr>
            </w:pPr>
            <w:r>
              <w:rPr>
                <w:rFonts w:ascii="Arial" w:cs="Arial" w:eastAsia="Arial" w:hAnsi="Arial"/>
                <w:sz w:val="15"/>
                <w:szCs w:val="15"/>
                <w:color w:val="auto"/>
              </w:rPr>
              <w:t>3,565,343</w:t>
            </w:r>
          </w:p>
        </w:tc>
        <w:tc>
          <w:tcPr>
            <w:tcW w:w="1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ind w:right="84"/>
              <w:spacing w:after="0"/>
              <w:rPr>
                <w:sz w:val="20"/>
                <w:szCs w:val="20"/>
                <w:color w:val="auto"/>
              </w:rPr>
            </w:pPr>
            <w:r>
              <w:rPr>
                <w:rFonts w:ascii="Arial" w:cs="Arial" w:eastAsia="Arial" w:hAnsi="Arial"/>
                <w:sz w:val="15"/>
                <w:szCs w:val="15"/>
                <w:color w:val="auto"/>
                <w:w w:val="95"/>
              </w:rPr>
              <w:t>3,679,896</w:t>
            </w:r>
          </w:p>
        </w:tc>
        <w:tc>
          <w:tcPr>
            <w:tcW w:w="0" w:type="dxa"/>
            <w:vAlign w:val="bottom"/>
          </w:tcPr>
          <w:p>
            <w:pPr>
              <w:spacing w:after="0"/>
              <w:rPr>
                <w:sz w:val="1"/>
                <w:szCs w:val="1"/>
                <w:color w:val="auto"/>
              </w:rPr>
            </w:pPr>
          </w:p>
        </w:tc>
      </w:tr>
      <w:tr>
        <w:trPr>
          <w:trHeight w:val="20"/>
        </w:trPr>
        <w:tc>
          <w:tcPr>
            <w:tcW w:w="30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6"/>
          <w:szCs w:val="16"/>
          <w:b w:val="1"/>
          <w:bCs w:val="1"/>
          <w:color w:val="auto"/>
        </w:rPr>
        <w:t>SUN COMMUNITIES, INC.</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350" w:lineRule="exact"/>
        <w:rPr>
          <w:sz w:val="20"/>
          <w:szCs w:val="20"/>
          <w:color w:val="auto"/>
        </w:rPr>
      </w:pPr>
    </w:p>
    <w:p>
      <w:pPr>
        <w:ind w:left="420" w:hanging="412"/>
        <w:spacing w:after="0"/>
        <w:tabs>
          <w:tab w:leader="none" w:pos="42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w:t>
      </w:r>
    </w:p>
    <w:p>
      <w:pPr>
        <w:spacing w:after="0" w:line="25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Sun Communities, Inc., a Maryland corporation, and all wholly-owned or majority-owned and controlled subsidiaries, including Sun Communities Operating Limited Partnership (the “Operating Partnership”) and Sun Home Services, Inc. (“SHS”) are referred to herein as the “Company,” “us,” “we,” and “our.”</w:t>
      </w:r>
    </w:p>
    <w:p>
      <w:pPr>
        <w:spacing w:after="0" w:line="21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follow accounting standards set by the Financial Accounting Standards Board (“FASB”). FASB establishes accounting principles generally accepted in the United States of America (“GAAP”), which we follow to ensure that we consistently report our financial condition, results of operations, and cash flows. References to GAAP issued by the FASB in these footnotes are to the FASB Accounting Standards Codification (“ASC”).</w:t>
      </w:r>
    </w:p>
    <w:p>
      <w:pPr>
        <w:spacing w:after="0" w:line="19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These unaudited Consolidated Financial Statements have been prepared pursuant to the rules and regulations of the Securities and Exchange Commission (“SEC”) for interim financial information and in accordance with GAAP. We present interim disclosures and certain information and footnote disclosures as required by SEC rules and regulations. Accordingly, the unaudited Consolidated Financial Statements do not include all of the information and footnotes required by GAAP for complete financial statements. The accompanying unaudited Consolidated Financial Statements reflect, in the opinion of management, all adjustments, including adjustments of a normal and recurring nature, necessary for a fair presentation of the interim financial statements. All intercompany transactions have been eliminated in consolidation. Certain reclassifications have been made to prior period financial statements in order to conform to current period presentation.</w:t>
      </w:r>
    </w:p>
    <w:p>
      <w:pPr>
        <w:spacing w:after="0" w:line="204"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Estimates inherent in the current financial reporting process inevitably involve assumptions about future events. Since December 2019, a novel strain of coronavirus, referred to as the COVID-19 virus, has spread to countries in which we operate. COVID-19 has become a global pandemic. Commencing in March 2020, authorities in jurisdictions where our properties are located have issued restrictions on travel and the types of businesses that may continue to operate. Our property site count consists of 66 percent manufactured housing (“MH”) for residents and 34 percent recreational vehicle (“RV”) for guests. All of our RV resorts are now open, however government regulations may limit the amenities available at any given park. The extent and duration of the travel and business restrictions will have an effect on estimates used in the preparation of financial statements. This includes the net operating income (“NOI”) assumptions in our long-lived asset impairment testing, the ultimate collectability of rent payments from residents and guests due to the effects of COVID-19 on their financial position, and fair value measurement changes for financial assets that we have elected to measure at fair value.</w:t>
      </w:r>
    </w:p>
    <w:p>
      <w:pPr>
        <w:spacing w:after="0" w:line="192"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results of operations for interim periods are not necessarily indicative of results that may be expected for any other interim period or for the full year. These unaudited Consolidated Financial Statements should be read in conjunction with the Consolidated Financial Statements and notes thereto included in our Annual Report on Form 10-K for the year ended December 31, 2019 as filed with the SEC on February 20, 2020 (the “2019 Annual Report”). These statements have been prepared on a basis that is substantially consistent with the accounting principles applied in our 2019 Annual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16"/>
          <w:szCs w:val="16"/>
          <w:b w:val="1"/>
          <w:bCs w:val="1"/>
          <w:color w:val="auto"/>
        </w:rPr>
        <w:t>SUN COMMUNITIES, INC.</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 -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307" w:lineRule="exact"/>
        <w:rPr>
          <w:sz w:val="20"/>
          <w:szCs w:val="20"/>
          <w:color w:val="auto"/>
        </w:rPr>
      </w:pPr>
    </w:p>
    <w:p>
      <w:pPr>
        <w:ind w:right="9260" w:firstLine="8"/>
        <w:spacing w:after="0" w:line="347" w:lineRule="auto"/>
        <w:tabs>
          <w:tab w:leader="none" w:pos="180" w:val="left"/>
        </w:tabs>
        <w:numPr>
          <w:ilvl w:val="0"/>
          <w:numId w:val="4"/>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Revenue </w:t>
      </w:r>
      <w:r>
        <w:rPr>
          <w:rFonts w:ascii="Arial" w:cs="Arial" w:eastAsia="Arial" w:hAnsi="Arial"/>
          <w:sz w:val="16"/>
          <w:szCs w:val="16"/>
          <w:i w:val="1"/>
          <w:iCs w:val="1"/>
          <w:color w:val="auto"/>
        </w:rPr>
        <w:t>Disaggregation of Revenue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details our revenue by major source (in thousands):</w:t>
      </w:r>
    </w:p>
    <w:p>
      <w:pPr>
        <w:spacing w:after="0" w:line="303" w:lineRule="exact"/>
        <w:rPr>
          <w:sz w:val="20"/>
          <w:szCs w:val="20"/>
          <w:color w:val="auto"/>
        </w:rPr>
      </w:pPr>
    </w:p>
    <w:tbl>
      <w:tblPr>
        <w:tblLayout w:type="fixed"/>
        <w:tblInd w:w="40" w:type="dxa"/>
        <w:tblCellMar>
          <w:top w:w="0" w:type="dxa"/>
          <w:left w:w="0" w:type="dxa"/>
          <w:bottom w:w="0" w:type="dxa"/>
          <w:right w:w="0" w:type="dxa"/>
        </w:tblCellMar>
      </w:tblPr>
      <w:tr>
        <w:trPr>
          <w:trHeight w:val="202"/>
        </w:trPr>
        <w:tc>
          <w:tcPr>
            <w:tcW w:w="3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580" w:type="dxa"/>
            <w:vAlign w:val="bottom"/>
            <w:tcBorders>
              <w:bottom w:val="single" w:sz="8" w:color="auto"/>
            </w:tcBorders>
            <w:gridSpan w:val="6"/>
          </w:tcPr>
          <w:p>
            <w:pPr>
              <w:jc w:val="center"/>
              <w:ind w:right="300"/>
              <w:spacing w:after="0"/>
              <w:rPr>
                <w:sz w:val="20"/>
                <w:szCs w:val="20"/>
                <w:color w:val="auto"/>
              </w:rPr>
            </w:pPr>
            <w:r>
              <w:rPr>
                <w:rFonts w:ascii="Arial" w:cs="Arial" w:eastAsia="Arial" w:hAnsi="Arial"/>
                <w:sz w:val="15"/>
                <w:szCs w:val="15"/>
                <w:b w:val="1"/>
                <w:bCs w:val="1"/>
                <w:color w:val="auto"/>
                <w:w w:val="94"/>
              </w:rPr>
              <w:t>Three Months Ended</w:t>
            </w:r>
          </w:p>
        </w:tc>
        <w:tc>
          <w:tcPr>
            <w:tcW w:w="1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r>
      <w:tr>
        <w:trPr>
          <w:trHeight w:val="209"/>
        </w:trPr>
        <w:tc>
          <w:tcPr>
            <w:tcW w:w="3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gridSpan w:val="5"/>
          </w:tcPr>
          <w:p>
            <w:pPr>
              <w:ind w:left="60"/>
              <w:spacing w:after="0"/>
              <w:rPr>
                <w:sz w:val="20"/>
                <w:szCs w:val="20"/>
                <w:color w:val="auto"/>
              </w:rPr>
            </w:pPr>
            <w:r>
              <w:rPr>
                <w:rFonts w:ascii="Arial" w:cs="Arial" w:eastAsia="Arial" w:hAnsi="Arial"/>
                <w:sz w:val="15"/>
                <w:szCs w:val="15"/>
                <w:b w:val="1"/>
                <w:bCs w:val="1"/>
                <w:color w:val="auto"/>
              </w:rPr>
              <w:t>June 30, 2020</w:t>
            </w:r>
          </w:p>
        </w:tc>
        <w:tc>
          <w:tcPr>
            <w:tcW w:w="1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gridSpan w:val="3"/>
          </w:tcPr>
          <w:p>
            <w:pPr>
              <w:ind w:left="20"/>
              <w:spacing w:after="0"/>
              <w:rPr>
                <w:sz w:val="20"/>
                <w:szCs w:val="20"/>
                <w:color w:val="auto"/>
              </w:rPr>
            </w:pPr>
            <w:r>
              <w:rPr>
                <w:rFonts w:ascii="Arial" w:cs="Arial" w:eastAsia="Arial" w:hAnsi="Arial"/>
                <w:sz w:val="15"/>
                <w:szCs w:val="15"/>
                <w:b w:val="1"/>
                <w:bCs w:val="1"/>
                <w:color w:val="auto"/>
              </w:rPr>
              <w:t>June 30, 2019</w:t>
            </w: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r>
      <w:tr>
        <w:trPr>
          <w:trHeight w:val="169"/>
        </w:trPr>
        <w:tc>
          <w:tcPr>
            <w:tcW w:w="3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3"/>
          </w:tcPr>
          <w:p>
            <w:pPr>
              <w:jc w:val="center"/>
              <w:ind w:right="220"/>
              <w:spacing w:after="0" w:line="169" w:lineRule="exact"/>
              <w:rPr>
                <w:sz w:val="20"/>
                <w:szCs w:val="20"/>
                <w:color w:val="auto"/>
              </w:rPr>
            </w:pPr>
            <w:r>
              <w:rPr>
                <w:rFonts w:ascii="Arial" w:cs="Arial" w:eastAsia="Arial" w:hAnsi="Arial"/>
                <w:sz w:val="15"/>
                <w:szCs w:val="15"/>
                <w:b w:val="1"/>
                <w:bCs w:val="1"/>
                <w:color w:val="auto"/>
                <w:w w:val="94"/>
              </w:rPr>
              <w:t>Real Property</w:t>
            </w:r>
          </w:p>
        </w:tc>
        <w:tc>
          <w:tcPr>
            <w:tcW w:w="120" w:type="dxa"/>
            <w:vAlign w:val="bottom"/>
          </w:tcPr>
          <w:p>
            <w:pPr>
              <w:spacing w:after="0"/>
              <w:rPr>
                <w:sz w:val="14"/>
                <w:szCs w:val="14"/>
                <w:color w:val="auto"/>
              </w:rPr>
            </w:pPr>
          </w:p>
        </w:tc>
        <w:tc>
          <w:tcPr>
            <w:tcW w:w="1060" w:type="dxa"/>
            <w:vAlign w:val="bottom"/>
            <w:gridSpan w:val="4"/>
          </w:tcPr>
          <w:p>
            <w:pPr>
              <w:jc w:val="center"/>
              <w:ind w:right="220"/>
              <w:spacing w:after="0" w:line="169" w:lineRule="exact"/>
              <w:rPr>
                <w:sz w:val="20"/>
                <w:szCs w:val="20"/>
                <w:color w:val="auto"/>
              </w:rPr>
            </w:pPr>
            <w:r>
              <w:rPr>
                <w:rFonts w:ascii="Arial" w:cs="Arial" w:eastAsia="Arial" w:hAnsi="Arial"/>
                <w:sz w:val="15"/>
                <w:szCs w:val="15"/>
                <w:b w:val="1"/>
                <w:bCs w:val="1"/>
                <w:color w:val="auto"/>
                <w:w w:val="89"/>
              </w:rPr>
              <w:t>Home Sales</w:t>
            </w: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tcPr>
          <w:p>
            <w:pPr>
              <w:jc w:val="center"/>
              <w:ind w:right="260"/>
              <w:spacing w:after="0" w:line="169" w:lineRule="exact"/>
              <w:rPr>
                <w:sz w:val="20"/>
                <w:szCs w:val="20"/>
                <w:color w:val="auto"/>
              </w:rPr>
            </w:pPr>
            <w:r>
              <w:rPr>
                <w:rFonts w:ascii="Arial" w:cs="Arial" w:eastAsia="Arial" w:hAnsi="Arial"/>
                <w:sz w:val="15"/>
                <w:szCs w:val="15"/>
                <w:b w:val="1"/>
                <w:bCs w:val="1"/>
                <w:color w:val="auto"/>
                <w:w w:val="94"/>
              </w:rPr>
              <w:t>Real Property</w:t>
            </w:r>
          </w:p>
        </w:tc>
        <w:tc>
          <w:tcPr>
            <w:tcW w:w="120" w:type="dxa"/>
            <w:vAlign w:val="bottom"/>
          </w:tcPr>
          <w:p>
            <w:pPr>
              <w:spacing w:after="0"/>
              <w:rPr>
                <w:sz w:val="14"/>
                <w:szCs w:val="14"/>
                <w:color w:val="auto"/>
              </w:rPr>
            </w:pPr>
          </w:p>
        </w:tc>
        <w:tc>
          <w:tcPr>
            <w:tcW w:w="1040" w:type="dxa"/>
            <w:vAlign w:val="bottom"/>
            <w:gridSpan w:val="2"/>
          </w:tcPr>
          <w:p>
            <w:pPr>
              <w:ind w:left="20"/>
              <w:spacing w:after="0" w:line="169" w:lineRule="exact"/>
              <w:rPr>
                <w:sz w:val="20"/>
                <w:szCs w:val="20"/>
                <w:color w:val="auto"/>
              </w:rPr>
            </w:pPr>
            <w:r>
              <w:rPr>
                <w:rFonts w:ascii="Arial" w:cs="Arial" w:eastAsia="Arial" w:hAnsi="Arial"/>
                <w:sz w:val="15"/>
                <w:szCs w:val="15"/>
                <w:b w:val="1"/>
                <w:bCs w:val="1"/>
                <w:color w:val="auto"/>
              </w:rPr>
              <w:t>Home Sales</w:t>
            </w: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200"/>
        </w:trPr>
        <w:tc>
          <w:tcPr>
            <w:tcW w:w="3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3"/>
          </w:tcPr>
          <w:p>
            <w:pPr>
              <w:jc w:val="center"/>
              <w:ind w:right="220"/>
              <w:spacing w:after="0"/>
              <w:rPr>
                <w:sz w:val="20"/>
                <w:szCs w:val="20"/>
                <w:color w:val="auto"/>
              </w:rPr>
            </w:pPr>
            <w:r>
              <w:rPr>
                <w:rFonts w:ascii="Arial" w:cs="Arial" w:eastAsia="Arial" w:hAnsi="Arial"/>
                <w:sz w:val="15"/>
                <w:szCs w:val="15"/>
                <w:b w:val="1"/>
                <w:bCs w:val="1"/>
                <w:color w:val="auto"/>
                <w:w w:val="90"/>
              </w:rPr>
              <w:t>Operations</w:t>
            </w:r>
          </w:p>
        </w:tc>
        <w:tc>
          <w:tcPr>
            <w:tcW w:w="120" w:type="dxa"/>
            <w:vAlign w:val="bottom"/>
          </w:tcPr>
          <w:p>
            <w:pPr>
              <w:spacing w:after="0"/>
              <w:rPr>
                <w:sz w:val="17"/>
                <w:szCs w:val="17"/>
                <w:color w:val="auto"/>
              </w:rPr>
            </w:pPr>
          </w:p>
        </w:tc>
        <w:tc>
          <w:tcPr>
            <w:tcW w:w="1060" w:type="dxa"/>
            <w:vAlign w:val="bottom"/>
            <w:gridSpan w:val="4"/>
          </w:tcPr>
          <w:p>
            <w:pPr>
              <w:jc w:val="center"/>
              <w:ind w:right="240"/>
              <w:spacing w:after="0"/>
              <w:rPr>
                <w:sz w:val="20"/>
                <w:szCs w:val="20"/>
                <w:color w:val="auto"/>
              </w:rPr>
            </w:pPr>
            <w:r>
              <w:rPr>
                <w:rFonts w:ascii="Arial" w:cs="Arial" w:eastAsia="Arial" w:hAnsi="Arial"/>
                <w:sz w:val="15"/>
                <w:szCs w:val="15"/>
                <w:b w:val="1"/>
                <w:bCs w:val="1"/>
                <w:color w:val="auto"/>
                <w:w w:val="91"/>
              </w:rPr>
              <w:t>and Rentals</w:t>
            </w:r>
          </w:p>
        </w:tc>
        <w:tc>
          <w:tcPr>
            <w:tcW w:w="100" w:type="dxa"/>
            <w:vAlign w:val="bottom"/>
          </w:tcPr>
          <w:p>
            <w:pPr>
              <w:spacing w:after="0"/>
              <w:rPr>
                <w:sz w:val="17"/>
                <w:szCs w:val="17"/>
                <w:color w:val="auto"/>
              </w:rPr>
            </w:pPr>
          </w:p>
        </w:tc>
        <w:tc>
          <w:tcPr>
            <w:tcW w:w="1240" w:type="dxa"/>
            <w:vAlign w:val="bottom"/>
            <w:gridSpan w:val="3"/>
          </w:tcPr>
          <w:p>
            <w:pPr>
              <w:ind w:left="20"/>
              <w:spacing w:after="0"/>
              <w:rPr>
                <w:sz w:val="20"/>
                <w:szCs w:val="20"/>
                <w:color w:val="auto"/>
              </w:rPr>
            </w:pPr>
            <w:r>
              <w:rPr>
                <w:rFonts w:ascii="Arial" w:cs="Arial" w:eastAsia="Arial" w:hAnsi="Arial"/>
                <w:sz w:val="15"/>
                <w:szCs w:val="15"/>
                <w:b w:val="1"/>
                <w:bCs w:val="1"/>
                <w:color w:val="auto"/>
              </w:rPr>
              <w:t>Consolidated</w:t>
            </w:r>
          </w:p>
        </w:tc>
        <w:tc>
          <w:tcPr>
            <w:tcW w:w="120" w:type="dxa"/>
            <w:vAlign w:val="bottom"/>
          </w:tcPr>
          <w:p>
            <w:pPr>
              <w:spacing w:after="0"/>
              <w:rPr>
                <w:sz w:val="17"/>
                <w:szCs w:val="17"/>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5"/>
                <w:szCs w:val="15"/>
                <w:b w:val="1"/>
                <w:bCs w:val="1"/>
                <w:color w:val="auto"/>
                <w:w w:val="93"/>
              </w:rPr>
              <w:t>Operations</w:t>
            </w:r>
          </w:p>
        </w:tc>
        <w:tc>
          <w:tcPr>
            <w:tcW w:w="120" w:type="dxa"/>
            <w:vAlign w:val="bottom"/>
          </w:tcPr>
          <w:p>
            <w:pPr>
              <w:spacing w:after="0"/>
              <w:rPr>
                <w:sz w:val="17"/>
                <w:szCs w:val="17"/>
                <w:color w:val="auto"/>
              </w:rPr>
            </w:pPr>
          </w:p>
        </w:tc>
        <w:tc>
          <w:tcPr>
            <w:tcW w:w="1040" w:type="dxa"/>
            <w:vAlign w:val="bottom"/>
            <w:gridSpan w:val="2"/>
          </w:tcPr>
          <w:p>
            <w:pPr>
              <w:ind w:left="20"/>
              <w:spacing w:after="0"/>
              <w:rPr>
                <w:sz w:val="20"/>
                <w:szCs w:val="20"/>
                <w:color w:val="auto"/>
              </w:rPr>
            </w:pPr>
            <w:r>
              <w:rPr>
                <w:rFonts w:ascii="Arial" w:cs="Arial" w:eastAsia="Arial" w:hAnsi="Arial"/>
                <w:sz w:val="15"/>
                <w:szCs w:val="15"/>
                <w:b w:val="1"/>
                <w:bCs w:val="1"/>
                <w:color w:val="auto"/>
              </w:rPr>
              <w:t>and Rentals</w:t>
            </w:r>
          </w:p>
        </w:tc>
        <w:tc>
          <w:tcPr>
            <w:tcW w:w="120" w:type="dxa"/>
            <w:vAlign w:val="bottom"/>
          </w:tcPr>
          <w:p>
            <w:pPr>
              <w:spacing w:after="0"/>
              <w:rPr>
                <w:sz w:val="17"/>
                <w:szCs w:val="17"/>
                <w:color w:val="auto"/>
              </w:rPr>
            </w:pPr>
          </w:p>
        </w:tc>
        <w:tc>
          <w:tcPr>
            <w:tcW w:w="1000" w:type="dxa"/>
            <w:vAlign w:val="bottom"/>
          </w:tcPr>
          <w:p>
            <w:pPr>
              <w:jc w:val="right"/>
              <w:ind w:right="64"/>
              <w:spacing w:after="0"/>
              <w:rPr>
                <w:sz w:val="20"/>
                <w:szCs w:val="20"/>
                <w:color w:val="auto"/>
              </w:rPr>
            </w:pPr>
            <w:r>
              <w:rPr>
                <w:rFonts w:ascii="Arial" w:cs="Arial" w:eastAsia="Arial" w:hAnsi="Arial"/>
                <w:sz w:val="15"/>
                <w:szCs w:val="15"/>
                <w:b w:val="1"/>
                <w:bCs w:val="1"/>
                <w:color w:val="auto"/>
                <w:w w:val="88"/>
              </w:rPr>
              <w:t>Consolidated</w:t>
            </w:r>
          </w:p>
        </w:tc>
      </w:tr>
      <w:tr>
        <w:trPr>
          <w:trHeight w:val="198"/>
        </w:trPr>
        <w:tc>
          <w:tcPr>
            <w:tcW w:w="3760" w:type="dxa"/>
            <w:vAlign w:val="bottom"/>
            <w:gridSpan w:val="2"/>
          </w:tcPr>
          <w:p>
            <w:pPr>
              <w:ind w:left="20"/>
              <w:spacing w:after="0"/>
              <w:rPr>
                <w:sz w:val="20"/>
                <w:szCs w:val="20"/>
                <w:color w:val="auto"/>
              </w:rPr>
            </w:pPr>
            <w:r>
              <w:rPr>
                <w:rFonts w:ascii="Arial" w:cs="Arial" w:eastAsia="Arial" w:hAnsi="Arial"/>
                <w:sz w:val="15"/>
                <w:szCs w:val="15"/>
                <w:b w:val="1"/>
                <w:bCs w:val="1"/>
                <w:color w:val="auto"/>
              </w:rPr>
              <w:t>Revenues</w:t>
            </w:r>
          </w:p>
        </w:tc>
        <w:tc>
          <w:tcPr>
            <w:tcW w:w="10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r>
      <w:tr>
        <w:trPr>
          <w:trHeight w:val="220"/>
        </w:trPr>
        <w:tc>
          <w:tcPr>
            <w:tcW w:w="3760" w:type="dxa"/>
            <w:vAlign w:val="bottom"/>
            <w:gridSpan w:val="2"/>
            <w:shd w:val="clear" w:color="auto" w:fill="CCEEFF"/>
          </w:tcPr>
          <w:p>
            <w:pPr>
              <w:ind w:left="200"/>
              <w:spacing w:after="0"/>
              <w:rPr>
                <w:sz w:val="20"/>
                <w:szCs w:val="20"/>
                <w:color w:val="auto"/>
              </w:rPr>
            </w:pPr>
            <w:r>
              <w:rPr>
                <w:rFonts w:ascii="Arial" w:cs="Arial" w:eastAsia="Arial" w:hAnsi="Arial"/>
                <w:sz w:val="15"/>
                <w:szCs w:val="15"/>
                <w:color w:val="auto"/>
              </w:rPr>
              <w:t>Income from real property</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231,484</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60" w:type="dxa"/>
            <w:vAlign w:val="bottom"/>
            <w:gridSpan w:val="4"/>
            <w:shd w:val="clear" w:color="auto" w:fill="CCEEFF"/>
          </w:tcPr>
          <w:p>
            <w:pPr>
              <w:jc w:val="right"/>
              <w:ind w:right="26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231,484</w:t>
            </w:r>
          </w:p>
        </w:tc>
        <w:tc>
          <w:tcPr>
            <w:tcW w:w="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223,644</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5"/>
                <w:szCs w:val="15"/>
                <w:color w:val="auto"/>
              </w:rPr>
              <w:t>$</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rPr>
              <w:t>223,644</w:t>
            </w:r>
          </w:p>
        </w:tc>
      </w:tr>
      <w:tr>
        <w:trPr>
          <w:trHeight w:val="212"/>
        </w:trPr>
        <w:tc>
          <w:tcPr>
            <w:tcW w:w="3760" w:type="dxa"/>
            <w:vAlign w:val="bottom"/>
            <w:gridSpan w:val="2"/>
          </w:tcPr>
          <w:p>
            <w:pPr>
              <w:ind w:left="200"/>
              <w:spacing w:after="0"/>
              <w:rPr>
                <w:sz w:val="20"/>
                <w:szCs w:val="20"/>
                <w:color w:val="auto"/>
              </w:rPr>
            </w:pPr>
            <w:r>
              <w:rPr>
                <w:rFonts w:ascii="Arial" w:cs="Arial" w:eastAsia="Arial" w:hAnsi="Arial"/>
                <w:sz w:val="15"/>
                <w:szCs w:val="15"/>
                <w:color w:val="auto"/>
              </w:rPr>
              <w:t>Revenue from home sales</w:t>
            </w:r>
          </w:p>
        </w:tc>
        <w:tc>
          <w:tcPr>
            <w:tcW w:w="100" w:type="dxa"/>
            <w:vAlign w:val="bottom"/>
          </w:tcPr>
          <w:p>
            <w:pPr>
              <w:spacing w:after="0"/>
              <w:rPr>
                <w:sz w:val="18"/>
                <w:szCs w:val="18"/>
                <w:color w:val="auto"/>
              </w:rPr>
            </w:pPr>
          </w:p>
        </w:tc>
        <w:tc>
          <w:tcPr>
            <w:tcW w:w="1180" w:type="dxa"/>
            <w:vAlign w:val="bottom"/>
            <w:gridSpan w:val="3"/>
          </w:tcPr>
          <w:p>
            <w:pPr>
              <w:jc w:val="right"/>
              <w:ind w:right="2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8"/>
                <w:szCs w:val="18"/>
                <w:color w:val="auto"/>
              </w:rPr>
            </w:pPr>
          </w:p>
        </w:tc>
        <w:tc>
          <w:tcPr>
            <w:tcW w:w="940" w:type="dxa"/>
            <w:vAlign w:val="bottom"/>
          </w:tcPr>
          <w:p>
            <w:pPr>
              <w:jc w:val="right"/>
              <w:ind w:right="64"/>
              <w:spacing w:after="0"/>
              <w:rPr>
                <w:sz w:val="20"/>
                <w:szCs w:val="20"/>
                <w:color w:val="auto"/>
              </w:rPr>
            </w:pPr>
            <w:r>
              <w:rPr>
                <w:rFonts w:ascii="Arial" w:cs="Arial" w:eastAsia="Arial" w:hAnsi="Arial"/>
                <w:sz w:val="15"/>
                <w:szCs w:val="15"/>
                <w:color w:val="auto"/>
              </w:rPr>
              <w:t>38,530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ind w:right="64"/>
              <w:spacing w:after="0"/>
              <w:rPr>
                <w:sz w:val="20"/>
                <w:szCs w:val="20"/>
                <w:color w:val="auto"/>
              </w:rPr>
            </w:pPr>
            <w:r>
              <w:rPr>
                <w:rFonts w:ascii="Arial" w:cs="Arial" w:eastAsia="Arial" w:hAnsi="Arial"/>
                <w:sz w:val="15"/>
                <w:szCs w:val="15"/>
                <w:color w:val="auto"/>
              </w:rPr>
              <w:t>38,530</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8"/>
                <w:szCs w:val="18"/>
                <w:color w:val="auto"/>
              </w:rPr>
            </w:pPr>
          </w:p>
        </w:tc>
        <w:tc>
          <w:tcPr>
            <w:tcW w:w="940" w:type="dxa"/>
            <w:vAlign w:val="bottom"/>
          </w:tcPr>
          <w:p>
            <w:pPr>
              <w:jc w:val="right"/>
              <w:ind w:right="64"/>
              <w:spacing w:after="0"/>
              <w:rPr>
                <w:sz w:val="20"/>
                <w:szCs w:val="20"/>
                <w:color w:val="auto"/>
              </w:rPr>
            </w:pPr>
            <w:r>
              <w:rPr>
                <w:rFonts w:ascii="Arial" w:cs="Arial" w:eastAsia="Arial" w:hAnsi="Arial"/>
                <w:sz w:val="15"/>
                <w:szCs w:val="15"/>
                <w:color w:val="auto"/>
              </w:rPr>
              <w:t>47,242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ind w:right="84"/>
              <w:spacing w:after="0"/>
              <w:rPr>
                <w:sz w:val="20"/>
                <w:szCs w:val="20"/>
                <w:color w:val="auto"/>
              </w:rPr>
            </w:pPr>
            <w:r>
              <w:rPr>
                <w:rFonts w:ascii="Arial" w:cs="Arial" w:eastAsia="Arial" w:hAnsi="Arial"/>
                <w:sz w:val="15"/>
                <w:szCs w:val="15"/>
                <w:color w:val="auto"/>
              </w:rPr>
              <w:t>47,242</w:t>
            </w:r>
          </w:p>
        </w:tc>
      </w:tr>
      <w:tr>
        <w:trPr>
          <w:trHeight w:val="220"/>
        </w:trPr>
        <w:tc>
          <w:tcPr>
            <w:tcW w:w="3760" w:type="dxa"/>
            <w:vAlign w:val="bottom"/>
            <w:gridSpan w:val="2"/>
            <w:shd w:val="clear" w:color="auto" w:fill="CCEEFF"/>
          </w:tcPr>
          <w:p>
            <w:pPr>
              <w:ind w:left="200"/>
              <w:spacing w:after="0"/>
              <w:rPr>
                <w:sz w:val="20"/>
                <w:szCs w:val="20"/>
                <w:color w:val="auto"/>
              </w:rPr>
            </w:pPr>
            <w:r>
              <w:rPr>
                <w:rFonts w:ascii="Arial" w:cs="Arial" w:eastAsia="Arial" w:hAnsi="Arial"/>
                <w:sz w:val="15"/>
                <w:szCs w:val="15"/>
                <w:color w:val="auto"/>
              </w:rPr>
              <w:t>Rental home revenue</w:t>
            </w:r>
          </w:p>
        </w:tc>
        <w:tc>
          <w:tcPr>
            <w:tcW w:w="100" w:type="dxa"/>
            <w:vAlign w:val="bottom"/>
            <w:shd w:val="clear" w:color="auto" w:fill="CCEEFF"/>
          </w:tcPr>
          <w:p>
            <w:pPr>
              <w:spacing w:after="0"/>
              <w:rPr>
                <w:sz w:val="19"/>
                <w:szCs w:val="19"/>
                <w:color w:val="auto"/>
              </w:rPr>
            </w:pPr>
          </w:p>
        </w:tc>
        <w:tc>
          <w:tcPr>
            <w:tcW w:w="1180" w:type="dxa"/>
            <w:vAlign w:val="bottom"/>
            <w:gridSpan w:val="3"/>
            <w:shd w:val="clear" w:color="auto" w:fill="CCEEFF"/>
          </w:tcPr>
          <w:p>
            <w:pPr>
              <w:jc w:val="right"/>
              <w:ind w:right="26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14,968</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14,968</w:t>
            </w:r>
          </w:p>
        </w:tc>
        <w:tc>
          <w:tcPr>
            <w:tcW w:w="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14,412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rPr>
              <w:t>14,412</w:t>
            </w:r>
          </w:p>
        </w:tc>
      </w:tr>
      <w:tr>
        <w:trPr>
          <w:trHeight w:val="212"/>
        </w:trPr>
        <w:tc>
          <w:tcPr>
            <w:tcW w:w="3760" w:type="dxa"/>
            <w:vAlign w:val="bottom"/>
            <w:gridSpan w:val="2"/>
          </w:tcPr>
          <w:p>
            <w:pPr>
              <w:ind w:left="200"/>
              <w:spacing w:after="0"/>
              <w:rPr>
                <w:sz w:val="20"/>
                <w:szCs w:val="20"/>
                <w:color w:val="auto"/>
              </w:rPr>
            </w:pPr>
            <w:r>
              <w:rPr>
                <w:rFonts w:ascii="Arial" w:cs="Arial" w:eastAsia="Arial" w:hAnsi="Arial"/>
                <w:sz w:val="15"/>
                <w:szCs w:val="15"/>
                <w:color w:val="auto"/>
              </w:rPr>
              <w:t>Ancillary revenue</w:t>
            </w:r>
          </w:p>
        </w:tc>
        <w:tc>
          <w:tcPr>
            <w:tcW w:w="100" w:type="dxa"/>
            <w:vAlign w:val="bottom"/>
          </w:tcPr>
          <w:p>
            <w:pPr>
              <w:spacing w:after="0"/>
              <w:rPr>
                <w:sz w:val="18"/>
                <w:szCs w:val="18"/>
                <w:color w:val="auto"/>
              </w:rPr>
            </w:pPr>
          </w:p>
        </w:tc>
        <w:tc>
          <w:tcPr>
            <w:tcW w:w="1060" w:type="dxa"/>
            <w:vAlign w:val="bottom"/>
          </w:tcPr>
          <w:p>
            <w:pPr>
              <w:jc w:val="right"/>
              <w:ind w:right="64"/>
              <w:spacing w:after="0"/>
              <w:rPr>
                <w:sz w:val="20"/>
                <w:szCs w:val="20"/>
                <w:color w:val="auto"/>
              </w:rPr>
            </w:pPr>
            <w:r>
              <w:rPr>
                <w:rFonts w:ascii="Arial" w:cs="Arial" w:eastAsia="Arial" w:hAnsi="Arial"/>
                <w:sz w:val="15"/>
                <w:szCs w:val="15"/>
                <w:color w:val="auto"/>
              </w:rPr>
              <w:t>12,375</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4"/>
          </w:tcPr>
          <w:p>
            <w:pPr>
              <w:jc w:val="right"/>
              <w:ind w:right="26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8"/>
                <w:szCs w:val="18"/>
                <w:color w:val="auto"/>
              </w:rPr>
            </w:pPr>
          </w:p>
        </w:tc>
        <w:tc>
          <w:tcPr>
            <w:tcW w:w="1000" w:type="dxa"/>
            <w:vAlign w:val="bottom"/>
          </w:tcPr>
          <w:p>
            <w:pPr>
              <w:jc w:val="right"/>
              <w:ind w:right="64"/>
              <w:spacing w:after="0"/>
              <w:rPr>
                <w:sz w:val="20"/>
                <w:szCs w:val="20"/>
                <w:color w:val="auto"/>
              </w:rPr>
            </w:pPr>
            <w:r>
              <w:rPr>
                <w:rFonts w:ascii="Arial" w:cs="Arial" w:eastAsia="Arial" w:hAnsi="Arial"/>
                <w:sz w:val="15"/>
                <w:szCs w:val="15"/>
                <w:color w:val="auto"/>
              </w:rPr>
              <w:t>12,375</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ind w:right="64"/>
              <w:spacing w:after="0"/>
              <w:rPr>
                <w:sz w:val="20"/>
                <w:szCs w:val="20"/>
                <w:color w:val="auto"/>
              </w:rPr>
            </w:pPr>
            <w:r>
              <w:rPr>
                <w:rFonts w:ascii="Arial" w:cs="Arial" w:eastAsia="Arial" w:hAnsi="Arial"/>
                <w:sz w:val="15"/>
                <w:szCs w:val="15"/>
                <w:color w:val="auto"/>
              </w:rPr>
              <w:t>19,720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8"/>
                <w:szCs w:val="18"/>
                <w:color w:val="auto"/>
              </w:rPr>
            </w:pPr>
          </w:p>
        </w:tc>
        <w:tc>
          <w:tcPr>
            <w:tcW w:w="1000" w:type="dxa"/>
            <w:vAlign w:val="bottom"/>
          </w:tcPr>
          <w:p>
            <w:pPr>
              <w:jc w:val="right"/>
              <w:ind w:right="84"/>
              <w:spacing w:after="0"/>
              <w:rPr>
                <w:sz w:val="20"/>
                <w:szCs w:val="20"/>
                <w:color w:val="auto"/>
              </w:rPr>
            </w:pPr>
            <w:r>
              <w:rPr>
                <w:rFonts w:ascii="Arial" w:cs="Arial" w:eastAsia="Arial" w:hAnsi="Arial"/>
                <w:sz w:val="15"/>
                <w:szCs w:val="15"/>
                <w:color w:val="auto"/>
              </w:rPr>
              <w:t>19,720</w:t>
            </w:r>
          </w:p>
        </w:tc>
      </w:tr>
      <w:tr>
        <w:trPr>
          <w:trHeight w:val="220"/>
        </w:trPr>
        <w:tc>
          <w:tcPr>
            <w:tcW w:w="3760" w:type="dxa"/>
            <w:vAlign w:val="bottom"/>
            <w:gridSpan w:val="2"/>
            <w:shd w:val="clear" w:color="auto" w:fill="CCEEFF"/>
          </w:tcPr>
          <w:p>
            <w:pPr>
              <w:ind w:left="200"/>
              <w:spacing w:after="0"/>
              <w:rPr>
                <w:sz w:val="20"/>
                <w:szCs w:val="20"/>
                <w:color w:val="auto"/>
              </w:rPr>
            </w:pPr>
            <w:r>
              <w:rPr>
                <w:rFonts w:ascii="Arial" w:cs="Arial" w:eastAsia="Arial" w:hAnsi="Arial"/>
                <w:sz w:val="15"/>
                <w:szCs w:val="15"/>
                <w:color w:val="auto"/>
              </w:rPr>
              <w:t>Interest income</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2,635</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gridSpan w:val="4"/>
            <w:shd w:val="clear" w:color="auto" w:fill="CCEEFF"/>
          </w:tcPr>
          <w:p>
            <w:pPr>
              <w:jc w:val="right"/>
              <w:ind w:right="26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2,635</w:t>
            </w:r>
          </w:p>
        </w:tc>
        <w:tc>
          <w:tcPr>
            <w:tcW w:w="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4,919</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rPr>
              <w:t>4,919</w:t>
            </w:r>
          </w:p>
        </w:tc>
      </w:tr>
      <w:tr>
        <w:trPr>
          <w:trHeight w:val="212"/>
        </w:trPr>
        <w:tc>
          <w:tcPr>
            <w:tcW w:w="3760" w:type="dxa"/>
            <w:vAlign w:val="bottom"/>
            <w:gridSpan w:val="2"/>
          </w:tcPr>
          <w:p>
            <w:pPr>
              <w:ind w:left="200"/>
              <w:spacing w:after="0"/>
              <w:rPr>
                <w:sz w:val="20"/>
                <w:szCs w:val="20"/>
                <w:color w:val="auto"/>
              </w:rPr>
            </w:pPr>
            <w:r>
              <w:rPr>
                <w:rFonts w:ascii="Arial" w:cs="Arial" w:eastAsia="Arial" w:hAnsi="Arial"/>
                <w:sz w:val="15"/>
                <w:szCs w:val="15"/>
                <w:color w:val="auto"/>
              </w:rPr>
              <w:t>Brokerage commissions and other revenues, net</w:t>
            </w:r>
          </w:p>
        </w:tc>
        <w:tc>
          <w:tcPr>
            <w:tcW w:w="100" w:type="dxa"/>
            <w:vAlign w:val="bottom"/>
          </w:tcPr>
          <w:p>
            <w:pPr>
              <w:spacing w:after="0"/>
              <w:rPr>
                <w:sz w:val="18"/>
                <w:szCs w:val="18"/>
                <w:color w:val="auto"/>
              </w:rPr>
            </w:pPr>
          </w:p>
        </w:tc>
        <w:tc>
          <w:tcPr>
            <w:tcW w:w="1060" w:type="dxa"/>
            <w:vAlign w:val="bottom"/>
          </w:tcPr>
          <w:p>
            <w:pPr>
              <w:jc w:val="right"/>
              <w:ind w:right="64"/>
              <w:spacing w:after="0"/>
              <w:rPr>
                <w:sz w:val="20"/>
                <w:szCs w:val="20"/>
                <w:color w:val="auto"/>
              </w:rPr>
            </w:pPr>
            <w:r>
              <w:rPr>
                <w:rFonts w:ascii="Arial" w:cs="Arial" w:eastAsia="Arial" w:hAnsi="Arial"/>
                <w:sz w:val="15"/>
                <w:szCs w:val="15"/>
                <w:color w:val="auto"/>
              </w:rPr>
              <w:t>3,274</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4"/>
          </w:tcPr>
          <w:p>
            <w:pPr>
              <w:jc w:val="right"/>
              <w:ind w:right="26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8"/>
                <w:szCs w:val="18"/>
                <w:color w:val="auto"/>
              </w:rPr>
            </w:pPr>
          </w:p>
        </w:tc>
        <w:tc>
          <w:tcPr>
            <w:tcW w:w="1000" w:type="dxa"/>
            <w:vAlign w:val="bottom"/>
          </w:tcPr>
          <w:p>
            <w:pPr>
              <w:jc w:val="right"/>
              <w:ind w:right="64"/>
              <w:spacing w:after="0"/>
              <w:rPr>
                <w:sz w:val="20"/>
                <w:szCs w:val="20"/>
                <w:color w:val="auto"/>
              </w:rPr>
            </w:pPr>
            <w:r>
              <w:rPr>
                <w:rFonts w:ascii="Arial" w:cs="Arial" w:eastAsia="Arial" w:hAnsi="Arial"/>
                <w:sz w:val="15"/>
                <w:szCs w:val="15"/>
                <w:color w:val="auto"/>
              </w:rPr>
              <w:t>3,274</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ind w:right="64"/>
              <w:spacing w:after="0"/>
              <w:rPr>
                <w:sz w:val="20"/>
                <w:szCs w:val="20"/>
                <w:color w:val="auto"/>
              </w:rPr>
            </w:pPr>
            <w:r>
              <w:rPr>
                <w:rFonts w:ascii="Arial" w:cs="Arial" w:eastAsia="Arial" w:hAnsi="Arial"/>
                <w:sz w:val="15"/>
                <w:szCs w:val="15"/>
                <w:color w:val="auto"/>
              </w:rPr>
              <w:t>2,508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8"/>
                <w:szCs w:val="18"/>
                <w:color w:val="auto"/>
              </w:rPr>
            </w:pPr>
          </w:p>
        </w:tc>
        <w:tc>
          <w:tcPr>
            <w:tcW w:w="1000" w:type="dxa"/>
            <w:vAlign w:val="bottom"/>
          </w:tcPr>
          <w:p>
            <w:pPr>
              <w:jc w:val="right"/>
              <w:ind w:right="84"/>
              <w:spacing w:after="0"/>
              <w:rPr>
                <w:sz w:val="20"/>
                <w:szCs w:val="20"/>
                <w:color w:val="auto"/>
              </w:rPr>
            </w:pPr>
            <w:r>
              <w:rPr>
                <w:rFonts w:ascii="Arial" w:cs="Arial" w:eastAsia="Arial" w:hAnsi="Arial"/>
                <w:sz w:val="15"/>
                <w:szCs w:val="15"/>
                <w:color w:val="auto"/>
              </w:rPr>
              <w:t>2,508</w:t>
            </w:r>
          </w:p>
        </w:tc>
      </w:tr>
      <w:tr>
        <w:trPr>
          <w:trHeight w:val="238"/>
        </w:trPr>
        <w:tc>
          <w:tcPr>
            <w:tcW w:w="3760" w:type="dxa"/>
            <w:vAlign w:val="bottom"/>
            <w:tcBorders>
              <w:top w:val="single" w:sz="8" w:color="CCEEFF"/>
              <w:bottom w:val="single" w:sz="8" w:color="CCEEFF"/>
            </w:tcBorders>
            <w:gridSpan w:val="2"/>
            <w:shd w:val="clear" w:color="auto" w:fill="CCEEFF"/>
          </w:tcPr>
          <w:p>
            <w:pPr>
              <w:ind w:left="480"/>
              <w:spacing w:after="0"/>
              <w:rPr>
                <w:sz w:val="20"/>
                <w:szCs w:val="20"/>
                <w:color w:val="auto"/>
              </w:rPr>
            </w:pPr>
            <w:r>
              <w:rPr>
                <w:rFonts w:ascii="Arial" w:cs="Arial" w:eastAsia="Arial" w:hAnsi="Arial"/>
                <w:sz w:val="15"/>
                <w:szCs w:val="15"/>
                <w:b w:val="1"/>
                <w:bCs w:val="1"/>
                <w:color w:val="auto"/>
              </w:rPr>
              <w:t>Total Revenues</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EEFF"/>
          </w:tcPr>
          <w:p>
            <w:pPr>
              <w:jc w:val="right"/>
              <w:ind w:right="64"/>
              <w:spacing w:after="0"/>
              <w:rPr>
                <w:sz w:val="20"/>
                <w:szCs w:val="20"/>
                <w:color w:val="auto"/>
              </w:rPr>
            </w:pPr>
            <w:r>
              <w:rPr>
                <w:rFonts w:ascii="Arial" w:cs="Arial" w:eastAsia="Arial" w:hAnsi="Arial"/>
                <w:sz w:val="15"/>
                <w:szCs w:val="15"/>
                <w:color w:val="auto"/>
              </w:rPr>
              <w:t>249,768</w:t>
            </w:r>
          </w:p>
        </w:tc>
        <w:tc>
          <w:tcPr>
            <w:tcW w:w="20" w:type="dxa"/>
            <w:vAlign w:val="bottom"/>
            <w:tcBorders>
              <w:top w:val="single" w:sz="8" w:color="auto"/>
              <w:bottom w:val="single" w:sz="8" w:color="auto"/>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940" w:type="dxa"/>
            <w:vAlign w:val="bottom"/>
            <w:tcBorders>
              <w:top w:val="single" w:sz="8" w:color="auto"/>
              <w:bottom w:val="single" w:sz="8" w:color="auto"/>
            </w:tcBorders>
            <w:shd w:val="clear" w:color="auto" w:fill="CCEEFF"/>
          </w:tcPr>
          <w:p>
            <w:pPr>
              <w:jc w:val="right"/>
              <w:ind w:right="64"/>
              <w:spacing w:after="0"/>
              <w:rPr>
                <w:sz w:val="20"/>
                <w:szCs w:val="20"/>
                <w:color w:val="auto"/>
              </w:rPr>
            </w:pPr>
            <w:r>
              <w:rPr>
                <w:rFonts w:ascii="Arial" w:cs="Arial" w:eastAsia="Arial" w:hAnsi="Arial"/>
                <w:sz w:val="15"/>
                <w:szCs w:val="15"/>
                <w:color w:val="auto"/>
              </w:rPr>
              <w:t>53,498</w:t>
            </w:r>
          </w:p>
        </w:tc>
        <w:tc>
          <w:tcPr>
            <w:tcW w:w="20" w:type="dxa"/>
            <w:vAlign w:val="bottom"/>
            <w:tcBorders>
              <w:top w:val="single" w:sz="8" w:color="auto"/>
              <w:bottom w:val="single" w:sz="8" w:color="auto"/>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Borders>
              <w:top w:val="single" w:sz="8" w:color="auto"/>
              <w:bottom w:val="single" w:sz="8" w:color="auto"/>
            </w:tcBorders>
            <w:shd w:val="clear" w:color="auto" w:fill="CCEEFF"/>
          </w:tcPr>
          <w:p>
            <w:pPr>
              <w:jc w:val="right"/>
              <w:ind w:right="64"/>
              <w:spacing w:after="0"/>
              <w:rPr>
                <w:sz w:val="20"/>
                <w:szCs w:val="20"/>
                <w:color w:val="auto"/>
              </w:rPr>
            </w:pPr>
            <w:r>
              <w:rPr>
                <w:rFonts w:ascii="Arial" w:cs="Arial" w:eastAsia="Arial" w:hAnsi="Arial"/>
                <w:sz w:val="15"/>
                <w:szCs w:val="15"/>
                <w:color w:val="auto"/>
              </w:rPr>
              <w:t>303,266</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shd w:val="clear" w:color="auto" w:fill="CCEEFF"/>
          </w:tcPr>
          <w:p>
            <w:pPr>
              <w:jc w:val="right"/>
              <w:ind w:right="64"/>
              <w:spacing w:after="0"/>
              <w:rPr>
                <w:sz w:val="20"/>
                <w:szCs w:val="20"/>
                <w:color w:val="auto"/>
              </w:rPr>
            </w:pPr>
            <w:r>
              <w:rPr>
                <w:rFonts w:ascii="Arial" w:cs="Arial" w:eastAsia="Arial" w:hAnsi="Arial"/>
                <w:sz w:val="15"/>
                <w:szCs w:val="15"/>
                <w:color w:val="auto"/>
              </w:rPr>
              <w:t>250,791</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5"/>
                <w:szCs w:val="15"/>
                <w:color w:val="auto"/>
              </w:rPr>
              <w:t>$</w:t>
            </w:r>
          </w:p>
        </w:tc>
        <w:tc>
          <w:tcPr>
            <w:tcW w:w="940" w:type="dxa"/>
            <w:vAlign w:val="bottom"/>
            <w:tcBorders>
              <w:top w:val="single" w:sz="8" w:color="auto"/>
              <w:bottom w:val="single" w:sz="8" w:color="auto"/>
            </w:tcBorders>
            <w:shd w:val="clear" w:color="auto" w:fill="CCEEFF"/>
          </w:tcPr>
          <w:p>
            <w:pPr>
              <w:jc w:val="right"/>
              <w:ind w:right="64"/>
              <w:spacing w:after="0"/>
              <w:rPr>
                <w:sz w:val="20"/>
                <w:szCs w:val="20"/>
                <w:color w:val="auto"/>
              </w:rPr>
            </w:pPr>
            <w:r>
              <w:rPr>
                <w:rFonts w:ascii="Arial" w:cs="Arial" w:eastAsia="Arial" w:hAnsi="Arial"/>
                <w:sz w:val="15"/>
                <w:szCs w:val="15"/>
                <w:color w:val="auto"/>
              </w:rPr>
              <w:t>61,654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Borders>
              <w:top w:val="single" w:sz="8" w:color="auto"/>
              <w:bottom w:val="single" w:sz="8" w:color="auto"/>
            </w:tcBorders>
            <w:shd w:val="clear" w:color="auto" w:fill="CCEEFF"/>
          </w:tcPr>
          <w:p>
            <w:pPr>
              <w:jc w:val="right"/>
              <w:ind w:right="84"/>
              <w:spacing w:after="0"/>
              <w:rPr>
                <w:sz w:val="20"/>
                <w:szCs w:val="20"/>
                <w:color w:val="auto"/>
              </w:rPr>
            </w:pPr>
            <w:r>
              <w:rPr>
                <w:rFonts w:ascii="Arial" w:cs="Arial" w:eastAsia="Arial" w:hAnsi="Arial"/>
                <w:sz w:val="15"/>
                <w:szCs w:val="15"/>
                <w:color w:val="auto"/>
              </w:rPr>
              <w:t>312,445</w:t>
            </w:r>
          </w:p>
        </w:tc>
      </w:tr>
      <w:tr>
        <w:trPr>
          <w:trHeight w:val="20"/>
        </w:trPr>
        <w:tc>
          <w:tcPr>
            <w:tcW w:w="37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r>
        <w:trPr>
          <w:trHeight w:val="564"/>
        </w:trPr>
        <w:tc>
          <w:tcPr>
            <w:tcW w:w="374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gridSpan w:val="6"/>
          </w:tcPr>
          <w:p>
            <w:pPr>
              <w:jc w:val="center"/>
              <w:ind w:right="300"/>
              <w:spacing w:after="0"/>
              <w:rPr>
                <w:sz w:val="20"/>
                <w:szCs w:val="20"/>
                <w:color w:val="auto"/>
              </w:rPr>
            </w:pPr>
            <w:r>
              <w:rPr>
                <w:rFonts w:ascii="Arial" w:cs="Arial" w:eastAsia="Arial" w:hAnsi="Arial"/>
                <w:sz w:val="15"/>
                <w:szCs w:val="15"/>
                <w:b w:val="1"/>
                <w:bCs w:val="1"/>
                <w:color w:val="auto"/>
                <w:w w:val="92"/>
              </w:rPr>
              <w:t>Six Months Ended</w:t>
            </w:r>
          </w:p>
        </w:tc>
        <w:tc>
          <w:tcPr>
            <w:tcW w:w="1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r>
      <w:tr>
        <w:trPr>
          <w:trHeight w:val="209"/>
        </w:trPr>
        <w:tc>
          <w:tcPr>
            <w:tcW w:w="37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gridSpan w:val="5"/>
          </w:tcPr>
          <w:p>
            <w:pPr>
              <w:ind w:left="40"/>
              <w:spacing w:after="0"/>
              <w:rPr>
                <w:sz w:val="20"/>
                <w:szCs w:val="20"/>
                <w:color w:val="auto"/>
              </w:rPr>
            </w:pPr>
            <w:r>
              <w:rPr>
                <w:rFonts w:ascii="Arial" w:cs="Arial" w:eastAsia="Arial" w:hAnsi="Arial"/>
                <w:sz w:val="15"/>
                <w:szCs w:val="15"/>
                <w:b w:val="1"/>
                <w:bCs w:val="1"/>
                <w:color w:val="auto"/>
              </w:rPr>
              <w:t>June 30, 2020</w:t>
            </w:r>
          </w:p>
        </w:tc>
        <w:tc>
          <w:tcPr>
            <w:tcW w:w="1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gridSpan w:val="3"/>
          </w:tcPr>
          <w:p>
            <w:pPr>
              <w:ind w:left="20"/>
              <w:spacing w:after="0"/>
              <w:rPr>
                <w:sz w:val="20"/>
                <w:szCs w:val="20"/>
                <w:color w:val="auto"/>
              </w:rPr>
            </w:pPr>
            <w:r>
              <w:rPr>
                <w:rFonts w:ascii="Arial" w:cs="Arial" w:eastAsia="Arial" w:hAnsi="Arial"/>
                <w:sz w:val="15"/>
                <w:szCs w:val="15"/>
                <w:b w:val="1"/>
                <w:bCs w:val="1"/>
                <w:color w:val="auto"/>
              </w:rPr>
              <w:t>June 30, 2019</w:t>
            </w: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r>
      <w:tr>
        <w:trPr>
          <w:trHeight w:val="169"/>
        </w:trPr>
        <w:tc>
          <w:tcPr>
            <w:tcW w:w="3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3"/>
          </w:tcPr>
          <w:p>
            <w:pPr>
              <w:jc w:val="center"/>
              <w:ind w:right="260"/>
              <w:spacing w:after="0" w:line="169" w:lineRule="exact"/>
              <w:rPr>
                <w:sz w:val="20"/>
                <w:szCs w:val="20"/>
                <w:color w:val="auto"/>
              </w:rPr>
            </w:pPr>
            <w:r>
              <w:rPr>
                <w:rFonts w:ascii="Arial" w:cs="Arial" w:eastAsia="Arial" w:hAnsi="Arial"/>
                <w:sz w:val="15"/>
                <w:szCs w:val="15"/>
                <w:b w:val="1"/>
                <w:bCs w:val="1"/>
                <w:color w:val="auto"/>
                <w:w w:val="94"/>
              </w:rPr>
              <w:t>Real Property</w:t>
            </w:r>
          </w:p>
        </w:tc>
        <w:tc>
          <w:tcPr>
            <w:tcW w:w="120" w:type="dxa"/>
            <w:vAlign w:val="bottom"/>
          </w:tcPr>
          <w:p>
            <w:pPr>
              <w:spacing w:after="0"/>
              <w:rPr>
                <w:sz w:val="14"/>
                <w:szCs w:val="14"/>
                <w:color w:val="auto"/>
              </w:rPr>
            </w:pPr>
          </w:p>
        </w:tc>
        <w:tc>
          <w:tcPr>
            <w:tcW w:w="1060" w:type="dxa"/>
            <w:vAlign w:val="bottom"/>
            <w:gridSpan w:val="4"/>
          </w:tcPr>
          <w:p>
            <w:pPr>
              <w:jc w:val="center"/>
              <w:ind w:right="260"/>
              <w:spacing w:after="0" w:line="169" w:lineRule="exact"/>
              <w:rPr>
                <w:sz w:val="20"/>
                <w:szCs w:val="20"/>
                <w:color w:val="auto"/>
              </w:rPr>
            </w:pPr>
            <w:r>
              <w:rPr>
                <w:rFonts w:ascii="Arial" w:cs="Arial" w:eastAsia="Arial" w:hAnsi="Arial"/>
                <w:sz w:val="15"/>
                <w:szCs w:val="15"/>
                <w:b w:val="1"/>
                <w:bCs w:val="1"/>
                <w:color w:val="auto"/>
                <w:w w:val="89"/>
              </w:rPr>
              <w:t>Home Sales</w:t>
            </w: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tcPr>
          <w:p>
            <w:pPr>
              <w:jc w:val="center"/>
              <w:ind w:right="260"/>
              <w:spacing w:after="0" w:line="169" w:lineRule="exact"/>
              <w:rPr>
                <w:sz w:val="20"/>
                <w:szCs w:val="20"/>
                <w:color w:val="auto"/>
              </w:rPr>
            </w:pPr>
            <w:r>
              <w:rPr>
                <w:rFonts w:ascii="Arial" w:cs="Arial" w:eastAsia="Arial" w:hAnsi="Arial"/>
                <w:sz w:val="15"/>
                <w:szCs w:val="15"/>
                <w:b w:val="1"/>
                <w:bCs w:val="1"/>
                <w:color w:val="auto"/>
                <w:w w:val="94"/>
              </w:rPr>
              <w:t>Real Property</w:t>
            </w:r>
          </w:p>
        </w:tc>
        <w:tc>
          <w:tcPr>
            <w:tcW w:w="120" w:type="dxa"/>
            <w:vAlign w:val="bottom"/>
          </w:tcPr>
          <w:p>
            <w:pPr>
              <w:spacing w:after="0"/>
              <w:rPr>
                <w:sz w:val="14"/>
                <w:szCs w:val="14"/>
                <w:color w:val="auto"/>
              </w:rPr>
            </w:pPr>
          </w:p>
        </w:tc>
        <w:tc>
          <w:tcPr>
            <w:tcW w:w="1040" w:type="dxa"/>
            <w:vAlign w:val="bottom"/>
            <w:gridSpan w:val="2"/>
          </w:tcPr>
          <w:p>
            <w:pPr>
              <w:ind w:left="20"/>
              <w:spacing w:after="0" w:line="169" w:lineRule="exact"/>
              <w:rPr>
                <w:sz w:val="20"/>
                <w:szCs w:val="20"/>
                <w:color w:val="auto"/>
              </w:rPr>
            </w:pPr>
            <w:r>
              <w:rPr>
                <w:rFonts w:ascii="Arial" w:cs="Arial" w:eastAsia="Arial" w:hAnsi="Arial"/>
                <w:sz w:val="15"/>
                <w:szCs w:val="15"/>
                <w:b w:val="1"/>
                <w:bCs w:val="1"/>
                <w:color w:val="auto"/>
              </w:rPr>
              <w:t>Home Sales</w:t>
            </w: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202"/>
        </w:trPr>
        <w:tc>
          <w:tcPr>
            <w:tcW w:w="3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3"/>
          </w:tcPr>
          <w:p>
            <w:pPr>
              <w:jc w:val="center"/>
              <w:ind w:right="240"/>
              <w:spacing w:after="0"/>
              <w:rPr>
                <w:sz w:val="20"/>
                <w:szCs w:val="20"/>
                <w:color w:val="auto"/>
              </w:rPr>
            </w:pPr>
            <w:r>
              <w:rPr>
                <w:rFonts w:ascii="Arial" w:cs="Arial" w:eastAsia="Arial" w:hAnsi="Arial"/>
                <w:sz w:val="15"/>
                <w:szCs w:val="15"/>
                <w:b w:val="1"/>
                <w:bCs w:val="1"/>
                <w:color w:val="auto"/>
                <w:w w:val="93"/>
              </w:rPr>
              <w:t>Operations</w:t>
            </w:r>
          </w:p>
        </w:tc>
        <w:tc>
          <w:tcPr>
            <w:tcW w:w="120" w:type="dxa"/>
            <w:vAlign w:val="bottom"/>
          </w:tcPr>
          <w:p>
            <w:pPr>
              <w:spacing w:after="0"/>
              <w:rPr>
                <w:sz w:val="17"/>
                <w:szCs w:val="17"/>
                <w:color w:val="auto"/>
              </w:rPr>
            </w:pPr>
          </w:p>
        </w:tc>
        <w:tc>
          <w:tcPr>
            <w:tcW w:w="1060" w:type="dxa"/>
            <w:vAlign w:val="bottom"/>
            <w:gridSpan w:val="4"/>
          </w:tcPr>
          <w:p>
            <w:pPr>
              <w:jc w:val="center"/>
              <w:ind w:right="240"/>
              <w:spacing w:after="0"/>
              <w:rPr>
                <w:sz w:val="20"/>
                <w:szCs w:val="20"/>
                <w:color w:val="auto"/>
              </w:rPr>
            </w:pPr>
            <w:r>
              <w:rPr>
                <w:rFonts w:ascii="Arial" w:cs="Arial" w:eastAsia="Arial" w:hAnsi="Arial"/>
                <w:sz w:val="15"/>
                <w:szCs w:val="15"/>
                <w:b w:val="1"/>
                <w:bCs w:val="1"/>
                <w:color w:val="auto"/>
                <w:w w:val="91"/>
              </w:rPr>
              <w:t>and Rentals</w:t>
            </w:r>
          </w:p>
        </w:tc>
        <w:tc>
          <w:tcPr>
            <w:tcW w:w="100" w:type="dxa"/>
            <w:vAlign w:val="bottom"/>
          </w:tcPr>
          <w:p>
            <w:pPr>
              <w:spacing w:after="0"/>
              <w:rPr>
                <w:sz w:val="17"/>
                <w:szCs w:val="17"/>
                <w:color w:val="auto"/>
              </w:rPr>
            </w:pPr>
          </w:p>
        </w:tc>
        <w:tc>
          <w:tcPr>
            <w:tcW w:w="1240" w:type="dxa"/>
            <w:vAlign w:val="bottom"/>
            <w:gridSpan w:val="3"/>
          </w:tcPr>
          <w:p>
            <w:pPr>
              <w:spacing w:after="0"/>
              <w:rPr>
                <w:sz w:val="20"/>
                <w:szCs w:val="20"/>
                <w:color w:val="auto"/>
              </w:rPr>
            </w:pPr>
            <w:r>
              <w:rPr>
                <w:rFonts w:ascii="Arial" w:cs="Arial" w:eastAsia="Arial" w:hAnsi="Arial"/>
                <w:sz w:val="15"/>
                <w:szCs w:val="15"/>
                <w:b w:val="1"/>
                <w:bCs w:val="1"/>
                <w:color w:val="auto"/>
              </w:rPr>
              <w:t>Consolidated</w:t>
            </w:r>
          </w:p>
        </w:tc>
        <w:tc>
          <w:tcPr>
            <w:tcW w:w="120" w:type="dxa"/>
            <w:vAlign w:val="bottom"/>
          </w:tcPr>
          <w:p>
            <w:pPr>
              <w:spacing w:after="0"/>
              <w:rPr>
                <w:sz w:val="17"/>
                <w:szCs w:val="17"/>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5"/>
                <w:szCs w:val="15"/>
                <w:b w:val="1"/>
                <w:bCs w:val="1"/>
                <w:color w:val="auto"/>
                <w:w w:val="90"/>
              </w:rPr>
              <w:t>Operations</w:t>
            </w:r>
          </w:p>
        </w:tc>
        <w:tc>
          <w:tcPr>
            <w:tcW w:w="120" w:type="dxa"/>
            <w:vAlign w:val="bottom"/>
          </w:tcPr>
          <w:p>
            <w:pPr>
              <w:spacing w:after="0"/>
              <w:rPr>
                <w:sz w:val="17"/>
                <w:szCs w:val="17"/>
                <w:color w:val="auto"/>
              </w:rPr>
            </w:pPr>
          </w:p>
        </w:tc>
        <w:tc>
          <w:tcPr>
            <w:tcW w:w="1040" w:type="dxa"/>
            <w:vAlign w:val="bottom"/>
            <w:gridSpan w:val="2"/>
          </w:tcPr>
          <w:p>
            <w:pPr>
              <w:ind w:left="20"/>
              <w:spacing w:after="0"/>
              <w:rPr>
                <w:sz w:val="20"/>
                <w:szCs w:val="20"/>
                <w:color w:val="auto"/>
              </w:rPr>
            </w:pPr>
            <w:r>
              <w:rPr>
                <w:rFonts w:ascii="Arial" w:cs="Arial" w:eastAsia="Arial" w:hAnsi="Arial"/>
                <w:sz w:val="15"/>
                <w:szCs w:val="15"/>
                <w:b w:val="1"/>
                <w:bCs w:val="1"/>
                <w:color w:val="auto"/>
              </w:rPr>
              <w:t>and Rentals</w:t>
            </w:r>
          </w:p>
        </w:tc>
        <w:tc>
          <w:tcPr>
            <w:tcW w:w="120" w:type="dxa"/>
            <w:vAlign w:val="bottom"/>
          </w:tcPr>
          <w:p>
            <w:pPr>
              <w:spacing w:after="0"/>
              <w:rPr>
                <w:sz w:val="17"/>
                <w:szCs w:val="17"/>
                <w:color w:val="auto"/>
              </w:rPr>
            </w:pPr>
          </w:p>
        </w:tc>
        <w:tc>
          <w:tcPr>
            <w:tcW w:w="1000" w:type="dxa"/>
            <w:vAlign w:val="bottom"/>
          </w:tcPr>
          <w:p>
            <w:pPr>
              <w:jc w:val="right"/>
              <w:ind w:right="64"/>
              <w:spacing w:after="0"/>
              <w:rPr>
                <w:sz w:val="20"/>
                <w:szCs w:val="20"/>
                <w:color w:val="auto"/>
              </w:rPr>
            </w:pPr>
            <w:r>
              <w:rPr>
                <w:rFonts w:ascii="Arial" w:cs="Arial" w:eastAsia="Arial" w:hAnsi="Arial"/>
                <w:sz w:val="15"/>
                <w:szCs w:val="15"/>
                <w:b w:val="1"/>
                <w:bCs w:val="1"/>
                <w:color w:val="auto"/>
                <w:w w:val="88"/>
              </w:rPr>
              <w:t>Consolidated</w:t>
            </w:r>
          </w:p>
        </w:tc>
      </w:tr>
      <w:tr>
        <w:trPr>
          <w:trHeight w:val="196"/>
        </w:trPr>
        <w:tc>
          <w:tcPr>
            <w:tcW w:w="3740" w:type="dxa"/>
            <w:vAlign w:val="bottom"/>
          </w:tcPr>
          <w:p>
            <w:pPr>
              <w:ind w:left="20"/>
              <w:spacing w:after="0"/>
              <w:rPr>
                <w:sz w:val="20"/>
                <w:szCs w:val="20"/>
                <w:color w:val="auto"/>
              </w:rPr>
            </w:pPr>
            <w:r>
              <w:rPr>
                <w:rFonts w:ascii="Arial" w:cs="Arial" w:eastAsia="Arial" w:hAnsi="Arial"/>
                <w:sz w:val="15"/>
                <w:szCs w:val="15"/>
                <w:b w:val="1"/>
                <w:bCs w:val="1"/>
                <w:color w:val="auto"/>
              </w:rPr>
              <w:t>Revenues</w:t>
            </w:r>
          </w:p>
        </w:tc>
        <w:tc>
          <w:tcPr>
            <w:tcW w:w="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r>
      <w:tr>
        <w:trPr>
          <w:trHeight w:val="220"/>
        </w:trPr>
        <w:tc>
          <w:tcPr>
            <w:tcW w:w="3760" w:type="dxa"/>
            <w:vAlign w:val="bottom"/>
            <w:gridSpan w:val="2"/>
            <w:shd w:val="clear" w:color="auto" w:fill="CCEEFF"/>
          </w:tcPr>
          <w:p>
            <w:pPr>
              <w:ind w:left="200"/>
              <w:spacing w:after="0"/>
              <w:rPr>
                <w:sz w:val="20"/>
                <w:szCs w:val="20"/>
                <w:color w:val="auto"/>
              </w:rPr>
            </w:pPr>
            <w:r>
              <w:rPr>
                <w:rFonts w:ascii="Arial" w:cs="Arial" w:eastAsia="Arial" w:hAnsi="Arial"/>
                <w:sz w:val="15"/>
                <w:szCs w:val="15"/>
                <w:color w:val="auto"/>
              </w:rPr>
              <w:t>Income from real property</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6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469,269</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4"/>
            <w:shd w:val="clear" w:color="auto" w:fill="CCEEFF"/>
          </w:tcPr>
          <w:p>
            <w:pPr>
              <w:jc w:val="right"/>
              <w:ind w:right="26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rPr>
              <w:t>469,269</w:t>
            </w:r>
          </w:p>
        </w:tc>
        <w:tc>
          <w:tcPr>
            <w:tcW w:w="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438,727</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5"/>
                <w:szCs w:val="15"/>
                <w:color w:val="auto"/>
              </w:rPr>
              <w:t>$</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rPr>
              <w:t>438,727</w:t>
            </w:r>
          </w:p>
        </w:tc>
      </w:tr>
      <w:tr>
        <w:trPr>
          <w:trHeight w:val="212"/>
        </w:trPr>
        <w:tc>
          <w:tcPr>
            <w:tcW w:w="3760" w:type="dxa"/>
            <w:vAlign w:val="bottom"/>
            <w:gridSpan w:val="2"/>
          </w:tcPr>
          <w:p>
            <w:pPr>
              <w:ind w:left="200"/>
              <w:spacing w:after="0"/>
              <w:rPr>
                <w:sz w:val="20"/>
                <w:szCs w:val="20"/>
                <w:color w:val="auto"/>
              </w:rPr>
            </w:pPr>
            <w:r>
              <w:rPr>
                <w:rFonts w:ascii="Arial" w:cs="Arial" w:eastAsia="Arial" w:hAnsi="Arial"/>
                <w:sz w:val="15"/>
                <w:szCs w:val="15"/>
                <w:color w:val="auto"/>
              </w:rPr>
              <w:t>Revenue from home sales</w:t>
            </w:r>
          </w:p>
        </w:tc>
        <w:tc>
          <w:tcPr>
            <w:tcW w:w="100" w:type="dxa"/>
            <w:vAlign w:val="bottom"/>
          </w:tcPr>
          <w:p>
            <w:pPr>
              <w:spacing w:after="0"/>
              <w:rPr>
                <w:sz w:val="18"/>
                <w:szCs w:val="18"/>
                <w:color w:val="auto"/>
              </w:rPr>
            </w:pPr>
          </w:p>
        </w:tc>
        <w:tc>
          <w:tcPr>
            <w:tcW w:w="1180" w:type="dxa"/>
            <w:vAlign w:val="bottom"/>
            <w:gridSpan w:val="3"/>
          </w:tcPr>
          <w:p>
            <w:pPr>
              <w:jc w:val="right"/>
              <w:ind w:right="2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8"/>
                <w:szCs w:val="18"/>
                <w:color w:val="auto"/>
              </w:rPr>
            </w:pPr>
          </w:p>
        </w:tc>
        <w:tc>
          <w:tcPr>
            <w:tcW w:w="940" w:type="dxa"/>
            <w:vAlign w:val="bottom"/>
          </w:tcPr>
          <w:p>
            <w:pPr>
              <w:jc w:val="right"/>
              <w:ind w:right="64"/>
              <w:spacing w:after="0"/>
              <w:rPr>
                <w:sz w:val="20"/>
                <w:szCs w:val="20"/>
                <w:color w:val="auto"/>
              </w:rPr>
            </w:pPr>
            <w:r>
              <w:rPr>
                <w:rFonts w:ascii="Arial" w:cs="Arial" w:eastAsia="Arial" w:hAnsi="Arial"/>
                <w:sz w:val="15"/>
                <w:szCs w:val="15"/>
                <w:color w:val="auto"/>
              </w:rPr>
              <w:t>79,117</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ind w:right="84"/>
              <w:spacing w:after="0"/>
              <w:rPr>
                <w:sz w:val="20"/>
                <w:szCs w:val="20"/>
                <w:color w:val="auto"/>
              </w:rPr>
            </w:pPr>
            <w:r>
              <w:rPr>
                <w:rFonts w:ascii="Arial" w:cs="Arial" w:eastAsia="Arial" w:hAnsi="Arial"/>
                <w:sz w:val="15"/>
                <w:szCs w:val="15"/>
                <w:color w:val="auto"/>
              </w:rPr>
              <w:t>79,117</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8"/>
                <w:szCs w:val="18"/>
                <w:color w:val="auto"/>
              </w:rPr>
            </w:pPr>
          </w:p>
        </w:tc>
        <w:tc>
          <w:tcPr>
            <w:tcW w:w="940" w:type="dxa"/>
            <w:vAlign w:val="bottom"/>
          </w:tcPr>
          <w:p>
            <w:pPr>
              <w:jc w:val="right"/>
              <w:ind w:right="64"/>
              <w:spacing w:after="0"/>
              <w:rPr>
                <w:sz w:val="20"/>
                <w:szCs w:val="20"/>
                <w:color w:val="auto"/>
              </w:rPr>
            </w:pPr>
            <w:r>
              <w:rPr>
                <w:rFonts w:ascii="Arial" w:cs="Arial" w:eastAsia="Arial" w:hAnsi="Arial"/>
                <w:sz w:val="15"/>
                <w:szCs w:val="15"/>
                <w:color w:val="auto"/>
              </w:rPr>
              <w:t>86,860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ind w:right="84"/>
              <w:spacing w:after="0"/>
              <w:rPr>
                <w:sz w:val="20"/>
                <w:szCs w:val="20"/>
                <w:color w:val="auto"/>
              </w:rPr>
            </w:pPr>
            <w:r>
              <w:rPr>
                <w:rFonts w:ascii="Arial" w:cs="Arial" w:eastAsia="Arial" w:hAnsi="Arial"/>
                <w:sz w:val="15"/>
                <w:szCs w:val="15"/>
                <w:color w:val="auto"/>
              </w:rPr>
              <w:t>86,860</w:t>
            </w:r>
          </w:p>
        </w:tc>
      </w:tr>
      <w:tr>
        <w:trPr>
          <w:trHeight w:val="220"/>
        </w:trPr>
        <w:tc>
          <w:tcPr>
            <w:tcW w:w="3760" w:type="dxa"/>
            <w:vAlign w:val="bottom"/>
            <w:gridSpan w:val="2"/>
            <w:shd w:val="clear" w:color="auto" w:fill="CCEEFF"/>
          </w:tcPr>
          <w:p>
            <w:pPr>
              <w:ind w:left="200"/>
              <w:spacing w:after="0"/>
              <w:rPr>
                <w:sz w:val="20"/>
                <w:szCs w:val="20"/>
                <w:color w:val="auto"/>
              </w:rPr>
            </w:pPr>
            <w:r>
              <w:rPr>
                <w:rFonts w:ascii="Arial" w:cs="Arial" w:eastAsia="Arial" w:hAnsi="Arial"/>
                <w:sz w:val="15"/>
                <w:szCs w:val="15"/>
                <w:color w:val="auto"/>
              </w:rPr>
              <w:t>Rental home revenue</w:t>
            </w:r>
          </w:p>
        </w:tc>
        <w:tc>
          <w:tcPr>
            <w:tcW w:w="100" w:type="dxa"/>
            <w:vAlign w:val="bottom"/>
            <w:shd w:val="clear" w:color="auto" w:fill="CCEEFF"/>
          </w:tcPr>
          <w:p>
            <w:pPr>
              <w:spacing w:after="0"/>
              <w:rPr>
                <w:sz w:val="19"/>
                <w:szCs w:val="19"/>
                <w:color w:val="auto"/>
              </w:rPr>
            </w:pPr>
          </w:p>
        </w:tc>
        <w:tc>
          <w:tcPr>
            <w:tcW w:w="1180" w:type="dxa"/>
            <w:vAlign w:val="bottom"/>
            <w:gridSpan w:val="3"/>
            <w:shd w:val="clear" w:color="auto" w:fill="CCEEFF"/>
          </w:tcPr>
          <w:p>
            <w:pPr>
              <w:jc w:val="right"/>
              <w:ind w:right="26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30,440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rPr>
              <w:t>30,440</w:t>
            </w:r>
          </w:p>
        </w:tc>
        <w:tc>
          <w:tcPr>
            <w:tcW w:w="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28,383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rPr>
              <w:t>28,383</w:t>
            </w:r>
          </w:p>
        </w:tc>
      </w:tr>
      <w:tr>
        <w:trPr>
          <w:trHeight w:val="212"/>
        </w:trPr>
        <w:tc>
          <w:tcPr>
            <w:tcW w:w="3760" w:type="dxa"/>
            <w:vAlign w:val="bottom"/>
            <w:gridSpan w:val="2"/>
          </w:tcPr>
          <w:p>
            <w:pPr>
              <w:ind w:left="200"/>
              <w:spacing w:after="0"/>
              <w:rPr>
                <w:sz w:val="20"/>
                <w:szCs w:val="20"/>
                <w:color w:val="auto"/>
              </w:rPr>
            </w:pPr>
            <w:r>
              <w:rPr>
                <w:rFonts w:ascii="Arial" w:cs="Arial" w:eastAsia="Arial" w:hAnsi="Arial"/>
                <w:sz w:val="15"/>
                <w:szCs w:val="15"/>
                <w:color w:val="auto"/>
              </w:rPr>
              <w:t>Ancillary revenue</w:t>
            </w:r>
          </w:p>
        </w:tc>
        <w:tc>
          <w:tcPr>
            <w:tcW w:w="100" w:type="dxa"/>
            <w:vAlign w:val="bottom"/>
          </w:tcPr>
          <w:p>
            <w:pPr>
              <w:spacing w:after="0"/>
              <w:rPr>
                <w:sz w:val="18"/>
                <w:szCs w:val="18"/>
                <w:color w:val="auto"/>
              </w:rPr>
            </w:pPr>
          </w:p>
        </w:tc>
        <w:tc>
          <w:tcPr>
            <w:tcW w:w="1060" w:type="dxa"/>
            <w:vAlign w:val="bottom"/>
          </w:tcPr>
          <w:p>
            <w:pPr>
              <w:jc w:val="right"/>
              <w:ind w:right="64"/>
              <w:spacing w:after="0"/>
              <w:rPr>
                <w:sz w:val="20"/>
                <w:szCs w:val="20"/>
                <w:color w:val="auto"/>
              </w:rPr>
            </w:pPr>
            <w:r>
              <w:rPr>
                <w:rFonts w:ascii="Arial" w:cs="Arial" w:eastAsia="Arial" w:hAnsi="Arial"/>
                <w:sz w:val="15"/>
                <w:szCs w:val="15"/>
                <w:color w:val="auto"/>
              </w:rPr>
              <w:t>22,570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4"/>
          </w:tcPr>
          <w:p>
            <w:pPr>
              <w:jc w:val="right"/>
              <w:ind w:right="26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8"/>
                <w:szCs w:val="18"/>
                <w:color w:val="auto"/>
              </w:rPr>
            </w:pPr>
          </w:p>
        </w:tc>
        <w:tc>
          <w:tcPr>
            <w:tcW w:w="1000" w:type="dxa"/>
            <w:vAlign w:val="bottom"/>
          </w:tcPr>
          <w:p>
            <w:pPr>
              <w:jc w:val="right"/>
              <w:ind w:right="84"/>
              <w:spacing w:after="0"/>
              <w:rPr>
                <w:sz w:val="20"/>
                <w:szCs w:val="20"/>
                <w:color w:val="auto"/>
              </w:rPr>
            </w:pPr>
            <w:r>
              <w:rPr>
                <w:rFonts w:ascii="Arial" w:cs="Arial" w:eastAsia="Arial" w:hAnsi="Arial"/>
                <w:sz w:val="15"/>
                <w:szCs w:val="15"/>
                <w:color w:val="auto"/>
              </w:rPr>
              <w:t>22,570</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ind w:right="64"/>
              <w:spacing w:after="0"/>
              <w:rPr>
                <w:sz w:val="20"/>
                <w:szCs w:val="20"/>
                <w:color w:val="auto"/>
              </w:rPr>
            </w:pPr>
            <w:r>
              <w:rPr>
                <w:rFonts w:ascii="Arial" w:cs="Arial" w:eastAsia="Arial" w:hAnsi="Arial"/>
                <w:sz w:val="15"/>
                <w:szCs w:val="15"/>
                <w:color w:val="auto"/>
              </w:rPr>
              <w:t>29,898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8"/>
                <w:szCs w:val="18"/>
                <w:color w:val="auto"/>
              </w:rPr>
            </w:pPr>
          </w:p>
        </w:tc>
        <w:tc>
          <w:tcPr>
            <w:tcW w:w="1000" w:type="dxa"/>
            <w:vAlign w:val="bottom"/>
          </w:tcPr>
          <w:p>
            <w:pPr>
              <w:jc w:val="right"/>
              <w:ind w:right="84"/>
              <w:spacing w:after="0"/>
              <w:rPr>
                <w:sz w:val="20"/>
                <w:szCs w:val="20"/>
                <w:color w:val="auto"/>
              </w:rPr>
            </w:pPr>
            <w:r>
              <w:rPr>
                <w:rFonts w:ascii="Arial" w:cs="Arial" w:eastAsia="Arial" w:hAnsi="Arial"/>
                <w:sz w:val="15"/>
                <w:szCs w:val="15"/>
                <w:color w:val="auto"/>
              </w:rPr>
              <w:t>29,898</w:t>
            </w:r>
          </w:p>
        </w:tc>
      </w:tr>
      <w:tr>
        <w:trPr>
          <w:trHeight w:val="220"/>
        </w:trPr>
        <w:tc>
          <w:tcPr>
            <w:tcW w:w="3760" w:type="dxa"/>
            <w:vAlign w:val="bottom"/>
            <w:gridSpan w:val="2"/>
            <w:shd w:val="clear" w:color="auto" w:fill="CCEEFF"/>
          </w:tcPr>
          <w:p>
            <w:pPr>
              <w:ind w:left="200"/>
              <w:spacing w:after="0"/>
              <w:rPr>
                <w:sz w:val="20"/>
                <w:szCs w:val="20"/>
                <w:color w:val="auto"/>
              </w:rPr>
            </w:pPr>
            <w:r>
              <w:rPr>
                <w:rFonts w:ascii="Arial" w:cs="Arial" w:eastAsia="Arial" w:hAnsi="Arial"/>
                <w:sz w:val="15"/>
                <w:szCs w:val="15"/>
                <w:color w:val="auto"/>
              </w:rPr>
              <w:t>Interest income</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4,985</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gridSpan w:val="4"/>
            <w:shd w:val="clear" w:color="auto" w:fill="CCEEFF"/>
          </w:tcPr>
          <w:p>
            <w:pPr>
              <w:jc w:val="right"/>
              <w:ind w:right="26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rPr>
              <w:t>4,985</w:t>
            </w:r>
          </w:p>
        </w:tc>
        <w:tc>
          <w:tcPr>
            <w:tcW w:w="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9,719</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rPr>
              <w:t>9,719</w:t>
            </w:r>
          </w:p>
        </w:tc>
      </w:tr>
      <w:tr>
        <w:trPr>
          <w:trHeight w:val="212"/>
        </w:trPr>
        <w:tc>
          <w:tcPr>
            <w:tcW w:w="3740" w:type="dxa"/>
            <w:vAlign w:val="bottom"/>
            <w:tcBorders>
              <w:bottom w:val="single" w:sz="8" w:color="CCEEFF"/>
            </w:tcBorders>
          </w:tcPr>
          <w:p>
            <w:pPr>
              <w:ind w:left="200"/>
              <w:spacing w:after="0"/>
              <w:rPr>
                <w:sz w:val="20"/>
                <w:szCs w:val="20"/>
                <w:color w:val="auto"/>
              </w:rPr>
            </w:pPr>
            <w:r>
              <w:rPr>
                <w:rFonts w:ascii="Arial" w:cs="Arial" w:eastAsia="Arial" w:hAnsi="Arial"/>
                <w:sz w:val="15"/>
                <w:szCs w:val="15"/>
                <w:color w:val="auto"/>
              </w:rPr>
              <w:t>Brokerage commissions and other revenues, net</w:t>
            </w: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color w:val="auto"/>
              </w:rPr>
              <w:t>7,187</w:t>
            </w: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CEEFF"/>
            </w:tcBorders>
            <w:gridSpan w:val="2"/>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color w:val="auto"/>
              </w:rPr>
              <w:t>7,187</w:t>
            </w:r>
          </w:p>
        </w:tc>
        <w:tc>
          <w:tcPr>
            <w:tcW w:w="22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color w:val="auto"/>
              </w:rPr>
              <w:t>6,188</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color w:val="auto"/>
              </w:rPr>
              <w:t>6,188</w:t>
            </w:r>
          </w:p>
        </w:tc>
      </w:tr>
      <w:tr>
        <w:trPr>
          <w:trHeight w:val="233"/>
        </w:trPr>
        <w:tc>
          <w:tcPr>
            <w:tcW w:w="3760" w:type="dxa"/>
            <w:vAlign w:val="bottom"/>
            <w:gridSpan w:val="2"/>
            <w:shd w:val="clear" w:color="auto" w:fill="CCEEFF"/>
          </w:tcPr>
          <w:p>
            <w:pPr>
              <w:ind w:left="480"/>
              <w:spacing w:after="0"/>
              <w:rPr>
                <w:sz w:val="20"/>
                <w:szCs w:val="20"/>
                <w:color w:val="auto"/>
              </w:rPr>
            </w:pPr>
            <w:r>
              <w:rPr>
                <w:rFonts w:ascii="Arial" w:cs="Arial" w:eastAsia="Arial" w:hAnsi="Arial"/>
                <w:sz w:val="15"/>
                <w:szCs w:val="15"/>
                <w:b w:val="1"/>
                <w:bCs w:val="1"/>
                <w:color w:val="auto"/>
              </w:rPr>
              <w:t>Total Revenues</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6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504,011</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109,557</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rPr>
              <w:t>613,568</w:t>
            </w:r>
          </w:p>
        </w:tc>
        <w:tc>
          <w:tcPr>
            <w:tcW w:w="2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484,532</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5"/>
                <w:szCs w:val="15"/>
                <w:color w:val="auto"/>
              </w:rPr>
              <w:t>$</w:t>
            </w:r>
          </w:p>
        </w:tc>
        <w:tc>
          <w:tcPr>
            <w:tcW w:w="94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115,243</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rPr>
              <w:t>599,775</w:t>
            </w:r>
          </w:p>
        </w:tc>
      </w:tr>
      <w:tr>
        <w:trPr>
          <w:trHeight w:val="20"/>
        </w:trPr>
        <w:tc>
          <w:tcPr>
            <w:tcW w:w="37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 Policies and Performance Obligations</w:t>
      </w:r>
    </w:p>
    <w:p>
      <w:pPr>
        <w:spacing w:after="0" w:line="252"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On January 1, 2018, we adopted FASB Accounting Standards Update (“ASU”) 2014-09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and the other related ASUs and amendments to the codification (collectively “ASC 606”). The core principle of ASC 606 is that an entity should recognize revenue to depict the transfer of promised goods or services to customers in an amount that reflects the consideration to which the entity expects to be entitled in exchange for those goods or services. A five-step transactional analysis is required to determine how and when to recognize revenue. ASC 606 applies to all contracts with customers, except those that are within the scope of other topics in the FASB accounting standards codification.</w:t>
      </w:r>
    </w:p>
    <w:p>
      <w:pPr>
        <w:spacing w:after="0" w:line="20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As a real estate owner and operator, the majority of our revenue is derived from site and home leases that are accounted for pursuant to ASC 842 “</w:t>
      </w:r>
      <w:r>
        <w:rPr>
          <w:rFonts w:ascii="Arial" w:cs="Arial" w:eastAsia="Arial" w:hAnsi="Arial"/>
          <w:sz w:val="17"/>
          <w:szCs w:val="17"/>
          <w:i w:val="1"/>
          <w:iCs w:val="1"/>
          <w:color w:val="auto"/>
        </w:rPr>
        <w:t>Leases</w:t>
      </w:r>
      <w:r>
        <w:rPr>
          <w:rFonts w:ascii="Arial" w:cs="Arial" w:eastAsia="Arial" w:hAnsi="Arial"/>
          <w:sz w:val="17"/>
          <w:szCs w:val="17"/>
          <w:color w:val="auto"/>
        </w:rPr>
        <w:t>.” For transactions in the scope of ASC 606, we recognize revenue when control of goods or services transfers to the customer, in the amount that we expect to receive for the transfer of goods or provision of services. The adoption of ASC 606 did not result in any change to the timing and pattern of revenue recognition. Accordingly, retrospective application to prior periods or a cumulative catch-up adjustment was unnecessary.</w:t>
      </w:r>
    </w:p>
    <w:p>
      <w:pPr>
        <w:spacing w:after="0" w:line="198" w:lineRule="exact"/>
        <w:rPr>
          <w:sz w:val="20"/>
          <w:szCs w:val="20"/>
          <w:color w:val="auto"/>
        </w:rPr>
      </w:pPr>
    </w:p>
    <w:p>
      <w:pPr>
        <w:jc w:val="both"/>
        <w:spacing w:after="0" w:line="293" w:lineRule="auto"/>
        <w:rPr>
          <w:sz w:val="20"/>
          <w:szCs w:val="20"/>
          <w:color w:val="auto"/>
        </w:rPr>
      </w:pPr>
      <w:r>
        <w:rPr>
          <w:rFonts w:ascii="Arial" w:cs="Arial" w:eastAsia="Arial" w:hAnsi="Arial"/>
          <w:sz w:val="16"/>
          <w:szCs w:val="16"/>
          <w:i w:val="1"/>
          <w:iCs w:val="1"/>
          <w:color w:val="auto"/>
        </w:rPr>
        <w:t xml:space="preserve">Income from real property </w:t>
      </w:r>
      <w:r>
        <w:rPr>
          <w:rFonts w:ascii="Arial" w:cs="Arial" w:eastAsia="Arial" w:hAnsi="Arial"/>
          <w:sz w:val="16"/>
          <w:szCs w:val="16"/>
          <w:color w:val="auto"/>
        </w:rPr>
        <w:t>- Residents in our communities lease the site on which their home is located, and either own or lease their home. Resident leases</w:t>
      </w:r>
      <w:r>
        <w:rPr>
          <w:rFonts w:ascii="Arial" w:cs="Arial" w:eastAsia="Arial" w:hAnsi="Arial"/>
          <w:sz w:val="16"/>
          <w:szCs w:val="16"/>
          <w:i w:val="1"/>
          <w:iCs w:val="1"/>
          <w:color w:val="auto"/>
        </w:rPr>
        <w:t xml:space="preserve"> </w:t>
      </w:r>
      <w:r>
        <w:rPr>
          <w:rFonts w:ascii="Arial" w:cs="Arial" w:eastAsia="Arial" w:hAnsi="Arial"/>
          <w:sz w:val="16"/>
          <w:szCs w:val="16"/>
          <w:color w:val="auto"/>
        </w:rPr>
        <w:t>are generally for one-year or month-to-month terms and are renewable by mutual agreement between us and the resident, or in some cases, as provided by jurisdictional statute. Lease revenues for sites and homes fall under the scope of ASC 842, and are accounted for as operating leases with straight-line recognition. Income from real property includes income from site leases for annual MH residents, site leases for annual RV residents and site rentals to transient RV residents. Non-lease components of our site lease contracts, which are primarily provision of utility services, are accounted for with the site lease as a single lease under ASC 842. Additionally, we include collections of real estate taxes from residents within Income from real property.</w:t>
      </w:r>
    </w:p>
    <w:p>
      <w:pPr>
        <w:sectPr>
          <w:pgSz w:w="11900" w:h="16838" w:orient="portrait"/>
          <w:cols w:equalWidth="0" w:num="1">
            <w:col w:w="11240"/>
          </w:cols>
          <w:pgMar w:left="320" w:top="12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type w:val="continuous"/>
        </w:sectPr>
      </w:pPr>
    </w:p>
    <w:bookmarkStart w:id="10" w:name="page11"/>
    <w:bookmarkEnd w:id="10"/>
    <w:p>
      <w:pPr>
        <w:jc w:val="center"/>
        <w:spacing w:after="0"/>
        <w:rPr>
          <w:sz w:val="20"/>
          <w:szCs w:val="20"/>
          <w:color w:val="auto"/>
        </w:rPr>
      </w:pPr>
      <w:r>
        <w:rPr>
          <w:rFonts w:ascii="Arial" w:cs="Arial" w:eastAsia="Arial" w:hAnsi="Arial"/>
          <w:sz w:val="16"/>
          <w:szCs w:val="16"/>
          <w:b w:val="1"/>
          <w:bCs w:val="1"/>
          <w:color w:val="auto"/>
        </w:rPr>
        <w:t>SUN COMMUNITIES, INC.</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 -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31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i w:val="1"/>
          <w:iCs w:val="1"/>
          <w:color w:val="auto"/>
        </w:rPr>
        <w:t xml:space="preserve">Revenue from home sales </w:t>
      </w:r>
      <w:r>
        <w:rPr>
          <w:rFonts w:ascii="Arial" w:cs="Arial" w:eastAsia="Arial" w:hAnsi="Arial"/>
          <w:sz w:val="18"/>
          <w:szCs w:val="18"/>
          <w:color w:val="auto"/>
        </w:rPr>
        <w:t>- Our taxable REIT subsidiary, SHS, sells manufactured homes to current and prospective residents in our communities. Prior to</w:t>
      </w:r>
      <w:r>
        <w:rPr>
          <w:rFonts w:ascii="Arial" w:cs="Arial" w:eastAsia="Arial" w:hAnsi="Arial"/>
          <w:sz w:val="18"/>
          <w:szCs w:val="18"/>
          <w:i w:val="1"/>
          <w:iCs w:val="1"/>
          <w:color w:val="auto"/>
        </w:rPr>
        <w:t xml:space="preserve"> </w:t>
      </w:r>
      <w:r>
        <w:rPr>
          <w:rFonts w:ascii="Arial" w:cs="Arial" w:eastAsia="Arial" w:hAnsi="Arial"/>
          <w:sz w:val="18"/>
          <w:szCs w:val="18"/>
          <w:color w:val="auto"/>
        </w:rPr>
        <w:t>adoption of ASC 606, we recognized revenue for home sales pursuant to ASC 605 “</w:t>
      </w:r>
      <w:r>
        <w:rPr>
          <w:rFonts w:ascii="Arial" w:cs="Arial" w:eastAsia="Arial" w:hAnsi="Arial"/>
          <w:sz w:val="18"/>
          <w:szCs w:val="18"/>
          <w:i w:val="1"/>
          <w:iCs w:val="1"/>
          <w:color w:val="auto"/>
        </w:rPr>
        <w:t>Revenue Recognition,</w:t>
      </w:r>
      <w:r>
        <w:rPr>
          <w:rFonts w:ascii="Arial" w:cs="Arial" w:eastAsia="Arial" w:hAnsi="Arial"/>
          <w:sz w:val="18"/>
          <w:szCs w:val="18"/>
          <w:color w:val="auto"/>
        </w:rPr>
        <w:t>” as manufactured homes are tangible personal property that can be located on any land parcel. Manufactured homes are not permanent fixtures or improvements to the underlying real estate and were therefore not considered to be subject to the guidance in ASC 360-20 “</w:t>
      </w:r>
      <w:r>
        <w:rPr>
          <w:rFonts w:ascii="Arial" w:cs="Arial" w:eastAsia="Arial" w:hAnsi="Arial"/>
          <w:sz w:val="18"/>
          <w:szCs w:val="18"/>
          <w:i w:val="1"/>
          <w:iCs w:val="1"/>
          <w:color w:val="auto"/>
        </w:rPr>
        <w:t>Real Estate Sales</w:t>
      </w:r>
      <w:r>
        <w:rPr>
          <w:rFonts w:ascii="Arial" w:cs="Arial" w:eastAsia="Arial" w:hAnsi="Arial"/>
          <w:sz w:val="18"/>
          <w:szCs w:val="18"/>
          <w:color w:val="auto"/>
        </w:rPr>
        <w:t>” by us. In accordance with the core principle of ASC 606, we recognize revenue from home sales at the time of closing when control of the home transfers to the customer. After closing of the sale transaction, we have no remaining performance obligation. As of June 30, 2020, and December 31, 2019, we had $19.2 million and $20.9 million, respectively, of receivables from contracts with customers, which consists of home sales proceeds, and are presented as a component of Notes and other receivables, net on our Consolidated Balance Sheets. These receivables represent balances owed to us for previously completed performance obligations for sales of manufactured homes.</w:t>
      </w:r>
    </w:p>
    <w:p>
      <w:pPr>
        <w:spacing w:after="0" w:line="22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Rental home revenue </w:t>
      </w:r>
      <w:r>
        <w:rPr>
          <w:rFonts w:ascii="Arial" w:cs="Arial" w:eastAsia="Arial" w:hAnsi="Arial"/>
          <w:sz w:val="18"/>
          <w:szCs w:val="18"/>
          <w:color w:val="auto"/>
        </w:rPr>
        <w:t>- is comprised of rental agreements whereby we lease homes to residents in our communities. We account for these revenues under</w:t>
      </w:r>
      <w:r>
        <w:rPr>
          <w:rFonts w:ascii="Arial" w:cs="Arial" w:eastAsia="Arial" w:hAnsi="Arial"/>
          <w:sz w:val="18"/>
          <w:szCs w:val="18"/>
          <w:i w:val="1"/>
          <w:iCs w:val="1"/>
          <w:color w:val="auto"/>
        </w:rPr>
        <w:t xml:space="preserve"> </w:t>
      </w:r>
      <w:r>
        <w:rPr>
          <w:rFonts w:ascii="Arial" w:cs="Arial" w:eastAsia="Arial" w:hAnsi="Arial"/>
          <w:sz w:val="18"/>
          <w:szCs w:val="18"/>
          <w:color w:val="auto"/>
        </w:rPr>
        <w:t>ASC 842.</w:t>
      </w:r>
    </w:p>
    <w:p>
      <w:pPr>
        <w:spacing w:after="0" w:line="10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i w:val="1"/>
          <w:iCs w:val="1"/>
          <w:color w:val="auto"/>
        </w:rPr>
        <w:t xml:space="preserve">Ancillary revenue </w:t>
      </w:r>
      <w:r>
        <w:rPr>
          <w:rFonts w:ascii="Arial" w:cs="Arial" w:eastAsia="Arial" w:hAnsi="Arial"/>
          <w:sz w:val="17"/>
          <w:szCs w:val="17"/>
          <w:color w:val="auto"/>
        </w:rPr>
        <w:t>- is primarily composed of proceeds from restaurant, golf, merchandise and other activities at our RV communities and is included in the</w:t>
      </w:r>
      <w:r>
        <w:rPr>
          <w:rFonts w:ascii="Arial" w:cs="Arial" w:eastAsia="Arial" w:hAnsi="Arial"/>
          <w:sz w:val="17"/>
          <w:szCs w:val="17"/>
          <w:i w:val="1"/>
          <w:iCs w:val="1"/>
          <w:color w:val="auto"/>
        </w:rPr>
        <w:t xml:space="preserve"> </w:t>
      </w:r>
      <w:r>
        <w:rPr>
          <w:rFonts w:ascii="Arial" w:cs="Arial" w:eastAsia="Arial" w:hAnsi="Arial"/>
          <w:sz w:val="17"/>
          <w:szCs w:val="17"/>
          <w:color w:val="auto"/>
        </w:rPr>
        <w:t>scope of ASC 606. Revenues are recognized at point of sale when control of the good or service transfers to the customer and our performance obligation is satisfied. In addition, leasing of short-term vacation home rentals is included within Ancillary revenue and falls within the scope of ASC 842. Sales and other taxes that we collect concurrent with revenue-producing activities are excluded from the transaction price.</w:t>
      </w:r>
    </w:p>
    <w:p>
      <w:pPr>
        <w:spacing w:after="0" w:line="9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Interest income </w:t>
      </w:r>
      <w:r>
        <w:rPr>
          <w:rFonts w:ascii="Arial" w:cs="Arial" w:eastAsia="Arial" w:hAnsi="Arial"/>
          <w:sz w:val="18"/>
          <w:szCs w:val="18"/>
          <w:color w:val="auto"/>
        </w:rPr>
        <w:t>- is earned primarily on our notes receivable, which include installment notes receivables on manufactured homes purchased by us from</w:t>
      </w:r>
      <w:r>
        <w:rPr>
          <w:rFonts w:ascii="Arial" w:cs="Arial" w:eastAsia="Arial" w:hAnsi="Arial"/>
          <w:sz w:val="18"/>
          <w:szCs w:val="18"/>
          <w:i w:val="1"/>
          <w:iCs w:val="1"/>
          <w:color w:val="auto"/>
        </w:rPr>
        <w:t xml:space="preserve"> </w:t>
      </w:r>
      <w:r>
        <w:rPr>
          <w:rFonts w:ascii="Arial" w:cs="Arial" w:eastAsia="Arial" w:hAnsi="Arial"/>
          <w:sz w:val="18"/>
          <w:szCs w:val="18"/>
          <w:color w:val="auto"/>
        </w:rPr>
        <w:t>loan originators and notes receivables from real estate developers. Interest income on these receivables is accrued based on the unpaid principal balances of the underlying loans on a level yield basis over the life of the loans. Interest income is not in the scope of ASC 606. Refer to Note 4, “Notes and Other Receivables,” for additional information.</w:t>
      </w:r>
    </w:p>
    <w:p>
      <w:pPr>
        <w:spacing w:after="0" w:line="11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i w:val="1"/>
          <w:iCs w:val="1"/>
          <w:color w:val="auto"/>
        </w:rPr>
        <w:t xml:space="preserve">Broker commissions and other revenues, net </w:t>
      </w:r>
      <w:r>
        <w:rPr>
          <w:rFonts w:ascii="Arial" w:cs="Arial" w:eastAsia="Arial" w:hAnsi="Arial"/>
          <w:sz w:val="17"/>
          <w:szCs w:val="17"/>
          <w:color w:val="auto"/>
        </w:rPr>
        <w:t>- is primarily comprised of brokerage commissions for sales of manufactured homes, where we act as agent</w:t>
      </w:r>
      <w:r>
        <w:rPr>
          <w:rFonts w:ascii="Arial" w:cs="Arial" w:eastAsia="Arial" w:hAnsi="Arial"/>
          <w:sz w:val="17"/>
          <w:szCs w:val="17"/>
          <w:i w:val="1"/>
          <w:iCs w:val="1"/>
          <w:color w:val="auto"/>
        </w:rPr>
        <w:t xml:space="preserve"> </w:t>
      </w:r>
      <w:r>
        <w:rPr>
          <w:rFonts w:ascii="Arial" w:cs="Arial" w:eastAsia="Arial" w:hAnsi="Arial"/>
          <w:sz w:val="17"/>
          <w:szCs w:val="17"/>
          <w:color w:val="auto"/>
        </w:rPr>
        <w:t>and arrange for a third party to transfer a manufactured home to a customer within one of our communities. Brokerage commission revenues are recognized on a net basis at closing, when the transaction is completed and our performance obligations have been fulfilled.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1" w:name="page12"/>
    <w:bookmarkEnd w:id="11"/>
    <w:p>
      <w:pPr>
        <w:jc w:val="center"/>
        <w:spacing w:after="0"/>
        <w:rPr>
          <w:sz w:val="20"/>
          <w:szCs w:val="20"/>
          <w:color w:val="auto"/>
        </w:rPr>
      </w:pPr>
      <w:r>
        <w:rPr>
          <w:rFonts w:ascii="Arial" w:cs="Arial" w:eastAsia="Arial" w:hAnsi="Arial"/>
          <w:sz w:val="16"/>
          <w:szCs w:val="16"/>
          <w:b w:val="1"/>
          <w:bCs w:val="1"/>
          <w:color w:val="auto"/>
        </w:rPr>
        <w:t>SUN COMMUNITIES, INC.</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 -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307" w:lineRule="exact"/>
        <w:rPr>
          <w:sz w:val="20"/>
          <w:szCs w:val="20"/>
          <w:color w:val="auto"/>
        </w:rPr>
      </w:pPr>
    </w:p>
    <w:p>
      <w:pPr>
        <w:ind w:left="420" w:hanging="412"/>
        <w:spacing w:after="0"/>
        <w:tabs>
          <w:tab w:leader="none" w:pos="42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Real Estate Acquisitions and Dispositions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2020 Acquisitions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In 2020, we acquired the following communities:</w:t>
      </w: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4240" w:type="dxa"/>
            <w:vAlign w:val="bottom"/>
            <w:tcBorders>
              <w:bottom w:val="single" w:sz="8" w:color="auto"/>
            </w:tcBorders>
          </w:tcPr>
          <w:p>
            <w:pPr>
              <w:ind w:left="1520"/>
              <w:spacing w:after="0"/>
              <w:rPr>
                <w:sz w:val="20"/>
                <w:szCs w:val="20"/>
                <w:color w:val="auto"/>
              </w:rPr>
            </w:pPr>
            <w:r>
              <w:rPr>
                <w:rFonts w:ascii="Arial" w:cs="Arial" w:eastAsia="Arial" w:hAnsi="Arial"/>
                <w:sz w:val="15"/>
                <w:szCs w:val="15"/>
                <w:b w:val="1"/>
                <w:bCs w:val="1"/>
                <w:color w:val="auto"/>
              </w:rPr>
              <w:t>Community Name</w:t>
            </w:r>
          </w:p>
        </w:tc>
        <w:tc>
          <w:tcPr>
            <w:tcW w:w="100" w:type="dxa"/>
            <w:vAlign w:val="bottom"/>
            <w:tcBorders>
              <w:bottom w:val="single" w:sz="8" w:color="CCEEFF"/>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ind w:left="140"/>
              <w:spacing w:after="0"/>
              <w:rPr>
                <w:sz w:val="20"/>
                <w:szCs w:val="20"/>
                <w:color w:val="auto"/>
              </w:rPr>
            </w:pPr>
            <w:r>
              <w:rPr>
                <w:rFonts w:ascii="Arial" w:cs="Arial" w:eastAsia="Arial" w:hAnsi="Arial"/>
                <w:sz w:val="15"/>
                <w:szCs w:val="15"/>
                <w:b w:val="1"/>
                <w:bCs w:val="1"/>
                <w:color w:val="auto"/>
              </w:rPr>
              <w:t>Type</w:t>
            </w:r>
          </w:p>
        </w:tc>
        <w:tc>
          <w:tcPr>
            <w:tcW w:w="120" w:type="dxa"/>
            <w:vAlign w:val="bottom"/>
            <w:tcBorders>
              <w:bottom w:val="single" w:sz="8" w:color="CCEEFF"/>
            </w:tcBorders>
          </w:tcPr>
          <w:p>
            <w:pPr>
              <w:spacing w:after="0"/>
              <w:rPr>
                <w:sz w:val="17"/>
                <w:szCs w:val="17"/>
                <w:color w:val="auto"/>
              </w:rPr>
            </w:pPr>
          </w:p>
        </w:tc>
        <w:tc>
          <w:tcPr>
            <w:tcW w:w="1620" w:type="dxa"/>
            <w:vAlign w:val="bottom"/>
            <w:tcBorders>
              <w:bottom w:val="single" w:sz="8" w:color="auto"/>
            </w:tcBorders>
          </w:tcPr>
          <w:p>
            <w:pPr>
              <w:jc w:val="right"/>
              <w:ind w:right="584"/>
              <w:spacing w:after="0"/>
              <w:rPr>
                <w:sz w:val="20"/>
                <w:szCs w:val="20"/>
                <w:color w:val="auto"/>
              </w:rPr>
            </w:pPr>
            <w:r>
              <w:rPr>
                <w:rFonts w:ascii="Arial" w:cs="Arial" w:eastAsia="Arial" w:hAnsi="Arial"/>
                <w:sz w:val="15"/>
                <w:szCs w:val="15"/>
                <w:b w:val="1"/>
                <w:bCs w:val="1"/>
                <w:color w:val="auto"/>
              </w:rPr>
              <w:t>Sites</w:t>
            </w:r>
          </w:p>
        </w:tc>
        <w:tc>
          <w:tcPr>
            <w:tcW w:w="220" w:type="dxa"/>
            <w:vAlign w:val="bottom"/>
            <w:tcBorders>
              <w:bottom w:val="single" w:sz="8" w:color="CCEEFF"/>
            </w:tcBorders>
          </w:tcPr>
          <w:p>
            <w:pPr>
              <w:spacing w:after="0"/>
              <w:rPr>
                <w:sz w:val="17"/>
                <w:szCs w:val="17"/>
                <w:color w:val="auto"/>
              </w:rPr>
            </w:pPr>
          </w:p>
        </w:tc>
        <w:tc>
          <w:tcPr>
            <w:tcW w:w="1620" w:type="dxa"/>
            <w:vAlign w:val="bottom"/>
            <w:tcBorders>
              <w:bottom w:val="single" w:sz="8" w:color="auto"/>
            </w:tcBorders>
          </w:tcPr>
          <w:p>
            <w:pPr>
              <w:ind w:left="640"/>
              <w:spacing w:after="0"/>
              <w:rPr>
                <w:sz w:val="20"/>
                <w:szCs w:val="20"/>
                <w:color w:val="auto"/>
              </w:rPr>
            </w:pPr>
            <w:r>
              <w:rPr>
                <w:rFonts w:ascii="Arial" w:cs="Arial" w:eastAsia="Arial" w:hAnsi="Arial"/>
                <w:sz w:val="15"/>
                <w:szCs w:val="15"/>
                <w:b w:val="1"/>
                <w:bCs w:val="1"/>
                <w:color w:val="auto"/>
              </w:rPr>
              <w:t>State</w:t>
            </w:r>
          </w:p>
        </w:tc>
        <w:tc>
          <w:tcPr>
            <w:tcW w:w="100" w:type="dxa"/>
            <w:vAlign w:val="bottom"/>
            <w:tcBorders>
              <w:bottom w:val="single" w:sz="8" w:color="CCEEFF"/>
            </w:tcBorders>
          </w:tcPr>
          <w:p>
            <w:pPr>
              <w:spacing w:after="0"/>
              <w:rPr>
                <w:sz w:val="17"/>
                <w:szCs w:val="17"/>
                <w:color w:val="auto"/>
              </w:rPr>
            </w:pPr>
          </w:p>
        </w:tc>
        <w:tc>
          <w:tcPr>
            <w:tcW w:w="1620" w:type="dxa"/>
            <w:vAlign w:val="bottom"/>
            <w:tcBorders>
              <w:bottom w:val="single" w:sz="8" w:color="auto"/>
            </w:tcBorders>
          </w:tcPr>
          <w:p>
            <w:pPr>
              <w:ind w:left="260"/>
              <w:spacing w:after="0"/>
              <w:rPr>
                <w:sz w:val="20"/>
                <w:szCs w:val="20"/>
                <w:color w:val="auto"/>
              </w:rPr>
            </w:pPr>
            <w:r>
              <w:rPr>
                <w:rFonts w:ascii="Arial" w:cs="Arial" w:eastAsia="Arial" w:hAnsi="Arial"/>
                <w:sz w:val="15"/>
                <w:szCs w:val="15"/>
                <w:b w:val="1"/>
                <w:bCs w:val="1"/>
                <w:color w:val="auto"/>
              </w:rPr>
              <w:t>Month Acquired</w:t>
            </w:r>
          </w:p>
        </w:tc>
      </w:tr>
      <w:tr>
        <w:trPr>
          <w:trHeight w:val="213"/>
        </w:trPr>
        <w:tc>
          <w:tcPr>
            <w:tcW w:w="434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 xml:space="preserve">Cape Cod </w:t>
            </w:r>
            <w:r>
              <w:rPr>
                <w:rFonts w:ascii="Arial" w:cs="Arial" w:eastAsia="Arial" w:hAnsi="Arial"/>
                <w:sz w:val="9"/>
                <w:szCs w:val="9"/>
                <w:color w:val="auto"/>
              </w:rPr>
              <w:t>(1)</w:t>
            </w:r>
          </w:p>
        </w:tc>
        <w:tc>
          <w:tcPr>
            <w:tcW w:w="500" w:type="dxa"/>
            <w:vAlign w:val="bottom"/>
            <w:shd w:val="clear" w:color="auto" w:fill="CCEEFF"/>
          </w:tcPr>
          <w:p>
            <w:pPr>
              <w:ind w:left="20"/>
              <w:spacing w:after="0"/>
              <w:rPr>
                <w:sz w:val="20"/>
                <w:szCs w:val="20"/>
                <w:color w:val="auto"/>
              </w:rPr>
            </w:pPr>
            <w:r>
              <w:rPr>
                <w:rFonts w:ascii="Arial" w:cs="Arial" w:eastAsia="Arial" w:hAnsi="Arial"/>
                <w:sz w:val="15"/>
                <w:szCs w:val="15"/>
                <w:color w:val="auto"/>
              </w:rPr>
              <w:t>RV</w:t>
            </w: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2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230</w:t>
            </w:r>
          </w:p>
        </w:tc>
        <w:tc>
          <w:tcPr>
            <w:tcW w:w="22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MA</w:t>
            </w:r>
          </w:p>
        </w:tc>
        <w:tc>
          <w:tcPr>
            <w:tcW w:w="1620" w:type="dxa"/>
            <w:vAlign w:val="bottom"/>
            <w:shd w:val="clear" w:color="auto" w:fill="CCEEFF"/>
          </w:tcPr>
          <w:p>
            <w:pPr>
              <w:ind w:left="20"/>
              <w:spacing w:after="0"/>
              <w:rPr>
                <w:sz w:val="20"/>
                <w:szCs w:val="20"/>
                <w:color w:val="auto"/>
              </w:rPr>
            </w:pPr>
            <w:r>
              <w:rPr>
                <w:rFonts w:ascii="Arial" w:cs="Arial" w:eastAsia="Arial" w:hAnsi="Arial"/>
                <w:sz w:val="15"/>
                <w:szCs w:val="15"/>
                <w:color w:val="auto"/>
              </w:rPr>
              <w:t>January</w:t>
            </w:r>
          </w:p>
        </w:tc>
      </w:tr>
      <w:tr>
        <w:trPr>
          <w:trHeight w:val="212"/>
        </w:trPr>
        <w:tc>
          <w:tcPr>
            <w:tcW w:w="4340" w:type="dxa"/>
            <w:vAlign w:val="bottom"/>
            <w:gridSpan w:val="2"/>
          </w:tcPr>
          <w:p>
            <w:pPr>
              <w:ind w:left="20"/>
              <w:spacing w:after="0"/>
              <w:rPr>
                <w:sz w:val="20"/>
                <w:szCs w:val="20"/>
                <w:color w:val="auto"/>
              </w:rPr>
            </w:pPr>
            <w:r>
              <w:rPr>
                <w:rFonts w:ascii="Arial" w:cs="Arial" w:eastAsia="Arial" w:hAnsi="Arial"/>
                <w:sz w:val="15"/>
                <w:szCs w:val="15"/>
                <w:color w:val="auto"/>
              </w:rPr>
              <w:t>Jellystone Natural Bridge</w:t>
            </w:r>
          </w:p>
        </w:tc>
        <w:tc>
          <w:tcPr>
            <w:tcW w:w="500" w:type="dxa"/>
            <w:vAlign w:val="bottom"/>
          </w:tcPr>
          <w:p>
            <w:pPr>
              <w:ind w:left="20"/>
              <w:spacing w:after="0"/>
              <w:rPr>
                <w:sz w:val="20"/>
                <w:szCs w:val="20"/>
                <w:color w:val="auto"/>
              </w:rPr>
            </w:pPr>
            <w:r>
              <w:rPr>
                <w:rFonts w:ascii="Arial" w:cs="Arial" w:eastAsia="Arial" w:hAnsi="Arial"/>
                <w:sz w:val="15"/>
                <w:szCs w:val="15"/>
                <w:color w:val="auto"/>
              </w:rPr>
              <w:t>RV</w:t>
            </w: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Pr>
          <w:p>
            <w:pPr>
              <w:jc w:val="right"/>
              <w:ind w:right="64"/>
              <w:spacing w:after="0"/>
              <w:rPr>
                <w:sz w:val="20"/>
                <w:szCs w:val="20"/>
                <w:color w:val="auto"/>
              </w:rPr>
            </w:pPr>
            <w:r>
              <w:rPr>
                <w:rFonts w:ascii="Arial" w:cs="Arial" w:eastAsia="Arial" w:hAnsi="Arial"/>
                <w:sz w:val="15"/>
                <w:szCs w:val="15"/>
                <w:color w:val="auto"/>
              </w:rPr>
              <w:t>299</w:t>
            </w:r>
          </w:p>
        </w:tc>
        <w:tc>
          <w:tcPr>
            <w:tcW w:w="220" w:type="dxa"/>
            <w:vAlign w:val="bottom"/>
          </w:tcPr>
          <w:p>
            <w:pPr>
              <w:spacing w:after="0"/>
              <w:rPr>
                <w:sz w:val="18"/>
                <w:szCs w:val="18"/>
                <w:color w:val="auto"/>
              </w:rPr>
            </w:pPr>
          </w:p>
        </w:tc>
        <w:tc>
          <w:tcPr>
            <w:tcW w:w="1720" w:type="dxa"/>
            <w:vAlign w:val="bottom"/>
            <w:gridSpan w:val="2"/>
          </w:tcPr>
          <w:p>
            <w:pPr>
              <w:ind w:left="20"/>
              <w:spacing w:after="0"/>
              <w:rPr>
                <w:sz w:val="20"/>
                <w:szCs w:val="20"/>
                <w:color w:val="auto"/>
              </w:rPr>
            </w:pPr>
            <w:r>
              <w:rPr>
                <w:rFonts w:ascii="Arial" w:cs="Arial" w:eastAsia="Arial" w:hAnsi="Arial"/>
                <w:sz w:val="15"/>
                <w:szCs w:val="15"/>
                <w:color w:val="auto"/>
              </w:rPr>
              <w:t>VA</w:t>
            </w:r>
          </w:p>
        </w:tc>
        <w:tc>
          <w:tcPr>
            <w:tcW w:w="1620" w:type="dxa"/>
            <w:vAlign w:val="bottom"/>
          </w:tcPr>
          <w:p>
            <w:pPr>
              <w:ind w:left="20"/>
              <w:spacing w:after="0"/>
              <w:rPr>
                <w:sz w:val="20"/>
                <w:szCs w:val="20"/>
                <w:color w:val="auto"/>
              </w:rPr>
            </w:pPr>
            <w:r>
              <w:rPr>
                <w:rFonts w:ascii="Arial" w:cs="Arial" w:eastAsia="Arial" w:hAnsi="Arial"/>
                <w:sz w:val="15"/>
                <w:szCs w:val="15"/>
                <w:color w:val="auto"/>
              </w:rPr>
              <w:t>February</w:t>
            </w:r>
          </w:p>
        </w:tc>
      </w:tr>
      <w:tr>
        <w:trPr>
          <w:trHeight w:val="220"/>
        </w:trPr>
        <w:tc>
          <w:tcPr>
            <w:tcW w:w="434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 xml:space="preserve">Forest Springs </w:t>
            </w:r>
            <w:r>
              <w:rPr>
                <w:rFonts w:ascii="Arial" w:cs="Arial" w:eastAsia="Arial" w:hAnsi="Arial"/>
                <w:sz w:val="9"/>
                <w:szCs w:val="9"/>
                <w:color w:val="auto"/>
              </w:rPr>
              <w:t>(2)</w:t>
            </w:r>
          </w:p>
        </w:tc>
        <w:tc>
          <w:tcPr>
            <w:tcW w:w="500" w:type="dxa"/>
            <w:vAlign w:val="bottom"/>
            <w:shd w:val="clear" w:color="auto" w:fill="CCEEFF"/>
          </w:tcPr>
          <w:p>
            <w:pPr>
              <w:ind w:left="20"/>
              <w:spacing w:after="0"/>
              <w:rPr>
                <w:sz w:val="20"/>
                <w:szCs w:val="20"/>
                <w:color w:val="auto"/>
              </w:rPr>
            </w:pPr>
            <w:r>
              <w:rPr>
                <w:rFonts w:ascii="Arial" w:cs="Arial" w:eastAsia="Arial" w:hAnsi="Arial"/>
                <w:sz w:val="15"/>
                <w:szCs w:val="15"/>
                <w:color w:val="auto"/>
              </w:rPr>
              <w:t>MH</w:t>
            </w: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2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372</w:t>
            </w:r>
          </w:p>
        </w:tc>
        <w:tc>
          <w:tcPr>
            <w:tcW w:w="220" w:type="dxa"/>
            <w:vAlign w:val="bottom"/>
            <w:shd w:val="clear" w:color="auto" w:fill="CCEEFF"/>
          </w:tcPr>
          <w:p>
            <w:pPr>
              <w:spacing w:after="0"/>
              <w:rPr>
                <w:sz w:val="19"/>
                <w:szCs w:val="19"/>
                <w:color w:val="auto"/>
              </w:rPr>
            </w:pPr>
          </w:p>
        </w:tc>
        <w:tc>
          <w:tcPr>
            <w:tcW w:w="172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CA</w:t>
            </w:r>
          </w:p>
        </w:tc>
        <w:tc>
          <w:tcPr>
            <w:tcW w:w="1620" w:type="dxa"/>
            <w:vAlign w:val="bottom"/>
            <w:shd w:val="clear" w:color="auto" w:fill="CCEEFF"/>
          </w:tcPr>
          <w:p>
            <w:pPr>
              <w:ind w:left="20"/>
              <w:spacing w:after="0"/>
              <w:rPr>
                <w:sz w:val="20"/>
                <w:szCs w:val="20"/>
                <w:color w:val="auto"/>
              </w:rPr>
            </w:pPr>
            <w:r>
              <w:rPr>
                <w:rFonts w:ascii="Arial" w:cs="Arial" w:eastAsia="Arial" w:hAnsi="Arial"/>
                <w:sz w:val="15"/>
                <w:szCs w:val="15"/>
                <w:color w:val="auto"/>
              </w:rPr>
              <w:t>May</w:t>
            </w:r>
          </w:p>
        </w:tc>
      </w:tr>
      <w:tr>
        <w:trPr>
          <w:trHeight w:val="212"/>
        </w:trPr>
        <w:tc>
          <w:tcPr>
            <w:tcW w:w="4340" w:type="dxa"/>
            <w:vAlign w:val="bottom"/>
            <w:tcBorders>
              <w:bottom w:val="single" w:sz="8" w:color="CCEEFF"/>
            </w:tcBorders>
            <w:gridSpan w:val="2"/>
          </w:tcPr>
          <w:p>
            <w:pPr>
              <w:ind w:left="20"/>
              <w:spacing w:after="0"/>
              <w:rPr>
                <w:sz w:val="20"/>
                <w:szCs w:val="20"/>
                <w:color w:val="auto"/>
              </w:rPr>
            </w:pPr>
            <w:r>
              <w:rPr>
                <w:rFonts w:ascii="Arial" w:cs="Arial" w:eastAsia="Arial" w:hAnsi="Arial"/>
                <w:sz w:val="15"/>
                <w:szCs w:val="15"/>
                <w:color w:val="auto"/>
              </w:rPr>
              <w:t>Crown Villa</w:t>
            </w:r>
          </w:p>
        </w:tc>
        <w:tc>
          <w:tcPr>
            <w:tcW w:w="50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RV</w:t>
            </w:r>
          </w:p>
        </w:tc>
        <w:tc>
          <w:tcPr>
            <w:tcW w:w="1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62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color w:val="auto"/>
              </w:rPr>
              <w:t>123</w:t>
            </w:r>
          </w:p>
        </w:tc>
        <w:tc>
          <w:tcPr>
            <w:tcW w:w="220" w:type="dxa"/>
            <w:vAlign w:val="bottom"/>
            <w:tcBorders>
              <w:bottom w:val="single" w:sz="8" w:color="CCEEFF"/>
            </w:tcBorders>
          </w:tcPr>
          <w:p>
            <w:pPr>
              <w:spacing w:after="0"/>
              <w:rPr>
                <w:sz w:val="18"/>
                <w:szCs w:val="18"/>
                <w:color w:val="auto"/>
              </w:rPr>
            </w:pPr>
          </w:p>
        </w:tc>
        <w:tc>
          <w:tcPr>
            <w:tcW w:w="1720" w:type="dxa"/>
            <w:vAlign w:val="bottom"/>
            <w:tcBorders>
              <w:bottom w:val="single" w:sz="8" w:color="CCEEFF"/>
            </w:tcBorders>
            <w:gridSpan w:val="2"/>
          </w:tcPr>
          <w:p>
            <w:pPr>
              <w:ind w:left="20"/>
              <w:spacing w:after="0"/>
              <w:rPr>
                <w:sz w:val="20"/>
                <w:szCs w:val="20"/>
                <w:color w:val="auto"/>
              </w:rPr>
            </w:pPr>
            <w:r>
              <w:rPr>
                <w:rFonts w:ascii="Arial" w:cs="Arial" w:eastAsia="Arial" w:hAnsi="Arial"/>
                <w:sz w:val="15"/>
                <w:szCs w:val="15"/>
                <w:color w:val="auto"/>
              </w:rPr>
              <w:t>OR</w:t>
            </w:r>
          </w:p>
        </w:tc>
        <w:tc>
          <w:tcPr>
            <w:tcW w:w="162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June</w:t>
            </w:r>
          </w:p>
        </w:tc>
      </w:tr>
      <w:tr>
        <w:trPr>
          <w:trHeight w:val="238"/>
        </w:trPr>
        <w:tc>
          <w:tcPr>
            <w:tcW w:w="42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Total</w:t>
            </w:r>
          </w:p>
        </w:tc>
        <w:tc>
          <w:tcPr>
            <w:tcW w:w="1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20" w:type="dxa"/>
            <w:vAlign w:val="bottom"/>
            <w:tcBorders>
              <w:bottom w:val="single" w:sz="8" w:color="auto"/>
            </w:tcBorders>
            <w:shd w:val="clear" w:color="auto" w:fill="CCEEFF"/>
          </w:tcPr>
          <w:p>
            <w:pPr>
              <w:jc w:val="right"/>
              <w:ind w:right="84"/>
              <w:spacing w:after="0"/>
              <w:rPr>
                <w:sz w:val="20"/>
                <w:szCs w:val="20"/>
                <w:color w:val="auto"/>
              </w:rPr>
            </w:pPr>
            <w:r>
              <w:rPr>
                <w:rFonts w:ascii="Arial" w:cs="Arial" w:eastAsia="Arial" w:hAnsi="Arial"/>
                <w:sz w:val="15"/>
                <w:szCs w:val="15"/>
                <w:b w:val="1"/>
                <w:bCs w:val="1"/>
                <w:color w:val="auto"/>
              </w:rPr>
              <w:t>1,024</w:t>
            </w:r>
          </w:p>
        </w:tc>
        <w:tc>
          <w:tcPr>
            <w:tcW w:w="220" w:type="dxa"/>
            <w:vAlign w:val="bottom"/>
            <w:tcBorders>
              <w:bottom w:val="single" w:sz="8" w:color="CCEEFF"/>
            </w:tcBorders>
            <w:shd w:val="clear" w:color="auto" w:fill="CCEEFF"/>
          </w:tcPr>
          <w:p>
            <w:pPr>
              <w:spacing w:after="0"/>
              <w:rPr>
                <w:sz w:val="20"/>
                <w:szCs w:val="20"/>
                <w:color w:val="auto"/>
              </w:rPr>
            </w:pPr>
          </w:p>
        </w:tc>
        <w:tc>
          <w:tcPr>
            <w:tcW w:w="16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20" w:type="dxa"/>
            <w:vAlign w:val="bottom"/>
            <w:tcBorders>
              <w:bottom w:val="single" w:sz="8" w:color="CCEEFF"/>
            </w:tcBorders>
            <w:shd w:val="clear" w:color="auto" w:fill="CCEEFF"/>
          </w:tcPr>
          <w:p>
            <w:pPr>
              <w:spacing w:after="0"/>
              <w:rPr>
                <w:sz w:val="20"/>
                <w:szCs w:val="20"/>
                <w:color w:val="auto"/>
              </w:rPr>
            </w:pPr>
          </w:p>
        </w:tc>
      </w:tr>
      <w:tr>
        <w:trPr>
          <w:trHeight w:val="20"/>
        </w:trPr>
        <w:tc>
          <w:tcPr>
            <w:tcW w:w="4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tcBorders>
          </w:tcPr>
          <w:p>
            <w:pPr>
              <w:spacing w:after="0" w:line="20" w:lineRule="exact"/>
              <w:rPr>
                <w:sz w:val="1"/>
                <w:szCs w:val="1"/>
                <w:color w:val="auto"/>
              </w:rPr>
            </w:pPr>
          </w:p>
        </w:tc>
      </w:tr>
    </w:tbl>
    <w:p>
      <w:pPr>
        <w:spacing w:after="0" w:line="89" w:lineRule="exact"/>
        <w:rPr>
          <w:sz w:val="20"/>
          <w:szCs w:val="20"/>
          <w:color w:val="auto"/>
        </w:rPr>
      </w:pPr>
    </w:p>
    <w:p>
      <w:pPr>
        <w:ind w:left="140" w:hanging="132"/>
        <w:spacing w:after="0"/>
        <w:tabs>
          <w:tab w:leader="none" w:pos="140" w:val="left"/>
        </w:tabs>
        <w:numPr>
          <w:ilvl w:val="0"/>
          <w:numId w:val="6"/>
        </w:numPr>
        <w:rPr>
          <w:rFonts w:ascii="Arial" w:cs="Arial" w:eastAsia="Arial" w:hAnsi="Arial"/>
          <w:sz w:val="9"/>
          <w:szCs w:val="9"/>
          <w:color w:val="auto"/>
        </w:rPr>
      </w:pPr>
      <w:r>
        <w:rPr>
          <w:rFonts w:ascii="Arial" w:cs="Arial" w:eastAsia="Arial" w:hAnsi="Arial"/>
          <w:sz w:val="14"/>
          <w:szCs w:val="14"/>
          <w:color w:val="auto"/>
        </w:rPr>
        <w:t>In conjunction with the acquisition, we issued Series E preferred OP units. As of June 30, 2020, 90,000 Series E Preferred OP units were outstanding.</w:t>
      </w:r>
    </w:p>
    <w:p>
      <w:pPr>
        <w:spacing w:after="0" w:line="13" w:lineRule="exact"/>
        <w:rPr>
          <w:rFonts w:ascii="Arial" w:cs="Arial" w:eastAsia="Arial" w:hAnsi="Arial"/>
          <w:sz w:val="9"/>
          <w:szCs w:val="9"/>
          <w:color w:val="auto"/>
        </w:rPr>
      </w:pPr>
    </w:p>
    <w:p>
      <w:pPr>
        <w:ind w:left="260" w:hanging="252"/>
        <w:spacing w:after="0" w:line="255" w:lineRule="auto"/>
        <w:tabs>
          <w:tab w:leader="none" w:pos="163" w:val="left"/>
        </w:tabs>
        <w:numPr>
          <w:ilvl w:val="0"/>
          <w:numId w:val="6"/>
        </w:numPr>
        <w:rPr>
          <w:rFonts w:ascii="Arial" w:cs="Arial" w:eastAsia="Arial" w:hAnsi="Arial"/>
          <w:sz w:val="9"/>
          <w:szCs w:val="9"/>
          <w:color w:val="auto"/>
        </w:rPr>
      </w:pPr>
      <w:r>
        <w:rPr>
          <w:rFonts w:ascii="Arial" w:cs="Arial" w:eastAsia="Arial" w:hAnsi="Arial"/>
          <w:sz w:val="14"/>
          <w:szCs w:val="14"/>
          <w:color w:val="auto"/>
        </w:rPr>
        <w:t>In conjunction with the acquisition, we issued Series F preferred OP units and common OP units. As of June 30, 2020, 90,000 Series F preferred OP units and 82,420 common OP units, specific to this acquisition, were outstanding.</w:t>
      </w:r>
    </w:p>
    <w:p>
      <w:pPr>
        <w:spacing w:after="0" w:line="2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summarizes the amounts of assets acquired net of liabilities assumed at the acquisition date and the consideration paid for the acquisitions completed for the six months ended June 30, 2020 (in thousands):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116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600" w:type="dxa"/>
            <w:vAlign w:val="bottom"/>
            <w:tcBorders>
              <w:bottom w:val="single" w:sz="8" w:color="auto"/>
            </w:tcBorders>
            <w:gridSpan w:val="5"/>
          </w:tcPr>
          <w:p>
            <w:pPr>
              <w:ind w:left="300"/>
              <w:spacing w:after="0"/>
              <w:rPr>
                <w:sz w:val="20"/>
                <w:szCs w:val="20"/>
                <w:color w:val="auto"/>
              </w:rPr>
            </w:pPr>
            <w:r>
              <w:rPr>
                <w:rFonts w:ascii="Arial" w:cs="Arial" w:eastAsia="Arial" w:hAnsi="Arial"/>
                <w:sz w:val="15"/>
                <w:szCs w:val="15"/>
                <w:b w:val="1"/>
                <w:bCs w:val="1"/>
                <w:color w:val="auto"/>
              </w:rPr>
              <w:t>At Acquisition Date</w:t>
            </w:r>
          </w:p>
        </w:tc>
        <w:tc>
          <w:tcPr>
            <w:tcW w:w="3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gridSpan w:val="2"/>
          </w:tcPr>
          <w:p>
            <w:pPr>
              <w:ind w:left="220"/>
              <w:spacing w:after="0"/>
              <w:rPr>
                <w:sz w:val="20"/>
                <w:szCs w:val="20"/>
                <w:color w:val="auto"/>
              </w:rPr>
            </w:pPr>
            <w:r>
              <w:rPr>
                <w:rFonts w:ascii="Arial" w:cs="Arial" w:eastAsia="Arial" w:hAnsi="Arial"/>
                <w:sz w:val="15"/>
                <w:szCs w:val="15"/>
                <w:b w:val="1"/>
                <w:bCs w:val="1"/>
                <w:color w:val="auto"/>
                <w:w w:val="93"/>
              </w:rPr>
              <w:t>Consideration</w:t>
            </w:r>
          </w:p>
        </w:tc>
        <w:tc>
          <w:tcPr>
            <w:tcW w:w="1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r>
      <w:tr>
        <w:trPr>
          <w:trHeight w:val="169"/>
        </w:trPr>
        <w:tc>
          <w:tcPr>
            <w:tcW w:w="1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center"/>
              <w:ind w:right="180"/>
              <w:spacing w:after="0" w:line="169" w:lineRule="exact"/>
              <w:rPr>
                <w:sz w:val="20"/>
                <w:szCs w:val="20"/>
                <w:color w:val="auto"/>
              </w:rPr>
            </w:pPr>
            <w:r>
              <w:rPr>
                <w:rFonts w:ascii="Arial" w:cs="Arial" w:eastAsia="Arial" w:hAnsi="Arial"/>
                <w:sz w:val="15"/>
                <w:szCs w:val="15"/>
                <w:color w:val="auto"/>
                <w:w w:val="96"/>
              </w:rPr>
              <w:t>Inventory of</w:t>
            </w:r>
          </w:p>
        </w:tc>
        <w:tc>
          <w:tcPr>
            <w:tcW w:w="1460" w:type="dxa"/>
            <w:vAlign w:val="bottom"/>
            <w:gridSpan w:val="3"/>
          </w:tcPr>
          <w:p>
            <w:pPr>
              <w:jc w:val="center"/>
              <w:ind w:right="100"/>
              <w:spacing w:after="0" w:line="169" w:lineRule="exact"/>
              <w:rPr>
                <w:sz w:val="20"/>
                <w:szCs w:val="20"/>
                <w:color w:val="auto"/>
              </w:rPr>
            </w:pPr>
            <w:r>
              <w:rPr>
                <w:rFonts w:ascii="Arial" w:cs="Arial" w:eastAsia="Arial" w:hAnsi="Arial"/>
                <w:sz w:val="15"/>
                <w:szCs w:val="15"/>
                <w:color w:val="auto"/>
                <w:w w:val="89"/>
              </w:rPr>
              <w:t>In-place leases and</w:t>
            </w: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20" w:type="dxa"/>
            <w:vAlign w:val="bottom"/>
            <w:gridSpan w:val="3"/>
          </w:tcPr>
          <w:p>
            <w:pPr>
              <w:ind w:left="80"/>
              <w:spacing w:after="0" w:line="169" w:lineRule="exact"/>
              <w:rPr>
                <w:sz w:val="20"/>
                <w:szCs w:val="20"/>
                <w:color w:val="auto"/>
              </w:rPr>
            </w:pPr>
            <w:r>
              <w:rPr>
                <w:rFonts w:ascii="Arial" w:cs="Arial" w:eastAsia="Arial" w:hAnsi="Arial"/>
                <w:sz w:val="15"/>
                <w:szCs w:val="15"/>
                <w:b w:val="1"/>
                <w:bCs w:val="1"/>
                <w:color w:val="auto"/>
              </w:rPr>
              <w:t>Total identifiable assets</w:t>
            </w: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2"/>
        </w:trPr>
        <w:tc>
          <w:tcPr>
            <w:tcW w:w="1160" w:type="dxa"/>
            <w:vAlign w:val="bottom"/>
          </w:tcPr>
          <w:p>
            <w:pPr>
              <w:spacing w:after="0"/>
              <w:rPr>
                <w:sz w:val="14"/>
                <w:szCs w:val="14"/>
                <w:color w:val="auto"/>
              </w:rPr>
            </w:pPr>
          </w:p>
        </w:tc>
        <w:tc>
          <w:tcPr>
            <w:tcW w:w="1080" w:type="dxa"/>
            <w:vAlign w:val="bottom"/>
            <w:gridSpan w:val="3"/>
          </w:tcPr>
          <w:p>
            <w:pPr>
              <w:ind w:left="80"/>
              <w:spacing w:after="0" w:line="162" w:lineRule="exact"/>
              <w:rPr>
                <w:sz w:val="20"/>
                <w:szCs w:val="20"/>
                <w:color w:val="auto"/>
              </w:rPr>
            </w:pPr>
            <w:r>
              <w:rPr>
                <w:rFonts w:ascii="Arial" w:cs="Arial" w:eastAsia="Arial" w:hAnsi="Arial"/>
                <w:sz w:val="15"/>
                <w:szCs w:val="15"/>
                <w:color w:val="auto"/>
              </w:rPr>
              <w:t>Investment in</w:t>
            </w:r>
          </w:p>
        </w:tc>
        <w:tc>
          <w:tcPr>
            <w:tcW w:w="100" w:type="dxa"/>
            <w:vAlign w:val="bottom"/>
          </w:tcPr>
          <w:p>
            <w:pPr>
              <w:spacing w:after="0"/>
              <w:rPr>
                <w:sz w:val="14"/>
                <w:szCs w:val="14"/>
                <w:color w:val="auto"/>
              </w:rPr>
            </w:pPr>
          </w:p>
        </w:tc>
        <w:tc>
          <w:tcPr>
            <w:tcW w:w="1060" w:type="dxa"/>
            <w:vAlign w:val="bottom"/>
            <w:gridSpan w:val="2"/>
          </w:tcPr>
          <w:p>
            <w:pPr>
              <w:jc w:val="center"/>
              <w:ind w:right="180"/>
              <w:spacing w:after="0" w:line="162" w:lineRule="exact"/>
              <w:rPr>
                <w:sz w:val="20"/>
                <w:szCs w:val="20"/>
                <w:color w:val="auto"/>
              </w:rPr>
            </w:pPr>
            <w:r>
              <w:rPr>
                <w:rFonts w:ascii="Arial" w:cs="Arial" w:eastAsia="Arial" w:hAnsi="Arial"/>
                <w:sz w:val="15"/>
                <w:szCs w:val="15"/>
                <w:color w:val="auto"/>
                <w:w w:val="91"/>
              </w:rPr>
              <w:t>manufactured</w:t>
            </w:r>
          </w:p>
        </w:tc>
        <w:tc>
          <w:tcPr>
            <w:tcW w:w="160" w:type="dxa"/>
            <w:vAlign w:val="bottom"/>
          </w:tcPr>
          <w:p>
            <w:pPr>
              <w:spacing w:after="0"/>
              <w:rPr>
                <w:sz w:val="14"/>
                <w:szCs w:val="14"/>
                <w:color w:val="auto"/>
              </w:rPr>
            </w:pPr>
          </w:p>
        </w:tc>
        <w:tc>
          <w:tcPr>
            <w:tcW w:w="1300" w:type="dxa"/>
            <w:vAlign w:val="bottom"/>
            <w:gridSpan w:val="2"/>
          </w:tcPr>
          <w:p>
            <w:pPr>
              <w:jc w:val="center"/>
              <w:ind w:right="260"/>
              <w:spacing w:after="0" w:line="162" w:lineRule="exact"/>
              <w:rPr>
                <w:sz w:val="20"/>
                <w:szCs w:val="20"/>
                <w:color w:val="auto"/>
              </w:rPr>
            </w:pPr>
            <w:r>
              <w:rPr>
                <w:rFonts w:ascii="Arial" w:cs="Arial" w:eastAsia="Arial" w:hAnsi="Arial"/>
                <w:sz w:val="15"/>
                <w:szCs w:val="15"/>
                <w:color w:val="auto"/>
                <w:w w:val="93"/>
              </w:rPr>
              <w:t>other intangible</w:t>
            </w:r>
          </w:p>
        </w:tc>
        <w:tc>
          <w:tcPr>
            <w:tcW w:w="100" w:type="dxa"/>
            <w:vAlign w:val="bottom"/>
          </w:tcPr>
          <w:p>
            <w:pPr>
              <w:spacing w:after="0"/>
              <w:rPr>
                <w:sz w:val="14"/>
                <w:szCs w:val="14"/>
                <w:color w:val="auto"/>
              </w:rPr>
            </w:pPr>
          </w:p>
        </w:tc>
        <w:tc>
          <w:tcPr>
            <w:tcW w:w="1200" w:type="dxa"/>
            <w:vAlign w:val="bottom"/>
            <w:gridSpan w:val="2"/>
          </w:tcPr>
          <w:p>
            <w:pPr>
              <w:ind w:left="120"/>
              <w:spacing w:after="0" w:line="162" w:lineRule="exact"/>
              <w:rPr>
                <w:sz w:val="20"/>
                <w:szCs w:val="20"/>
                <w:color w:val="auto"/>
              </w:rPr>
            </w:pPr>
            <w:r>
              <w:rPr>
                <w:rFonts w:ascii="Arial" w:cs="Arial" w:eastAsia="Arial" w:hAnsi="Arial"/>
                <w:sz w:val="15"/>
                <w:szCs w:val="15"/>
                <w:color w:val="auto"/>
              </w:rPr>
              <w:t>Other assets</w:t>
            </w:r>
          </w:p>
        </w:tc>
        <w:tc>
          <w:tcPr>
            <w:tcW w:w="1820" w:type="dxa"/>
            <w:vAlign w:val="bottom"/>
            <w:gridSpan w:val="3"/>
          </w:tcPr>
          <w:p>
            <w:pPr>
              <w:ind w:left="20"/>
              <w:spacing w:after="0" w:line="162" w:lineRule="exact"/>
              <w:rPr>
                <w:sz w:val="20"/>
                <w:szCs w:val="20"/>
                <w:color w:val="auto"/>
              </w:rPr>
            </w:pPr>
            <w:r>
              <w:rPr>
                <w:rFonts w:ascii="Arial" w:cs="Arial" w:eastAsia="Arial" w:hAnsi="Arial"/>
                <w:sz w:val="15"/>
                <w:szCs w:val="15"/>
                <w:b w:val="1"/>
                <w:bCs w:val="1"/>
                <w:color w:val="auto"/>
              </w:rPr>
              <w:t>acquired net of liabilities</w:t>
            </w:r>
          </w:p>
        </w:tc>
        <w:tc>
          <w:tcPr>
            <w:tcW w:w="820" w:type="dxa"/>
            <w:vAlign w:val="bottom"/>
            <w:gridSpan w:val="3"/>
          </w:tcPr>
          <w:p>
            <w:pPr>
              <w:ind w:left="100"/>
              <w:spacing w:after="0" w:line="162" w:lineRule="exact"/>
              <w:rPr>
                <w:sz w:val="20"/>
                <w:szCs w:val="20"/>
                <w:color w:val="auto"/>
              </w:rPr>
            </w:pPr>
            <w:r>
              <w:rPr>
                <w:rFonts w:ascii="Arial" w:cs="Arial" w:eastAsia="Arial" w:hAnsi="Arial"/>
                <w:sz w:val="15"/>
                <w:szCs w:val="15"/>
                <w:color w:val="auto"/>
              </w:rPr>
              <w:t>Cash and</w:t>
            </w:r>
          </w:p>
        </w:tc>
        <w:tc>
          <w:tcPr>
            <w:tcW w:w="140" w:type="dxa"/>
            <w:vAlign w:val="bottom"/>
          </w:tcPr>
          <w:p>
            <w:pPr>
              <w:spacing w:after="0"/>
              <w:rPr>
                <w:sz w:val="14"/>
                <w:szCs w:val="14"/>
                <w:color w:val="auto"/>
              </w:rPr>
            </w:pPr>
          </w:p>
        </w:tc>
        <w:tc>
          <w:tcPr>
            <w:tcW w:w="1180" w:type="dxa"/>
            <w:vAlign w:val="bottom"/>
            <w:gridSpan w:val="2"/>
          </w:tcPr>
          <w:p>
            <w:pPr>
              <w:jc w:val="center"/>
              <w:ind w:right="220"/>
              <w:spacing w:after="0" w:line="162" w:lineRule="exact"/>
              <w:rPr>
                <w:sz w:val="20"/>
                <w:szCs w:val="20"/>
                <w:color w:val="auto"/>
              </w:rPr>
            </w:pPr>
            <w:r>
              <w:rPr>
                <w:rFonts w:ascii="Arial" w:cs="Arial" w:eastAsia="Arial" w:hAnsi="Arial"/>
                <w:sz w:val="15"/>
                <w:szCs w:val="15"/>
                <w:color w:val="auto"/>
                <w:w w:val="90"/>
              </w:rPr>
              <w:t>Temporary and</w:t>
            </w:r>
          </w:p>
        </w:tc>
        <w:tc>
          <w:tcPr>
            <w:tcW w:w="100" w:type="dxa"/>
            <w:vAlign w:val="bottom"/>
          </w:tcPr>
          <w:p>
            <w:pPr>
              <w:spacing w:after="0"/>
              <w:rPr>
                <w:sz w:val="14"/>
                <w:szCs w:val="14"/>
                <w:color w:val="auto"/>
              </w:rPr>
            </w:pPr>
          </w:p>
        </w:tc>
        <w:tc>
          <w:tcPr>
            <w:tcW w:w="1020" w:type="dxa"/>
            <w:vAlign w:val="bottom"/>
          </w:tcPr>
          <w:p>
            <w:pPr>
              <w:jc w:val="right"/>
              <w:ind w:right="324"/>
              <w:spacing w:after="0" w:line="162" w:lineRule="exact"/>
              <w:rPr>
                <w:sz w:val="20"/>
                <w:szCs w:val="20"/>
                <w:color w:val="auto"/>
              </w:rPr>
            </w:pPr>
            <w:r>
              <w:rPr>
                <w:rFonts w:ascii="Arial" w:cs="Arial" w:eastAsia="Arial" w:hAnsi="Arial"/>
                <w:sz w:val="15"/>
                <w:szCs w:val="15"/>
                <w:b w:val="1"/>
                <w:bCs w:val="1"/>
                <w:color w:val="auto"/>
              </w:rPr>
              <w:t>Total</w:t>
            </w:r>
          </w:p>
        </w:tc>
      </w:tr>
      <w:tr>
        <w:trPr>
          <w:trHeight w:val="202"/>
        </w:trPr>
        <w:tc>
          <w:tcPr>
            <w:tcW w:w="116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164"/>
              <w:spacing w:after="0"/>
              <w:rPr>
                <w:sz w:val="20"/>
                <w:szCs w:val="20"/>
                <w:color w:val="auto"/>
              </w:rPr>
            </w:pPr>
            <w:r>
              <w:rPr>
                <w:rFonts w:ascii="Arial" w:cs="Arial" w:eastAsia="Arial" w:hAnsi="Arial"/>
                <w:sz w:val="15"/>
                <w:szCs w:val="15"/>
                <w:color w:val="auto"/>
              </w:rPr>
              <w:t>property</w:t>
            </w:r>
          </w:p>
        </w:tc>
        <w:tc>
          <w:tcPr>
            <w:tcW w:w="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center"/>
              <w:ind w:right="24"/>
              <w:spacing w:after="0"/>
              <w:rPr>
                <w:sz w:val="20"/>
                <w:szCs w:val="20"/>
                <w:color w:val="auto"/>
              </w:rPr>
            </w:pPr>
            <w:r>
              <w:rPr>
                <w:rFonts w:ascii="Arial" w:cs="Arial" w:eastAsia="Arial" w:hAnsi="Arial"/>
                <w:sz w:val="15"/>
                <w:szCs w:val="15"/>
                <w:color w:val="auto"/>
                <w:w w:val="88"/>
              </w:rPr>
              <w:t>homes</w:t>
            </w:r>
          </w:p>
        </w:tc>
        <w:tc>
          <w:tcPr>
            <w:tcW w:w="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center"/>
              <w:ind w:right="64"/>
              <w:spacing w:after="0"/>
              <w:rPr>
                <w:sz w:val="20"/>
                <w:szCs w:val="20"/>
                <w:color w:val="auto"/>
              </w:rPr>
            </w:pPr>
            <w:r>
              <w:rPr>
                <w:rFonts w:ascii="Arial" w:cs="Arial" w:eastAsia="Arial" w:hAnsi="Arial"/>
                <w:sz w:val="15"/>
                <w:szCs w:val="15"/>
                <w:color w:val="auto"/>
                <w:w w:val="82"/>
              </w:rPr>
              <w:t>assets</w:t>
            </w: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w w:val="98"/>
              </w:rPr>
              <w:t>(liabilities), net</w:t>
            </w:r>
          </w:p>
        </w:tc>
        <w:tc>
          <w:tcPr>
            <w:tcW w:w="1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484"/>
              <w:spacing w:after="0"/>
              <w:rPr>
                <w:sz w:val="20"/>
                <w:szCs w:val="20"/>
                <w:color w:val="auto"/>
              </w:rPr>
            </w:pPr>
            <w:r>
              <w:rPr>
                <w:rFonts w:ascii="Arial" w:cs="Arial" w:eastAsia="Arial" w:hAnsi="Arial"/>
                <w:sz w:val="15"/>
                <w:szCs w:val="15"/>
                <w:b w:val="1"/>
                <w:bCs w:val="1"/>
                <w:color w:val="auto"/>
              </w:rPr>
              <w:t>assumed</w:t>
            </w:r>
          </w:p>
        </w:tc>
        <w:tc>
          <w:tcPr>
            <w:tcW w:w="14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color w:val="auto"/>
                <w:w w:val="92"/>
              </w:rPr>
              <w:t>escrow</w:t>
            </w:r>
          </w:p>
        </w:tc>
        <w:tc>
          <w:tcPr>
            <w:tcW w:w="80" w:type="dxa"/>
            <w:vAlign w:val="bottom"/>
            <w:tcBorders>
              <w:bottom w:val="single" w:sz="8" w:color="CCEEFF"/>
            </w:tcBorders>
          </w:tcPr>
          <w:p>
            <w:pPr>
              <w:spacing w:after="0"/>
              <w:rPr>
                <w:sz w:val="17"/>
                <w:szCs w:val="17"/>
                <w:color w:val="auto"/>
              </w:rPr>
            </w:pPr>
          </w:p>
        </w:tc>
        <w:tc>
          <w:tcPr>
            <w:tcW w:w="1240" w:type="dxa"/>
            <w:vAlign w:val="bottom"/>
            <w:tcBorders>
              <w:bottom w:val="single" w:sz="8" w:color="auto"/>
            </w:tcBorders>
            <w:gridSpan w:val="2"/>
          </w:tcPr>
          <w:p>
            <w:pPr>
              <w:jc w:val="center"/>
              <w:spacing w:after="0"/>
              <w:rPr>
                <w:sz w:val="20"/>
                <w:szCs w:val="20"/>
                <w:color w:val="auto"/>
              </w:rPr>
            </w:pPr>
            <w:r>
              <w:rPr>
                <w:rFonts w:ascii="Arial" w:cs="Arial" w:eastAsia="Arial" w:hAnsi="Arial"/>
                <w:sz w:val="15"/>
                <w:szCs w:val="15"/>
                <w:color w:val="auto"/>
                <w:w w:val="91"/>
              </w:rPr>
              <w:t>permanent equity</w:t>
            </w:r>
          </w:p>
        </w:tc>
        <w:tc>
          <w:tcPr>
            <w:tcW w:w="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b w:val="1"/>
                <w:bCs w:val="1"/>
                <w:color w:val="auto"/>
                <w:w w:val="89"/>
              </w:rPr>
              <w:t>consideration</w:t>
            </w:r>
          </w:p>
        </w:tc>
      </w:tr>
      <w:tr>
        <w:trPr>
          <w:trHeight w:val="213"/>
        </w:trPr>
        <w:tc>
          <w:tcPr>
            <w:tcW w:w="1160" w:type="dxa"/>
            <w:vAlign w:val="bottom"/>
            <w:shd w:val="clear" w:color="auto" w:fill="CCEEFF"/>
          </w:tcPr>
          <w:p>
            <w:pPr>
              <w:ind w:left="20"/>
              <w:spacing w:after="0"/>
              <w:rPr>
                <w:sz w:val="20"/>
                <w:szCs w:val="20"/>
                <w:color w:val="auto"/>
              </w:rPr>
            </w:pPr>
            <w:r>
              <w:rPr>
                <w:rFonts w:ascii="Arial" w:cs="Arial" w:eastAsia="Arial" w:hAnsi="Arial"/>
                <w:sz w:val="15"/>
                <w:szCs w:val="15"/>
                <w:color w:val="auto"/>
              </w:rPr>
              <w:t>Cape Cod</w:t>
            </w:r>
          </w:p>
        </w:tc>
        <w:tc>
          <w:tcPr>
            <w:tcW w:w="1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95"/>
              </w:rPr>
              <w:t>$</w:t>
            </w:r>
          </w:p>
        </w:tc>
        <w:tc>
          <w:tcPr>
            <w:tcW w:w="82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rPr>
              <w:t>13,350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18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150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(295)</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20"/>
                <w:szCs w:val="20"/>
                <w:color w:val="auto"/>
              </w:rPr>
            </w:pPr>
            <w:r>
              <w:rPr>
                <w:rFonts w:ascii="Arial" w:cs="Arial" w:eastAsia="Arial" w:hAnsi="Arial"/>
                <w:sz w:val="15"/>
                <w:szCs w:val="15"/>
                <w:color w:val="auto"/>
              </w:rPr>
              <w:t>$</w:t>
            </w:r>
          </w:p>
        </w:tc>
        <w:tc>
          <w:tcPr>
            <w:tcW w:w="136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13,205</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60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4,205</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10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9,000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13,205</w:t>
            </w:r>
          </w:p>
        </w:tc>
      </w:tr>
      <w:tr>
        <w:trPr>
          <w:trHeight w:val="176"/>
        </w:trPr>
        <w:tc>
          <w:tcPr>
            <w:tcW w:w="1160" w:type="dxa"/>
            <w:vAlign w:val="bottom"/>
          </w:tcPr>
          <w:p>
            <w:pPr>
              <w:ind w:left="20"/>
              <w:spacing w:after="0"/>
              <w:rPr>
                <w:sz w:val="20"/>
                <w:szCs w:val="20"/>
                <w:color w:val="auto"/>
              </w:rPr>
            </w:pPr>
            <w:r>
              <w:rPr>
                <w:rFonts w:ascii="Arial" w:cs="Arial" w:eastAsia="Arial" w:hAnsi="Arial"/>
                <w:sz w:val="15"/>
                <w:szCs w:val="15"/>
                <w:color w:val="auto"/>
                <w:w w:val="93"/>
              </w:rPr>
              <w:t>Jellystone Natural</w:t>
            </w: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98"/>
        </w:trPr>
        <w:tc>
          <w:tcPr>
            <w:tcW w:w="1160" w:type="dxa"/>
            <w:vAlign w:val="bottom"/>
          </w:tcPr>
          <w:p>
            <w:pPr>
              <w:ind w:left="20"/>
              <w:spacing w:after="0"/>
              <w:rPr>
                <w:sz w:val="20"/>
                <w:szCs w:val="20"/>
                <w:color w:val="auto"/>
              </w:rPr>
            </w:pPr>
            <w:r>
              <w:rPr>
                <w:rFonts w:ascii="Arial" w:cs="Arial" w:eastAsia="Arial" w:hAnsi="Arial"/>
                <w:sz w:val="15"/>
                <w:szCs w:val="15"/>
                <w:color w:val="auto"/>
              </w:rPr>
              <w:t>Bridge</w:t>
            </w:r>
          </w:p>
        </w:tc>
        <w:tc>
          <w:tcPr>
            <w:tcW w:w="180" w:type="dxa"/>
            <w:vAlign w:val="bottom"/>
          </w:tcPr>
          <w:p>
            <w:pPr>
              <w:spacing w:after="0"/>
              <w:rPr>
                <w:sz w:val="17"/>
                <w:szCs w:val="17"/>
                <w:color w:val="auto"/>
              </w:rPr>
            </w:pPr>
          </w:p>
        </w:tc>
        <w:tc>
          <w:tcPr>
            <w:tcW w:w="820" w:type="dxa"/>
            <w:vAlign w:val="bottom"/>
          </w:tcPr>
          <w:p>
            <w:pPr>
              <w:jc w:val="right"/>
              <w:ind w:right="84"/>
              <w:spacing w:after="0"/>
              <w:rPr>
                <w:sz w:val="20"/>
                <w:szCs w:val="20"/>
                <w:color w:val="auto"/>
              </w:rPr>
            </w:pPr>
            <w:r>
              <w:rPr>
                <w:rFonts w:ascii="Arial" w:cs="Arial" w:eastAsia="Arial" w:hAnsi="Arial"/>
                <w:sz w:val="15"/>
                <w:szCs w:val="15"/>
                <w:color w:val="auto"/>
              </w:rPr>
              <w:t>11,364</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7"/>
                <w:szCs w:val="17"/>
                <w:color w:val="auto"/>
              </w:rPr>
            </w:pPr>
          </w:p>
        </w:tc>
        <w:tc>
          <w:tcPr>
            <w:tcW w:w="1180" w:type="dxa"/>
            <w:vAlign w:val="bottom"/>
          </w:tcPr>
          <w:p>
            <w:pPr>
              <w:jc w:val="right"/>
              <w:ind w:right="64"/>
              <w:spacing w:after="0"/>
              <w:rPr>
                <w:sz w:val="20"/>
                <w:szCs w:val="20"/>
                <w:color w:val="auto"/>
              </w:rPr>
            </w:pPr>
            <w:r>
              <w:rPr>
                <w:rFonts w:ascii="Arial" w:cs="Arial" w:eastAsia="Arial" w:hAnsi="Arial"/>
                <w:sz w:val="15"/>
                <w:szCs w:val="15"/>
                <w:color w:val="auto"/>
              </w:rPr>
              <w:t>80</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jc w:val="right"/>
              <w:ind w:right="24"/>
              <w:spacing w:after="0"/>
              <w:rPr>
                <w:sz w:val="20"/>
                <w:szCs w:val="20"/>
                <w:color w:val="auto"/>
              </w:rPr>
            </w:pPr>
            <w:r>
              <w:rPr>
                <w:rFonts w:ascii="Arial" w:cs="Arial" w:eastAsia="Arial" w:hAnsi="Arial"/>
                <w:sz w:val="15"/>
                <w:szCs w:val="15"/>
                <w:color w:val="auto"/>
              </w:rPr>
              <w:t>(391)</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60" w:type="dxa"/>
            <w:vAlign w:val="bottom"/>
          </w:tcPr>
          <w:p>
            <w:pPr>
              <w:jc w:val="right"/>
              <w:ind w:right="64"/>
              <w:spacing w:after="0"/>
              <w:rPr>
                <w:sz w:val="20"/>
                <w:szCs w:val="20"/>
                <w:color w:val="auto"/>
              </w:rPr>
            </w:pPr>
            <w:r>
              <w:rPr>
                <w:rFonts w:ascii="Arial" w:cs="Arial" w:eastAsia="Arial" w:hAnsi="Arial"/>
                <w:sz w:val="15"/>
                <w:szCs w:val="15"/>
                <w:color w:val="auto"/>
              </w:rPr>
              <w:t>11,053</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jc w:val="right"/>
              <w:ind w:right="64"/>
              <w:spacing w:after="0"/>
              <w:rPr>
                <w:sz w:val="20"/>
                <w:szCs w:val="20"/>
                <w:color w:val="auto"/>
              </w:rPr>
            </w:pPr>
            <w:r>
              <w:rPr>
                <w:rFonts w:ascii="Arial" w:cs="Arial" w:eastAsia="Arial" w:hAnsi="Arial"/>
                <w:sz w:val="15"/>
                <w:szCs w:val="15"/>
                <w:color w:val="auto"/>
                <w:w w:val="95"/>
              </w:rPr>
              <w:t>11,053</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7"/>
                <w:szCs w:val="17"/>
                <w:color w:val="auto"/>
              </w:rPr>
            </w:pPr>
          </w:p>
        </w:tc>
        <w:tc>
          <w:tcPr>
            <w:tcW w:w="1020" w:type="dxa"/>
            <w:vAlign w:val="bottom"/>
          </w:tcPr>
          <w:p>
            <w:pPr>
              <w:jc w:val="right"/>
              <w:ind w:right="64"/>
              <w:spacing w:after="0"/>
              <w:rPr>
                <w:sz w:val="20"/>
                <w:szCs w:val="20"/>
                <w:color w:val="auto"/>
              </w:rPr>
            </w:pPr>
            <w:r>
              <w:rPr>
                <w:rFonts w:ascii="Arial" w:cs="Arial" w:eastAsia="Arial" w:hAnsi="Arial"/>
                <w:sz w:val="15"/>
                <w:szCs w:val="15"/>
                <w:color w:val="auto"/>
              </w:rPr>
              <w:t>11,053</w:t>
            </w:r>
          </w:p>
        </w:tc>
      </w:tr>
      <w:tr>
        <w:trPr>
          <w:trHeight w:val="220"/>
        </w:trPr>
        <w:tc>
          <w:tcPr>
            <w:tcW w:w="1160" w:type="dxa"/>
            <w:vAlign w:val="bottom"/>
            <w:shd w:val="clear" w:color="auto" w:fill="CCEEFF"/>
          </w:tcPr>
          <w:p>
            <w:pPr>
              <w:ind w:left="20"/>
              <w:spacing w:after="0"/>
              <w:rPr>
                <w:sz w:val="20"/>
                <w:szCs w:val="20"/>
                <w:color w:val="auto"/>
              </w:rPr>
            </w:pPr>
            <w:r>
              <w:rPr>
                <w:rFonts w:ascii="Arial" w:cs="Arial" w:eastAsia="Arial" w:hAnsi="Arial"/>
                <w:sz w:val="15"/>
                <w:szCs w:val="15"/>
                <w:color w:val="auto"/>
              </w:rPr>
              <w:t>Forest Springs</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rPr>
              <w:t>51,949</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1,337</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2,160</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(107)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55,339</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w w:val="95"/>
              </w:rPr>
              <w:t>36,260</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19,079</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55,339</w:t>
            </w:r>
          </w:p>
        </w:tc>
      </w:tr>
      <w:tr>
        <w:trPr>
          <w:trHeight w:val="212"/>
        </w:trPr>
        <w:tc>
          <w:tcPr>
            <w:tcW w:w="1160" w:type="dxa"/>
            <w:vAlign w:val="bottom"/>
          </w:tcPr>
          <w:p>
            <w:pPr>
              <w:ind w:left="20"/>
              <w:spacing w:after="0"/>
              <w:rPr>
                <w:sz w:val="20"/>
                <w:szCs w:val="20"/>
                <w:color w:val="auto"/>
              </w:rPr>
            </w:pPr>
            <w:r>
              <w:rPr>
                <w:rFonts w:ascii="Arial" w:cs="Arial" w:eastAsia="Arial" w:hAnsi="Arial"/>
                <w:sz w:val="15"/>
                <w:szCs w:val="15"/>
                <w:color w:val="auto"/>
              </w:rPr>
              <w:t>Crown Villa</w:t>
            </w:r>
          </w:p>
        </w:tc>
        <w:tc>
          <w:tcPr>
            <w:tcW w:w="180" w:type="dxa"/>
            <w:vAlign w:val="bottom"/>
          </w:tcPr>
          <w:p>
            <w:pPr>
              <w:spacing w:after="0"/>
              <w:rPr>
                <w:sz w:val="18"/>
                <w:szCs w:val="18"/>
                <w:color w:val="auto"/>
              </w:rPr>
            </w:pPr>
          </w:p>
        </w:tc>
        <w:tc>
          <w:tcPr>
            <w:tcW w:w="820" w:type="dxa"/>
            <w:vAlign w:val="bottom"/>
          </w:tcPr>
          <w:p>
            <w:pPr>
              <w:jc w:val="right"/>
              <w:ind w:right="84"/>
              <w:spacing w:after="0"/>
              <w:rPr>
                <w:sz w:val="20"/>
                <w:szCs w:val="20"/>
                <w:color w:val="auto"/>
              </w:rPr>
            </w:pPr>
            <w:r>
              <w:rPr>
                <w:rFonts w:ascii="Arial" w:cs="Arial" w:eastAsia="Arial" w:hAnsi="Arial"/>
                <w:sz w:val="15"/>
                <w:szCs w:val="15"/>
                <w:color w:val="auto"/>
              </w:rPr>
              <w:t>16,792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8"/>
                <w:szCs w:val="18"/>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8"/>
                <w:szCs w:val="18"/>
                <w:color w:val="auto"/>
              </w:rPr>
            </w:pPr>
          </w:p>
        </w:tc>
        <w:tc>
          <w:tcPr>
            <w:tcW w:w="1080" w:type="dxa"/>
            <w:vAlign w:val="bottom"/>
          </w:tcPr>
          <w:p>
            <w:pPr>
              <w:jc w:val="right"/>
              <w:ind w:right="24"/>
              <w:spacing w:after="0"/>
              <w:rPr>
                <w:sz w:val="20"/>
                <w:szCs w:val="20"/>
                <w:color w:val="auto"/>
              </w:rPr>
            </w:pPr>
            <w:r>
              <w:rPr>
                <w:rFonts w:ascii="Arial" w:cs="Arial" w:eastAsia="Arial" w:hAnsi="Arial"/>
                <w:sz w:val="15"/>
                <w:szCs w:val="15"/>
                <w:color w:val="auto"/>
              </w:rPr>
              <w:t>(230)</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tcPr>
          <w:p>
            <w:pPr>
              <w:jc w:val="right"/>
              <w:ind w:right="64"/>
              <w:spacing w:after="0"/>
              <w:rPr>
                <w:sz w:val="20"/>
                <w:szCs w:val="20"/>
                <w:color w:val="auto"/>
              </w:rPr>
            </w:pPr>
            <w:r>
              <w:rPr>
                <w:rFonts w:ascii="Arial" w:cs="Arial" w:eastAsia="Arial" w:hAnsi="Arial"/>
                <w:sz w:val="15"/>
                <w:szCs w:val="15"/>
                <w:color w:val="auto"/>
              </w:rPr>
              <w:t>16,562</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ind w:right="64"/>
              <w:spacing w:after="0"/>
              <w:rPr>
                <w:sz w:val="20"/>
                <w:szCs w:val="20"/>
                <w:color w:val="auto"/>
              </w:rPr>
            </w:pPr>
            <w:r>
              <w:rPr>
                <w:rFonts w:ascii="Arial" w:cs="Arial" w:eastAsia="Arial" w:hAnsi="Arial"/>
                <w:sz w:val="15"/>
                <w:szCs w:val="15"/>
                <w:color w:val="auto"/>
                <w:w w:val="95"/>
              </w:rPr>
              <w:t>16,562</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8"/>
                <w:szCs w:val="18"/>
                <w:color w:val="auto"/>
              </w:rPr>
            </w:pPr>
          </w:p>
        </w:tc>
        <w:tc>
          <w:tcPr>
            <w:tcW w:w="1020" w:type="dxa"/>
            <w:vAlign w:val="bottom"/>
          </w:tcPr>
          <w:p>
            <w:pPr>
              <w:jc w:val="right"/>
              <w:ind w:right="64"/>
              <w:spacing w:after="0"/>
              <w:rPr>
                <w:sz w:val="20"/>
                <w:szCs w:val="20"/>
                <w:color w:val="auto"/>
              </w:rPr>
            </w:pPr>
            <w:r>
              <w:rPr>
                <w:rFonts w:ascii="Arial" w:cs="Arial" w:eastAsia="Arial" w:hAnsi="Arial"/>
                <w:sz w:val="15"/>
                <w:szCs w:val="15"/>
                <w:color w:val="auto"/>
              </w:rPr>
              <w:t>16,562</w:t>
            </w:r>
          </w:p>
        </w:tc>
      </w:tr>
      <w:tr>
        <w:trPr>
          <w:trHeight w:val="238"/>
        </w:trPr>
        <w:tc>
          <w:tcPr>
            <w:tcW w:w="11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Total</w:t>
            </w:r>
          </w:p>
        </w:tc>
        <w:tc>
          <w:tcPr>
            <w:tcW w:w="18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w w:val="95"/>
              </w:rPr>
              <w:t>$</w:t>
            </w:r>
          </w:p>
        </w:tc>
        <w:tc>
          <w:tcPr>
            <w:tcW w:w="820" w:type="dxa"/>
            <w:vAlign w:val="bottom"/>
            <w:tcBorders>
              <w:top w:val="single" w:sz="8" w:color="auto"/>
              <w:bottom w:val="single" w:sz="8" w:color="auto"/>
            </w:tcBorders>
            <w:shd w:val="clear" w:color="auto" w:fill="CCEEFF"/>
          </w:tcPr>
          <w:p>
            <w:pPr>
              <w:jc w:val="right"/>
              <w:ind w:right="84"/>
              <w:spacing w:after="0"/>
              <w:rPr>
                <w:sz w:val="20"/>
                <w:szCs w:val="20"/>
                <w:color w:val="auto"/>
              </w:rPr>
            </w:pPr>
            <w:r>
              <w:rPr>
                <w:rFonts w:ascii="Arial" w:cs="Arial" w:eastAsia="Arial" w:hAnsi="Arial"/>
                <w:sz w:val="15"/>
                <w:szCs w:val="15"/>
                <w:color w:val="auto"/>
              </w:rPr>
              <w:t>93,455</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980" w:type="dxa"/>
            <w:vAlign w:val="bottom"/>
            <w:tcBorders>
              <w:top w:val="single" w:sz="8" w:color="auto"/>
              <w:bottom w:val="single" w:sz="8" w:color="auto"/>
            </w:tcBorders>
            <w:shd w:val="clear" w:color="auto" w:fill="CCEEFF"/>
          </w:tcPr>
          <w:p>
            <w:pPr>
              <w:jc w:val="right"/>
              <w:ind w:right="64"/>
              <w:spacing w:after="0"/>
              <w:rPr>
                <w:sz w:val="20"/>
                <w:szCs w:val="20"/>
                <w:color w:val="auto"/>
              </w:rPr>
            </w:pPr>
            <w:r>
              <w:rPr>
                <w:rFonts w:ascii="Arial" w:cs="Arial" w:eastAsia="Arial" w:hAnsi="Arial"/>
                <w:sz w:val="15"/>
                <w:szCs w:val="15"/>
                <w:color w:val="auto"/>
              </w:rPr>
              <w:t>1,337</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180" w:type="dxa"/>
            <w:vAlign w:val="bottom"/>
            <w:tcBorders>
              <w:top w:val="single" w:sz="8" w:color="auto"/>
              <w:bottom w:val="single" w:sz="8" w:color="auto"/>
            </w:tcBorders>
            <w:shd w:val="clear" w:color="auto" w:fill="CCEEFF"/>
          </w:tcPr>
          <w:p>
            <w:pPr>
              <w:jc w:val="right"/>
              <w:ind w:right="64"/>
              <w:spacing w:after="0"/>
              <w:rPr>
                <w:sz w:val="20"/>
                <w:szCs w:val="20"/>
                <w:color w:val="auto"/>
              </w:rPr>
            </w:pPr>
            <w:r>
              <w:rPr>
                <w:rFonts w:ascii="Arial" w:cs="Arial" w:eastAsia="Arial" w:hAnsi="Arial"/>
                <w:sz w:val="15"/>
                <w:szCs w:val="15"/>
                <w:color w:val="auto"/>
              </w:rPr>
              <w:t>2,390</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rPr>
              <w:t>(1,023)</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5"/>
                <w:szCs w:val="15"/>
                <w:color w:val="auto"/>
              </w:rPr>
              <w:t>$</w:t>
            </w:r>
          </w:p>
        </w:tc>
        <w:tc>
          <w:tcPr>
            <w:tcW w:w="1360" w:type="dxa"/>
            <w:vAlign w:val="bottom"/>
            <w:tcBorders>
              <w:top w:val="single" w:sz="8" w:color="auto"/>
              <w:bottom w:val="single" w:sz="8" w:color="auto"/>
            </w:tcBorders>
            <w:shd w:val="clear" w:color="auto" w:fill="CCEEFF"/>
          </w:tcPr>
          <w:p>
            <w:pPr>
              <w:jc w:val="right"/>
              <w:ind w:right="64"/>
              <w:spacing w:after="0"/>
              <w:rPr>
                <w:sz w:val="20"/>
                <w:szCs w:val="20"/>
                <w:color w:val="auto"/>
              </w:rPr>
            </w:pPr>
            <w:r>
              <w:rPr>
                <w:rFonts w:ascii="Arial" w:cs="Arial" w:eastAsia="Arial" w:hAnsi="Arial"/>
                <w:sz w:val="15"/>
                <w:szCs w:val="15"/>
                <w:color w:val="auto"/>
              </w:rPr>
              <w:t>96,159</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600" w:type="dxa"/>
            <w:vAlign w:val="bottom"/>
            <w:tcBorders>
              <w:top w:val="single" w:sz="8" w:color="auto"/>
              <w:bottom w:val="single" w:sz="8" w:color="auto"/>
            </w:tcBorders>
            <w:shd w:val="clear" w:color="auto" w:fill="CCEEFF"/>
          </w:tcPr>
          <w:p>
            <w:pPr>
              <w:jc w:val="right"/>
              <w:ind w:right="64"/>
              <w:spacing w:after="0"/>
              <w:rPr>
                <w:sz w:val="20"/>
                <w:szCs w:val="20"/>
                <w:color w:val="auto"/>
              </w:rPr>
            </w:pPr>
            <w:r>
              <w:rPr>
                <w:rFonts w:ascii="Arial" w:cs="Arial" w:eastAsia="Arial" w:hAnsi="Arial"/>
                <w:sz w:val="15"/>
                <w:szCs w:val="15"/>
                <w:color w:val="auto"/>
                <w:w w:val="95"/>
              </w:rPr>
              <w:t>68,080</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100" w:type="dxa"/>
            <w:vAlign w:val="bottom"/>
            <w:tcBorders>
              <w:top w:val="single" w:sz="8" w:color="auto"/>
              <w:bottom w:val="single" w:sz="8" w:color="auto"/>
            </w:tcBorders>
            <w:shd w:val="clear" w:color="auto" w:fill="CCEEFF"/>
          </w:tcPr>
          <w:p>
            <w:pPr>
              <w:jc w:val="right"/>
              <w:ind w:right="64"/>
              <w:spacing w:after="0"/>
              <w:rPr>
                <w:sz w:val="20"/>
                <w:szCs w:val="20"/>
                <w:color w:val="auto"/>
              </w:rPr>
            </w:pPr>
            <w:r>
              <w:rPr>
                <w:rFonts w:ascii="Arial" w:cs="Arial" w:eastAsia="Arial" w:hAnsi="Arial"/>
                <w:sz w:val="15"/>
                <w:szCs w:val="15"/>
                <w:color w:val="auto"/>
              </w:rPr>
              <w:t>28,079</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Borders>
              <w:top w:val="single" w:sz="8" w:color="auto"/>
              <w:bottom w:val="single" w:sz="8" w:color="auto"/>
            </w:tcBorders>
            <w:shd w:val="clear" w:color="auto" w:fill="CCEEFF"/>
          </w:tcPr>
          <w:p>
            <w:pPr>
              <w:jc w:val="right"/>
              <w:ind w:right="64"/>
              <w:spacing w:after="0"/>
              <w:rPr>
                <w:sz w:val="20"/>
                <w:szCs w:val="20"/>
                <w:color w:val="auto"/>
              </w:rPr>
            </w:pPr>
            <w:r>
              <w:rPr>
                <w:rFonts w:ascii="Arial" w:cs="Arial" w:eastAsia="Arial" w:hAnsi="Arial"/>
                <w:sz w:val="15"/>
                <w:szCs w:val="15"/>
                <w:color w:val="auto"/>
              </w:rPr>
              <w:t>96,159</w:t>
            </w:r>
          </w:p>
        </w:tc>
      </w:tr>
      <w:tr>
        <w:trPr>
          <w:trHeight w:val="20"/>
        </w:trPr>
        <w:tc>
          <w:tcPr>
            <w:tcW w:w="1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June 30, 2020, we have incurred $2.0 million of additional capitalized transaction costs which have been allocated among the various categories above.</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total amount of revenues and net income included in the Consolidated Statements of Operations for the three and six months ended June 30, 2020 related to the acquisitions completed in 2020 are set forth in the following table (in thousands):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6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300" w:type="dxa"/>
            <w:vAlign w:val="bottom"/>
            <w:gridSpan w:val="2"/>
          </w:tcPr>
          <w:p>
            <w:pPr>
              <w:jc w:val="center"/>
              <w:ind w:right="520"/>
              <w:spacing w:after="0"/>
              <w:rPr>
                <w:sz w:val="20"/>
                <w:szCs w:val="20"/>
                <w:color w:val="auto"/>
              </w:rPr>
            </w:pPr>
            <w:r>
              <w:rPr>
                <w:rFonts w:ascii="Arial" w:cs="Arial" w:eastAsia="Arial" w:hAnsi="Arial"/>
                <w:sz w:val="15"/>
                <w:szCs w:val="15"/>
                <w:b w:val="1"/>
                <w:bCs w:val="1"/>
                <w:color w:val="auto"/>
                <w:w w:val="92"/>
              </w:rPr>
              <w:t>Three Months Ended</w:t>
            </w:r>
          </w:p>
        </w:tc>
        <w:tc>
          <w:tcPr>
            <w:tcW w:w="340" w:type="dxa"/>
            <w:vAlign w:val="bottom"/>
          </w:tcPr>
          <w:p>
            <w:pPr>
              <w:spacing w:after="0"/>
              <w:rPr>
                <w:sz w:val="17"/>
                <w:szCs w:val="17"/>
                <w:color w:val="auto"/>
              </w:rPr>
            </w:pPr>
          </w:p>
        </w:tc>
        <w:tc>
          <w:tcPr>
            <w:tcW w:w="2040" w:type="dxa"/>
            <w:vAlign w:val="bottom"/>
          </w:tcPr>
          <w:p>
            <w:pPr>
              <w:jc w:val="right"/>
              <w:ind w:right="504"/>
              <w:spacing w:after="0"/>
              <w:rPr>
                <w:sz w:val="20"/>
                <w:szCs w:val="20"/>
                <w:color w:val="auto"/>
              </w:rPr>
            </w:pPr>
            <w:r>
              <w:rPr>
                <w:rFonts w:ascii="Arial" w:cs="Arial" w:eastAsia="Arial" w:hAnsi="Arial"/>
                <w:sz w:val="15"/>
                <w:szCs w:val="15"/>
                <w:b w:val="1"/>
                <w:bCs w:val="1"/>
                <w:color w:val="auto"/>
              </w:rPr>
              <w:t>Six Months Ended</w:t>
            </w:r>
          </w:p>
        </w:tc>
      </w:tr>
      <w:tr>
        <w:trPr>
          <w:trHeight w:val="220"/>
        </w:trPr>
        <w:tc>
          <w:tcPr>
            <w:tcW w:w="6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300" w:type="dxa"/>
            <w:vAlign w:val="bottom"/>
            <w:gridSpan w:val="2"/>
          </w:tcPr>
          <w:p>
            <w:pPr>
              <w:jc w:val="center"/>
              <w:ind w:right="520"/>
              <w:spacing w:after="0"/>
              <w:rPr>
                <w:sz w:val="20"/>
                <w:szCs w:val="20"/>
                <w:color w:val="auto"/>
              </w:rPr>
            </w:pPr>
            <w:r>
              <w:rPr>
                <w:rFonts w:ascii="Arial" w:cs="Arial" w:eastAsia="Arial" w:hAnsi="Arial"/>
                <w:sz w:val="15"/>
                <w:szCs w:val="15"/>
                <w:b w:val="1"/>
                <w:bCs w:val="1"/>
                <w:color w:val="auto"/>
                <w:w w:val="92"/>
              </w:rPr>
              <w:t>June 30, 2020</w:t>
            </w:r>
          </w:p>
        </w:tc>
        <w:tc>
          <w:tcPr>
            <w:tcW w:w="340" w:type="dxa"/>
            <w:vAlign w:val="bottom"/>
          </w:tcPr>
          <w:p>
            <w:pPr>
              <w:spacing w:after="0"/>
              <w:rPr>
                <w:sz w:val="19"/>
                <w:szCs w:val="19"/>
                <w:color w:val="auto"/>
              </w:rPr>
            </w:pPr>
          </w:p>
        </w:tc>
        <w:tc>
          <w:tcPr>
            <w:tcW w:w="2040" w:type="dxa"/>
            <w:vAlign w:val="bottom"/>
          </w:tcPr>
          <w:p>
            <w:pPr>
              <w:jc w:val="right"/>
              <w:ind w:right="664"/>
              <w:spacing w:after="0"/>
              <w:rPr>
                <w:sz w:val="20"/>
                <w:szCs w:val="20"/>
                <w:color w:val="auto"/>
              </w:rPr>
            </w:pPr>
            <w:r>
              <w:rPr>
                <w:rFonts w:ascii="Arial" w:cs="Arial" w:eastAsia="Arial" w:hAnsi="Arial"/>
                <w:sz w:val="15"/>
                <w:szCs w:val="15"/>
                <w:b w:val="1"/>
                <w:bCs w:val="1"/>
                <w:color w:val="auto"/>
              </w:rPr>
              <w:t>June 30, 2020</w:t>
            </w:r>
          </w:p>
        </w:tc>
      </w:tr>
      <w:tr>
        <w:trPr>
          <w:trHeight w:val="213"/>
        </w:trPr>
        <w:tc>
          <w:tcPr>
            <w:tcW w:w="62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Total revenues</w:t>
            </w:r>
          </w:p>
        </w:tc>
        <w:tc>
          <w:tcPr>
            <w:tcW w:w="300" w:type="dxa"/>
            <w:vAlign w:val="bottom"/>
            <w:tcBorders>
              <w:top w:val="single" w:sz="8" w:color="auto"/>
            </w:tcBorders>
            <w:shd w:val="clear" w:color="auto" w:fill="CCEEFF"/>
          </w:tcPr>
          <w:p>
            <w:pPr>
              <w:jc w:val="right"/>
              <w:ind w:right="124"/>
              <w:spacing w:after="0"/>
              <w:rPr>
                <w:sz w:val="20"/>
                <w:szCs w:val="20"/>
                <w:color w:val="auto"/>
              </w:rPr>
            </w:pPr>
            <w:r>
              <w:rPr>
                <w:rFonts w:ascii="Arial" w:cs="Arial" w:eastAsia="Arial" w:hAnsi="Arial"/>
                <w:sz w:val="15"/>
                <w:szCs w:val="15"/>
                <w:color w:val="auto"/>
                <w:w w:val="95"/>
              </w:rPr>
              <w:t>$</w:t>
            </w:r>
          </w:p>
        </w:tc>
        <w:tc>
          <w:tcPr>
            <w:tcW w:w="2080" w:type="dxa"/>
            <w:vAlign w:val="bottom"/>
            <w:tcBorders>
              <w:top w:val="single" w:sz="8" w:color="auto"/>
            </w:tcBorders>
            <w:shd w:val="clear" w:color="auto" w:fill="CCEEFF"/>
          </w:tcPr>
          <w:p>
            <w:pPr>
              <w:jc w:val="right"/>
              <w:ind w:right="84"/>
              <w:spacing w:after="0"/>
              <w:rPr>
                <w:sz w:val="20"/>
                <w:szCs w:val="20"/>
                <w:color w:val="auto"/>
              </w:rPr>
            </w:pPr>
            <w:r>
              <w:rPr>
                <w:rFonts w:ascii="Arial" w:cs="Arial" w:eastAsia="Arial" w:hAnsi="Arial"/>
                <w:sz w:val="15"/>
                <w:szCs w:val="15"/>
                <w:color w:val="auto"/>
              </w:rPr>
              <w:t>1,249</w:t>
            </w:r>
          </w:p>
        </w:tc>
        <w:tc>
          <w:tcPr>
            <w:tcW w:w="2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64"/>
              <w:spacing w:after="0"/>
              <w:rPr>
                <w:sz w:val="20"/>
                <w:szCs w:val="20"/>
                <w:color w:val="auto"/>
              </w:rPr>
            </w:pPr>
            <w:r>
              <w:rPr>
                <w:rFonts w:ascii="Arial" w:cs="Arial" w:eastAsia="Arial" w:hAnsi="Arial"/>
                <w:sz w:val="15"/>
                <w:szCs w:val="15"/>
                <w:color w:val="auto"/>
                <w:w w:val="95"/>
              </w:rPr>
              <w:t>$</w:t>
            </w:r>
          </w:p>
        </w:tc>
        <w:tc>
          <w:tcPr>
            <w:tcW w:w="2040" w:type="dxa"/>
            <w:vAlign w:val="bottom"/>
            <w:tcBorders>
              <w:top w:val="single" w:sz="8" w:color="auto"/>
            </w:tcBorders>
            <w:shd w:val="clear" w:color="auto" w:fill="CCEEFF"/>
          </w:tcPr>
          <w:p>
            <w:pPr>
              <w:jc w:val="right"/>
              <w:ind w:right="64"/>
              <w:spacing w:after="0"/>
              <w:rPr>
                <w:sz w:val="20"/>
                <w:szCs w:val="20"/>
                <w:color w:val="auto"/>
              </w:rPr>
            </w:pPr>
            <w:r>
              <w:rPr>
                <w:rFonts w:ascii="Arial" w:cs="Arial" w:eastAsia="Arial" w:hAnsi="Arial"/>
                <w:sz w:val="15"/>
                <w:szCs w:val="15"/>
                <w:color w:val="auto"/>
              </w:rPr>
              <w:t>1,341</w:t>
            </w:r>
          </w:p>
        </w:tc>
      </w:tr>
      <w:tr>
        <w:trPr>
          <w:trHeight w:val="208"/>
        </w:trPr>
        <w:tc>
          <w:tcPr>
            <w:tcW w:w="6260" w:type="dxa"/>
            <w:vAlign w:val="bottom"/>
          </w:tcPr>
          <w:p>
            <w:pPr>
              <w:ind w:left="20"/>
              <w:spacing w:after="0"/>
              <w:rPr>
                <w:sz w:val="20"/>
                <w:szCs w:val="20"/>
                <w:color w:val="auto"/>
              </w:rPr>
            </w:pPr>
            <w:r>
              <w:rPr>
                <w:rFonts w:ascii="Arial" w:cs="Arial" w:eastAsia="Arial" w:hAnsi="Arial"/>
                <w:sz w:val="15"/>
                <w:szCs w:val="15"/>
                <w:color w:val="auto"/>
              </w:rPr>
              <w:t>Net income</w:t>
            </w:r>
          </w:p>
        </w:tc>
        <w:tc>
          <w:tcPr>
            <w:tcW w:w="300" w:type="dxa"/>
            <w:vAlign w:val="bottom"/>
          </w:tcPr>
          <w:p>
            <w:pPr>
              <w:jc w:val="right"/>
              <w:ind w:right="124"/>
              <w:spacing w:after="0"/>
              <w:rPr>
                <w:sz w:val="20"/>
                <w:szCs w:val="20"/>
                <w:color w:val="auto"/>
              </w:rPr>
            </w:pPr>
            <w:r>
              <w:rPr>
                <w:rFonts w:ascii="Arial" w:cs="Arial" w:eastAsia="Arial" w:hAnsi="Arial"/>
                <w:sz w:val="15"/>
                <w:szCs w:val="15"/>
                <w:color w:val="auto"/>
                <w:w w:val="95"/>
              </w:rPr>
              <w:t>$</w:t>
            </w:r>
          </w:p>
        </w:tc>
        <w:tc>
          <w:tcPr>
            <w:tcW w:w="2080" w:type="dxa"/>
            <w:vAlign w:val="bottom"/>
          </w:tcPr>
          <w:p>
            <w:pPr>
              <w:jc w:val="right"/>
              <w:ind w:right="84"/>
              <w:spacing w:after="0"/>
              <w:rPr>
                <w:sz w:val="20"/>
                <w:szCs w:val="20"/>
                <w:color w:val="auto"/>
              </w:rPr>
            </w:pPr>
            <w:r>
              <w:rPr>
                <w:rFonts w:ascii="Arial" w:cs="Arial" w:eastAsia="Arial" w:hAnsi="Arial"/>
                <w:sz w:val="15"/>
                <w:szCs w:val="15"/>
                <w:color w:val="auto"/>
              </w:rPr>
              <w:t>320</w:t>
            </w:r>
          </w:p>
        </w:tc>
        <w:tc>
          <w:tcPr>
            <w:tcW w:w="220" w:type="dxa"/>
            <w:vAlign w:val="bottom"/>
          </w:tcPr>
          <w:p>
            <w:pPr>
              <w:spacing w:after="0"/>
              <w:rPr>
                <w:sz w:val="18"/>
                <w:szCs w:val="18"/>
                <w:color w:val="auto"/>
              </w:rPr>
            </w:pPr>
          </w:p>
        </w:tc>
        <w:tc>
          <w:tcPr>
            <w:tcW w:w="340" w:type="dxa"/>
            <w:vAlign w:val="bottom"/>
          </w:tcPr>
          <w:p>
            <w:pPr>
              <w:jc w:val="right"/>
              <w:ind w:right="164"/>
              <w:spacing w:after="0"/>
              <w:rPr>
                <w:sz w:val="20"/>
                <w:szCs w:val="20"/>
                <w:color w:val="auto"/>
              </w:rPr>
            </w:pPr>
            <w:r>
              <w:rPr>
                <w:rFonts w:ascii="Arial" w:cs="Arial" w:eastAsia="Arial" w:hAnsi="Arial"/>
                <w:sz w:val="15"/>
                <w:szCs w:val="15"/>
                <w:color w:val="auto"/>
                <w:w w:val="95"/>
              </w:rPr>
              <w:t>$</w:t>
            </w:r>
          </w:p>
        </w:tc>
        <w:tc>
          <w:tcPr>
            <w:tcW w:w="2040" w:type="dxa"/>
            <w:vAlign w:val="bottom"/>
          </w:tcPr>
          <w:p>
            <w:pPr>
              <w:jc w:val="right"/>
              <w:ind w:right="64"/>
              <w:spacing w:after="0"/>
              <w:rPr>
                <w:sz w:val="20"/>
                <w:szCs w:val="20"/>
                <w:color w:val="auto"/>
              </w:rPr>
            </w:pPr>
            <w:r>
              <w:rPr>
                <w:rFonts w:ascii="Arial" w:cs="Arial" w:eastAsia="Arial" w:hAnsi="Arial"/>
                <w:sz w:val="15"/>
                <w:szCs w:val="15"/>
                <w:color w:val="auto"/>
              </w:rPr>
              <w:t>214</w:t>
            </w:r>
          </w:p>
        </w:tc>
      </w:tr>
    </w:tbl>
    <w:p>
      <w:pPr>
        <w:spacing w:after="0" w:line="34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following unaudited pro forma financial information presents the results of our operations for the three and six months ended June 30, 2020 and 2019, as if the properties acquired in 2020 had been acquired on January 1, 2019. The unaudited pro forma results reflect certain adjustments for items that are not expected to have a continuing impact, such as adjustments for transaction costs incurred, management fees, and purchase accounting.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2" w:name="page13"/>
    <w:bookmarkEnd w:id="12"/>
    <w:p>
      <w:pPr>
        <w:jc w:val="center"/>
        <w:spacing w:after="0"/>
        <w:rPr>
          <w:sz w:val="20"/>
          <w:szCs w:val="20"/>
          <w:color w:val="auto"/>
        </w:rPr>
      </w:pPr>
      <w:r>
        <w:rPr>
          <w:rFonts w:ascii="Arial" w:cs="Arial" w:eastAsia="Arial" w:hAnsi="Arial"/>
          <w:sz w:val="16"/>
          <w:szCs w:val="16"/>
          <w:b w:val="1"/>
          <w:bCs w:val="1"/>
          <w:color w:val="auto"/>
        </w:rPr>
        <w:t>SUN COMMUNITIES, INC.</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 -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3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information presented below has been prepared for comparative purposes only and does not purport to be indicative of either future results of operations or the results of operations that would have actually occurred had the acquisition been consummated on January 1, 2019 (in thousands, except per-share data):</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544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620" w:type="dxa"/>
            <w:vAlign w:val="bottom"/>
            <w:tcBorders>
              <w:bottom w:val="single" w:sz="8" w:color="auto"/>
            </w:tcBorders>
            <w:gridSpan w:val="4"/>
          </w:tcPr>
          <w:p>
            <w:pPr>
              <w:jc w:val="right"/>
              <w:ind w:right="604"/>
              <w:spacing w:after="0"/>
              <w:rPr>
                <w:sz w:val="20"/>
                <w:szCs w:val="20"/>
                <w:color w:val="auto"/>
              </w:rPr>
            </w:pPr>
            <w:r>
              <w:rPr>
                <w:rFonts w:ascii="Arial" w:cs="Arial" w:eastAsia="Arial" w:hAnsi="Arial"/>
                <w:sz w:val="15"/>
                <w:szCs w:val="15"/>
                <w:b w:val="1"/>
                <w:bCs w:val="1"/>
                <w:color w:val="auto"/>
              </w:rPr>
              <w:t>Three Months Ended</w:t>
            </w:r>
          </w:p>
        </w:tc>
        <w:tc>
          <w:tcPr>
            <w:tcW w:w="24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620" w:type="dxa"/>
            <w:vAlign w:val="bottom"/>
            <w:tcBorders>
              <w:bottom w:val="single" w:sz="8" w:color="auto"/>
            </w:tcBorders>
            <w:gridSpan w:val="4"/>
          </w:tcPr>
          <w:p>
            <w:pPr>
              <w:jc w:val="right"/>
              <w:ind w:right="704"/>
              <w:spacing w:after="0"/>
              <w:rPr>
                <w:sz w:val="20"/>
                <w:szCs w:val="20"/>
                <w:color w:val="auto"/>
              </w:rPr>
            </w:pPr>
            <w:r>
              <w:rPr>
                <w:rFonts w:ascii="Arial" w:cs="Arial" w:eastAsia="Arial" w:hAnsi="Arial"/>
                <w:sz w:val="15"/>
                <w:szCs w:val="15"/>
                <w:b w:val="1"/>
                <w:bCs w:val="1"/>
                <w:color w:val="auto"/>
              </w:rPr>
              <w:t>Six Months Ended</w:t>
            </w:r>
          </w:p>
        </w:tc>
      </w:tr>
      <w:tr>
        <w:trPr>
          <w:trHeight w:val="209"/>
        </w:trPr>
        <w:tc>
          <w:tcPr>
            <w:tcW w:w="5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ind w:left="80"/>
              <w:spacing w:after="0"/>
              <w:rPr>
                <w:sz w:val="20"/>
                <w:szCs w:val="20"/>
                <w:color w:val="auto"/>
              </w:rPr>
            </w:pPr>
            <w:r>
              <w:rPr>
                <w:rFonts w:ascii="Arial" w:cs="Arial" w:eastAsia="Arial" w:hAnsi="Arial"/>
                <w:sz w:val="15"/>
                <w:szCs w:val="15"/>
                <w:b w:val="1"/>
                <w:bCs w:val="1"/>
                <w:color w:val="auto"/>
              </w:rPr>
              <w:t>June 30, 2020</w:t>
            </w:r>
          </w:p>
        </w:tc>
        <w:tc>
          <w:tcPr>
            <w:tcW w:w="160" w:type="dxa"/>
            <w:vAlign w:val="bottom"/>
          </w:tcPr>
          <w:p>
            <w:pPr>
              <w:spacing w:after="0"/>
              <w:rPr>
                <w:sz w:val="18"/>
                <w:szCs w:val="18"/>
                <w:color w:val="auto"/>
              </w:rPr>
            </w:pPr>
          </w:p>
        </w:tc>
        <w:tc>
          <w:tcPr>
            <w:tcW w:w="1400" w:type="dxa"/>
            <w:vAlign w:val="bottom"/>
            <w:gridSpan w:val="2"/>
          </w:tcPr>
          <w:p>
            <w:pPr>
              <w:ind w:left="60"/>
              <w:spacing w:after="0"/>
              <w:rPr>
                <w:sz w:val="20"/>
                <w:szCs w:val="20"/>
                <w:color w:val="auto"/>
              </w:rPr>
            </w:pPr>
            <w:r>
              <w:rPr>
                <w:rFonts w:ascii="Arial" w:cs="Arial" w:eastAsia="Arial" w:hAnsi="Arial"/>
                <w:sz w:val="15"/>
                <w:szCs w:val="15"/>
                <w:b w:val="1"/>
                <w:bCs w:val="1"/>
                <w:color w:val="auto"/>
              </w:rPr>
              <w:t>June 30, 2019</w:t>
            </w:r>
          </w:p>
        </w:tc>
        <w:tc>
          <w:tcPr>
            <w:tcW w:w="160" w:type="dxa"/>
            <w:vAlign w:val="bottom"/>
          </w:tcPr>
          <w:p>
            <w:pPr>
              <w:spacing w:after="0"/>
              <w:rPr>
                <w:sz w:val="18"/>
                <w:szCs w:val="18"/>
                <w:color w:val="auto"/>
              </w:rPr>
            </w:pPr>
          </w:p>
        </w:tc>
        <w:tc>
          <w:tcPr>
            <w:tcW w:w="1280" w:type="dxa"/>
            <w:vAlign w:val="bottom"/>
            <w:gridSpan w:val="2"/>
          </w:tcPr>
          <w:p>
            <w:pPr>
              <w:ind w:left="60"/>
              <w:spacing w:after="0"/>
              <w:rPr>
                <w:sz w:val="20"/>
                <w:szCs w:val="20"/>
                <w:color w:val="auto"/>
              </w:rPr>
            </w:pPr>
            <w:r>
              <w:rPr>
                <w:rFonts w:ascii="Arial" w:cs="Arial" w:eastAsia="Arial" w:hAnsi="Arial"/>
                <w:sz w:val="15"/>
                <w:szCs w:val="15"/>
                <w:b w:val="1"/>
                <w:bCs w:val="1"/>
                <w:color w:val="auto"/>
              </w:rPr>
              <w:t>June 30, 2020</w:t>
            </w:r>
          </w:p>
        </w:tc>
        <w:tc>
          <w:tcPr>
            <w:tcW w:w="160" w:type="dxa"/>
            <w:vAlign w:val="bottom"/>
          </w:tcPr>
          <w:p>
            <w:pPr>
              <w:spacing w:after="0"/>
              <w:rPr>
                <w:sz w:val="18"/>
                <w:szCs w:val="18"/>
                <w:color w:val="auto"/>
              </w:rPr>
            </w:pPr>
          </w:p>
        </w:tc>
        <w:tc>
          <w:tcPr>
            <w:tcW w:w="1180" w:type="dxa"/>
            <w:vAlign w:val="bottom"/>
          </w:tcPr>
          <w:p>
            <w:pPr>
              <w:jc w:val="right"/>
              <w:ind w:right="144"/>
              <w:spacing w:after="0"/>
              <w:rPr>
                <w:sz w:val="20"/>
                <w:szCs w:val="20"/>
                <w:color w:val="auto"/>
              </w:rPr>
            </w:pPr>
            <w:r>
              <w:rPr>
                <w:rFonts w:ascii="Arial" w:cs="Arial" w:eastAsia="Arial" w:hAnsi="Arial"/>
                <w:sz w:val="15"/>
                <w:szCs w:val="15"/>
                <w:b w:val="1"/>
                <w:bCs w:val="1"/>
                <w:color w:val="auto"/>
                <w:w w:val="96"/>
              </w:rPr>
              <w:t>June 30, 2019</w:t>
            </w:r>
          </w:p>
        </w:tc>
      </w:tr>
      <w:tr>
        <w:trPr>
          <w:trHeight w:val="214"/>
        </w:trPr>
        <w:tc>
          <w:tcPr>
            <w:tcW w:w="54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Total revenues</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180" w:type="dxa"/>
            <w:vAlign w:val="bottom"/>
            <w:tcBorders>
              <w:top w:val="single" w:sz="8" w:color="auto"/>
            </w:tcBorders>
            <w:shd w:val="clear" w:color="auto" w:fill="CCEEFF"/>
          </w:tcPr>
          <w:p>
            <w:pPr>
              <w:jc w:val="right"/>
              <w:ind w:right="64"/>
              <w:spacing w:after="0"/>
              <w:rPr>
                <w:sz w:val="20"/>
                <w:szCs w:val="20"/>
                <w:color w:val="auto"/>
              </w:rPr>
            </w:pPr>
            <w:r>
              <w:rPr>
                <w:rFonts w:ascii="Arial" w:cs="Arial" w:eastAsia="Arial" w:hAnsi="Arial"/>
                <w:sz w:val="15"/>
                <w:szCs w:val="15"/>
                <w:color w:val="auto"/>
              </w:rPr>
              <w:t>305,504</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shd w:val="clear" w:color="auto" w:fill="CCEEFF"/>
          </w:tcPr>
          <w:p>
            <w:pPr>
              <w:jc w:val="right"/>
              <w:ind w:right="64"/>
              <w:spacing w:after="0"/>
              <w:rPr>
                <w:sz w:val="20"/>
                <w:szCs w:val="20"/>
                <w:color w:val="auto"/>
              </w:rPr>
            </w:pPr>
            <w:r>
              <w:rPr>
                <w:rFonts w:ascii="Arial" w:cs="Arial" w:eastAsia="Arial" w:hAnsi="Arial"/>
                <w:sz w:val="15"/>
                <w:szCs w:val="15"/>
                <w:color w:val="auto"/>
              </w:rPr>
              <w:t>315,851</w:t>
            </w:r>
          </w:p>
        </w:tc>
        <w:tc>
          <w:tcPr>
            <w:tcW w:w="2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180" w:type="dxa"/>
            <w:vAlign w:val="bottom"/>
            <w:tcBorders>
              <w:top w:val="single" w:sz="8" w:color="auto"/>
            </w:tcBorders>
            <w:shd w:val="clear" w:color="auto" w:fill="CCEEFF"/>
          </w:tcPr>
          <w:p>
            <w:pPr>
              <w:jc w:val="right"/>
              <w:ind w:right="84"/>
              <w:spacing w:after="0"/>
              <w:rPr>
                <w:sz w:val="20"/>
                <w:szCs w:val="20"/>
                <w:color w:val="auto"/>
              </w:rPr>
            </w:pPr>
            <w:r>
              <w:rPr>
                <w:rFonts w:ascii="Arial" w:cs="Arial" w:eastAsia="Arial" w:hAnsi="Arial"/>
                <w:sz w:val="15"/>
                <w:szCs w:val="15"/>
                <w:color w:val="auto"/>
              </w:rPr>
              <w:t>616,215</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180" w:type="dxa"/>
            <w:vAlign w:val="bottom"/>
            <w:tcBorders>
              <w:top w:val="single" w:sz="8" w:color="auto"/>
            </w:tcBorders>
            <w:shd w:val="clear" w:color="auto" w:fill="CCEEFF"/>
          </w:tcPr>
          <w:p>
            <w:pPr>
              <w:jc w:val="right"/>
              <w:ind w:right="64"/>
              <w:spacing w:after="0"/>
              <w:rPr>
                <w:sz w:val="20"/>
                <w:szCs w:val="20"/>
                <w:color w:val="auto"/>
              </w:rPr>
            </w:pPr>
            <w:r>
              <w:rPr>
                <w:rFonts w:ascii="Arial" w:cs="Arial" w:eastAsia="Arial" w:hAnsi="Arial"/>
                <w:sz w:val="15"/>
                <w:szCs w:val="15"/>
                <w:color w:val="auto"/>
              </w:rPr>
              <w:t>603,987</w:t>
            </w:r>
          </w:p>
        </w:tc>
      </w:tr>
      <w:tr>
        <w:trPr>
          <w:trHeight w:val="212"/>
        </w:trPr>
        <w:tc>
          <w:tcPr>
            <w:tcW w:w="5440" w:type="dxa"/>
            <w:vAlign w:val="bottom"/>
          </w:tcPr>
          <w:p>
            <w:pPr>
              <w:ind w:left="20"/>
              <w:spacing w:after="0"/>
              <w:rPr>
                <w:sz w:val="20"/>
                <w:szCs w:val="20"/>
                <w:color w:val="auto"/>
              </w:rPr>
            </w:pPr>
            <w:r>
              <w:rPr>
                <w:rFonts w:ascii="Arial" w:cs="Arial" w:eastAsia="Arial" w:hAnsi="Arial"/>
                <w:sz w:val="15"/>
                <w:szCs w:val="15"/>
                <w:color w:val="auto"/>
              </w:rPr>
              <w:t>Net income attributable to Sun Communities, Inc. common stockholders</w:t>
            </w: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180" w:type="dxa"/>
            <w:vAlign w:val="bottom"/>
          </w:tcPr>
          <w:p>
            <w:pPr>
              <w:jc w:val="right"/>
              <w:ind w:right="64"/>
              <w:spacing w:after="0"/>
              <w:rPr>
                <w:sz w:val="20"/>
                <w:szCs w:val="20"/>
                <w:color w:val="auto"/>
              </w:rPr>
            </w:pPr>
            <w:r>
              <w:rPr>
                <w:rFonts w:ascii="Arial" w:cs="Arial" w:eastAsia="Arial" w:hAnsi="Arial"/>
                <w:sz w:val="15"/>
                <w:szCs w:val="15"/>
                <w:color w:val="auto"/>
              </w:rPr>
              <w:t>59,268</w:t>
            </w:r>
          </w:p>
        </w:tc>
        <w:tc>
          <w:tcPr>
            <w:tcW w:w="120" w:type="dxa"/>
            <w:vAlign w:val="bottom"/>
          </w:tcPr>
          <w:p>
            <w:pPr>
              <w:spacing w:after="0"/>
              <w:rPr>
                <w:sz w:val="18"/>
                <w:szCs w:val="18"/>
                <w:color w:val="auto"/>
              </w:rPr>
            </w:pP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ind w:right="64"/>
              <w:spacing w:after="0"/>
              <w:rPr>
                <w:sz w:val="20"/>
                <w:szCs w:val="20"/>
                <w:color w:val="auto"/>
              </w:rPr>
            </w:pPr>
            <w:r>
              <w:rPr>
                <w:rFonts w:ascii="Arial" w:cs="Arial" w:eastAsia="Arial" w:hAnsi="Arial"/>
                <w:sz w:val="15"/>
                <w:szCs w:val="15"/>
                <w:color w:val="auto"/>
              </w:rPr>
              <w:t>40,786</w:t>
            </w:r>
          </w:p>
        </w:tc>
        <w:tc>
          <w:tcPr>
            <w:tcW w:w="2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180" w:type="dxa"/>
            <w:vAlign w:val="bottom"/>
          </w:tcPr>
          <w:p>
            <w:pPr>
              <w:jc w:val="right"/>
              <w:ind w:right="84"/>
              <w:spacing w:after="0"/>
              <w:rPr>
                <w:sz w:val="20"/>
                <w:szCs w:val="20"/>
                <w:color w:val="auto"/>
              </w:rPr>
            </w:pPr>
            <w:r>
              <w:rPr>
                <w:rFonts w:ascii="Arial" w:cs="Arial" w:eastAsia="Arial" w:hAnsi="Arial"/>
                <w:sz w:val="15"/>
                <w:szCs w:val="15"/>
                <w:color w:val="auto"/>
              </w:rPr>
              <w:t>43,269</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180" w:type="dxa"/>
            <w:vAlign w:val="bottom"/>
          </w:tcPr>
          <w:p>
            <w:pPr>
              <w:jc w:val="right"/>
              <w:ind w:right="64"/>
              <w:spacing w:after="0"/>
              <w:rPr>
                <w:sz w:val="20"/>
                <w:szCs w:val="20"/>
                <w:color w:val="auto"/>
              </w:rPr>
            </w:pPr>
            <w:r>
              <w:rPr>
                <w:rFonts w:ascii="Arial" w:cs="Arial" w:eastAsia="Arial" w:hAnsi="Arial"/>
                <w:sz w:val="15"/>
                <w:szCs w:val="15"/>
                <w:color w:val="auto"/>
              </w:rPr>
              <w:t>75,257</w:t>
            </w:r>
          </w:p>
        </w:tc>
      </w:tr>
      <w:tr>
        <w:trPr>
          <w:trHeight w:val="180"/>
        </w:trPr>
        <w:tc>
          <w:tcPr>
            <w:tcW w:w="5440" w:type="dxa"/>
            <w:vAlign w:val="bottom"/>
            <w:shd w:val="clear" w:color="auto" w:fill="CCEEFF"/>
          </w:tcPr>
          <w:p>
            <w:pPr>
              <w:ind w:left="20"/>
              <w:spacing w:after="0"/>
              <w:rPr>
                <w:sz w:val="20"/>
                <w:szCs w:val="20"/>
                <w:color w:val="auto"/>
              </w:rPr>
            </w:pPr>
            <w:r>
              <w:rPr>
                <w:rFonts w:ascii="Arial" w:cs="Arial" w:eastAsia="Arial" w:hAnsi="Arial"/>
                <w:sz w:val="15"/>
                <w:szCs w:val="15"/>
                <w:color w:val="auto"/>
                <w:w w:val="97"/>
              </w:rPr>
              <w:t>Net income per share attributable to Sun Communities, Inc. common stockholders -</w:t>
            </w:r>
          </w:p>
        </w:tc>
        <w:tc>
          <w:tcPr>
            <w:tcW w:w="1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r>
      <w:tr>
        <w:trPr>
          <w:trHeight w:val="202"/>
        </w:trPr>
        <w:tc>
          <w:tcPr>
            <w:tcW w:w="5440" w:type="dxa"/>
            <w:vAlign w:val="bottom"/>
            <w:shd w:val="clear" w:color="auto" w:fill="CCEEFF"/>
          </w:tcPr>
          <w:p>
            <w:pPr>
              <w:ind w:left="20"/>
              <w:spacing w:after="0"/>
              <w:rPr>
                <w:sz w:val="20"/>
                <w:szCs w:val="20"/>
                <w:color w:val="auto"/>
              </w:rPr>
            </w:pPr>
            <w:r>
              <w:rPr>
                <w:rFonts w:ascii="Arial" w:cs="Arial" w:eastAsia="Arial" w:hAnsi="Arial"/>
                <w:sz w:val="15"/>
                <w:szCs w:val="15"/>
                <w:color w:val="auto"/>
              </w:rPr>
              <w:t>basic</w:t>
            </w: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18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0.63</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0.47</w:t>
            </w: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18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rPr>
              <w:t>0.46</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18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0.87</w:t>
            </w:r>
          </w:p>
        </w:tc>
      </w:tr>
      <w:tr>
        <w:trPr>
          <w:trHeight w:val="176"/>
        </w:trPr>
        <w:tc>
          <w:tcPr>
            <w:tcW w:w="5440" w:type="dxa"/>
            <w:vAlign w:val="bottom"/>
          </w:tcPr>
          <w:p>
            <w:pPr>
              <w:ind w:left="20"/>
              <w:spacing w:after="0"/>
              <w:rPr>
                <w:sz w:val="20"/>
                <w:szCs w:val="20"/>
                <w:color w:val="auto"/>
              </w:rPr>
            </w:pPr>
            <w:r>
              <w:rPr>
                <w:rFonts w:ascii="Arial" w:cs="Arial" w:eastAsia="Arial" w:hAnsi="Arial"/>
                <w:sz w:val="15"/>
                <w:szCs w:val="15"/>
                <w:color w:val="auto"/>
                <w:w w:val="97"/>
              </w:rPr>
              <w:t>Net income per share attributable to Sun Communities, Inc. common stockholders -</w:t>
            </w:r>
          </w:p>
        </w:tc>
        <w:tc>
          <w:tcPr>
            <w:tcW w:w="1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94"/>
        </w:trPr>
        <w:tc>
          <w:tcPr>
            <w:tcW w:w="5440" w:type="dxa"/>
            <w:vAlign w:val="bottom"/>
          </w:tcPr>
          <w:p>
            <w:pPr>
              <w:ind w:left="20"/>
              <w:spacing w:after="0"/>
              <w:rPr>
                <w:sz w:val="20"/>
                <w:szCs w:val="20"/>
                <w:color w:val="auto"/>
              </w:rPr>
            </w:pPr>
            <w:r>
              <w:rPr>
                <w:rFonts w:ascii="Arial" w:cs="Arial" w:eastAsia="Arial" w:hAnsi="Arial"/>
                <w:sz w:val="15"/>
                <w:szCs w:val="15"/>
                <w:color w:val="auto"/>
              </w:rPr>
              <w:t>diluted</w:t>
            </w: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180" w:type="dxa"/>
            <w:vAlign w:val="bottom"/>
          </w:tcPr>
          <w:p>
            <w:pPr>
              <w:jc w:val="right"/>
              <w:ind w:right="64"/>
              <w:spacing w:after="0"/>
              <w:rPr>
                <w:sz w:val="20"/>
                <w:szCs w:val="20"/>
                <w:color w:val="auto"/>
              </w:rPr>
            </w:pPr>
            <w:r>
              <w:rPr>
                <w:rFonts w:ascii="Arial" w:cs="Arial" w:eastAsia="Arial" w:hAnsi="Arial"/>
                <w:sz w:val="15"/>
                <w:szCs w:val="15"/>
                <w:color w:val="auto"/>
              </w:rPr>
              <w:t>0.63</w:t>
            </w:r>
          </w:p>
        </w:tc>
        <w:tc>
          <w:tcPr>
            <w:tcW w:w="120" w:type="dxa"/>
            <w:vAlign w:val="bottom"/>
          </w:tcPr>
          <w:p>
            <w:pPr>
              <w:spacing w:after="0"/>
              <w:rPr>
                <w:sz w:val="16"/>
                <w:szCs w:val="16"/>
                <w:color w:val="auto"/>
              </w:rPr>
            </w:pP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ind w:right="64"/>
              <w:spacing w:after="0"/>
              <w:rPr>
                <w:sz w:val="20"/>
                <w:szCs w:val="20"/>
                <w:color w:val="auto"/>
              </w:rPr>
            </w:pPr>
            <w:r>
              <w:rPr>
                <w:rFonts w:ascii="Arial" w:cs="Arial" w:eastAsia="Arial" w:hAnsi="Arial"/>
                <w:sz w:val="15"/>
                <w:szCs w:val="15"/>
                <w:color w:val="auto"/>
              </w:rPr>
              <w:t>0.47</w:t>
            </w:r>
          </w:p>
        </w:tc>
        <w:tc>
          <w:tcPr>
            <w:tcW w:w="24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180" w:type="dxa"/>
            <w:vAlign w:val="bottom"/>
          </w:tcPr>
          <w:p>
            <w:pPr>
              <w:jc w:val="right"/>
              <w:ind w:right="84"/>
              <w:spacing w:after="0"/>
              <w:rPr>
                <w:sz w:val="20"/>
                <w:szCs w:val="20"/>
                <w:color w:val="auto"/>
              </w:rPr>
            </w:pPr>
            <w:r>
              <w:rPr>
                <w:rFonts w:ascii="Arial" w:cs="Arial" w:eastAsia="Arial" w:hAnsi="Arial"/>
                <w:sz w:val="15"/>
                <w:szCs w:val="15"/>
                <w:color w:val="auto"/>
              </w:rPr>
              <w:t>0.46</w:t>
            </w:r>
          </w:p>
        </w:tc>
        <w:tc>
          <w:tcPr>
            <w:tcW w:w="10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180" w:type="dxa"/>
            <w:vAlign w:val="bottom"/>
          </w:tcPr>
          <w:p>
            <w:pPr>
              <w:jc w:val="right"/>
              <w:ind w:right="64"/>
              <w:spacing w:after="0"/>
              <w:rPr>
                <w:sz w:val="20"/>
                <w:szCs w:val="20"/>
                <w:color w:val="auto"/>
              </w:rPr>
            </w:pPr>
            <w:r>
              <w:rPr>
                <w:rFonts w:ascii="Arial" w:cs="Arial" w:eastAsia="Arial" w:hAnsi="Arial"/>
                <w:sz w:val="15"/>
                <w:szCs w:val="15"/>
                <w:color w:val="auto"/>
              </w:rPr>
              <w:t>0.87</w:t>
            </w:r>
          </w:p>
        </w:tc>
      </w:tr>
    </w:tbl>
    <w:p>
      <w:pPr>
        <w:spacing w:after="0" w:line="34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Real Estate Held For Sale</w:t>
      </w:r>
    </w:p>
    <w:p>
      <w:pPr>
        <w:spacing w:after="0" w:line="25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periodically classify real estate assets as “held for sale.” An asset is classified as held for sale after an active program to sell an asset has commenced and when the sale is probable. Subsequent to the classification of assets as held for sale, no further depreciation expense is recorded. Within "Other Assets, net" on the Consolidated Balance Sheets is $5.7 million of real estate held for sale which is the carrying value of Countryside Village manufactured home community as of June 30, 2020. No depreciation expense was recognized during the quarter for this community.</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2019 Acquisitions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For the year ended December 31, 2019 we acquired the following communities:</w:t>
      </w:r>
    </w:p>
    <w:p>
      <w:pPr>
        <w:spacing w:after="0" w:line="303" w:lineRule="exact"/>
        <w:rPr>
          <w:sz w:val="20"/>
          <w:szCs w:val="20"/>
          <w:color w:val="auto"/>
        </w:rPr>
      </w:pPr>
    </w:p>
    <w:tbl>
      <w:tblPr>
        <w:tblLayout w:type="fixed"/>
        <w:tblInd w:w="40" w:type="dxa"/>
        <w:tblCellMar>
          <w:top w:w="0" w:type="dxa"/>
          <w:left w:w="0" w:type="dxa"/>
          <w:bottom w:w="0" w:type="dxa"/>
          <w:right w:w="0" w:type="dxa"/>
        </w:tblCellMar>
      </w:tblPr>
      <w:tr>
        <w:trPr>
          <w:trHeight w:val="202"/>
        </w:trPr>
        <w:tc>
          <w:tcPr>
            <w:tcW w:w="3060" w:type="dxa"/>
            <w:vAlign w:val="bottom"/>
            <w:tcBorders>
              <w:bottom w:val="single" w:sz="8" w:color="auto"/>
            </w:tcBorders>
          </w:tcPr>
          <w:p>
            <w:pPr>
              <w:ind w:left="920"/>
              <w:spacing w:after="0"/>
              <w:rPr>
                <w:sz w:val="20"/>
                <w:szCs w:val="20"/>
                <w:color w:val="auto"/>
              </w:rPr>
            </w:pPr>
            <w:r>
              <w:rPr>
                <w:rFonts w:ascii="Arial" w:cs="Arial" w:eastAsia="Arial" w:hAnsi="Arial"/>
                <w:sz w:val="15"/>
                <w:szCs w:val="15"/>
                <w:b w:val="1"/>
                <w:bCs w:val="1"/>
                <w:color w:val="auto"/>
              </w:rPr>
              <w:t>Community Name</w:t>
            </w:r>
          </w:p>
        </w:tc>
        <w:tc>
          <w:tcPr>
            <w:tcW w:w="100" w:type="dxa"/>
            <w:vAlign w:val="bottom"/>
            <w:tcBorders>
              <w:bottom w:val="single" w:sz="8" w:color="CCEEFF"/>
            </w:tcBorders>
          </w:tcPr>
          <w:p>
            <w:pPr>
              <w:spacing w:after="0"/>
              <w:rPr>
                <w:sz w:val="17"/>
                <w:szCs w:val="17"/>
                <w:color w:val="auto"/>
              </w:rPr>
            </w:pPr>
          </w:p>
        </w:tc>
        <w:tc>
          <w:tcPr>
            <w:tcW w:w="2280" w:type="dxa"/>
            <w:vAlign w:val="bottom"/>
            <w:tcBorders>
              <w:bottom w:val="single" w:sz="8" w:color="auto"/>
            </w:tcBorders>
          </w:tcPr>
          <w:p>
            <w:pPr>
              <w:ind w:left="980"/>
              <w:spacing w:after="0"/>
              <w:rPr>
                <w:sz w:val="20"/>
                <w:szCs w:val="20"/>
                <w:color w:val="auto"/>
              </w:rPr>
            </w:pPr>
            <w:r>
              <w:rPr>
                <w:rFonts w:ascii="Arial" w:cs="Arial" w:eastAsia="Arial" w:hAnsi="Arial"/>
                <w:sz w:val="15"/>
                <w:szCs w:val="15"/>
                <w:b w:val="1"/>
                <w:bCs w:val="1"/>
                <w:color w:val="auto"/>
              </w:rPr>
              <w:t>Type</w:t>
            </w:r>
          </w:p>
        </w:tc>
        <w:tc>
          <w:tcPr>
            <w:tcW w:w="120" w:type="dxa"/>
            <w:vAlign w:val="bottom"/>
            <w:tcBorders>
              <w:bottom w:val="single" w:sz="8" w:color="CCEEFF"/>
            </w:tcBorders>
          </w:tcPr>
          <w:p>
            <w:pPr>
              <w:spacing w:after="0"/>
              <w:rPr>
                <w:sz w:val="17"/>
                <w:szCs w:val="17"/>
                <w:color w:val="auto"/>
              </w:rPr>
            </w:pPr>
          </w:p>
        </w:tc>
        <w:tc>
          <w:tcPr>
            <w:tcW w:w="1160" w:type="dxa"/>
            <w:vAlign w:val="bottom"/>
            <w:tcBorders>
              <w:bottom w:val="single" w:sz="8" w:color="auto"/>
            </w:tcBorders>
          </w:tcPr>
          <w:p>
            <w:pPr>
              <w:jc w:val="right"/>
              <w:ind w:right="344"/>
              <w:spacing w:after="0"/>
              <w:rPr>
                <w:sz w:val="20"/>
                <w:szCs w:val="20"/>
                <w:color w:val="auto"/>
              </w:rPr>
            </w:pPr>
            <w:r>
              <w:rPr>
                <w:rFonts w:ascii="Arial" w:cs="Arial" w:eastAsia="Arial" w:hAnsi="Arial"/>
                <w:sz w:val="15"/>
                <w:szCs w:val="15"/>
                <w:b w:val="1"/>
                <w:bCs w:val="1"/>
                <w:color w:val="auto"/>
              </w:rPr>
              <w:t>Sites</w:t>
            </w:r>
          </w:p>
        </w:tc>
        <w:tc>
          <w:tcPr>
            <w:tcW w:w="100" w:type="dxa"/>
            <w:vAlign w:val="bottom"/>
            <w:tcBorders>
              <w:bottom w:val="single" w:sz="8" w:color="CCEEFF"/>
            </w:tcBorders>
          </w:tcPr>
          <w:p>
            <w:pPr>
              <w:spacing w:after="0"/>
              <w:rPr>
                <w:sz w:val="17"/>
                <w:szCs w:val="17"/>
                <w:color w:val="auto"/>
              </w:rPr>
            </w:pPr>
          </w:p>
        </w:tc>
        <w:tc>
          <w:tcPr>
            <w:tcW w:w="1580" w:type="dxa"/>
            <w:vAlign w:val="bottom"/>
            <w:tcBorders>
              <w:bottom w:val="single" w:sz="8" w:color="auto"/>
            </w:tcBorders>
          </w:tcPr>
          <w:p>
            <w:pPr>
              <w:jc w:val="right"/>
              <w:ind w:right="104"/>
              <w:spacing w:after="0"/>
              <w:rPr>
                <w:sz w:val="20"/>
                <w:szCs w:val="20"/>
                <w:color w:val="auto"/>
              </w:rPr>
            </w:pPr>
            <w:r>
              <w:rPr>
                <w:rFonts w:ascii="Arial" w:cs="Arial" w:eastAsia="Arial" w:hAnsi="Arial"/>
                <w:sz w:val="15"/>
                <w:szCs w:val="15"/>
                <w:b w:val="1"/>
                <w:bCs w:val="1"/>
                <w:color w:val="auto"/>
              </w:rPr>
              <w:t>Development Sites</w:t>
            </w:r>
          </w:p>
        </w:tc>
        <w:tc>
          <w:tcPr>
            <w:tcW w:w="100" w:type="dxa"/>
            <w:vAlign w:val="bottom"/>
            <w:tcBorders>
              <w:bottom w:val="single" w:sz="8" w:color="CCEEFF"/>
            </w:tcBorders>
          </w:tcPr>
          <w:p>
            <w:pPr>
              <w:spacing w:after="0"/>
              <w:rPr>
                <w:sz w:val="17"/>
                <w:szCs w:val="17"/>
                <w:color w:val="auto"/>
              </w:rPr>
            </w:pPr>
          </w:p>
        </w:tc>
        <w:tc>
          <w:tcPr>
            <w:tcW w:w="1000" w:type="dxa"/>
            <w:vAlign w:val="bottom"/>
            <w:tcBorders>
              <w:bottom w:val="single" w:sz="8" w:color="auto"/>
            </w:tcBorders>
          </w:tcPr>
          <w:p>
            <w:pPr>
              <w:ind w:left="340"/>
              <w:spacing w:after="0"/>
              <w:rPr>
                <w:sz w:val="20"/>
                <w:szCs w:val="20"/>
                <w:color w:val="auto"/>
              </w:rPr>
            </w:pPr>
            <w:r>
              <w:rPr>
                <w:rFonts w:ascii="Arial" w:cs="Arial" w:eastAsia="Arial" w:hAnsi="Arial"/>
                <w:sz w:val="15"/>
                <w:szCs w:val="15"/>
                <w:b w:val="1"/>
                <w:bCs w:val="1"/>
                <w:color w:val="auto"/>
              </w:rPr>
              <w:t>State</w:t>
            </w:r>
          </w:p>
        </w:tc>
        <w:tc>
          <w:tcPr>
            <w:tcW w:w="100" w:type="dxa"/>
            <w:vAlign w:val="bottom"/>
            <w:tcBorders>
              <w:bottom w:val="single" w:sz="8" w:color="CCEEFF"/>
            </w:tcBorders>
          </w:tcPr>
          <w:p>
            <w:pPr>
              <w:spacing w:after="0"/>
              <w:rPr>
                <w:sz w:val="17"/>
                <w:szCs w:val="17"/>
                <w:color w:val="auto"/>
              </w:rPr>
            </w:pPr>
          </w:p>
        </w:tc>
        <w:tc>
          <w:tcPr>
            <w:tcW w:w="1580" w:type="dxa"/>
            <w:vAlign w:val="bottom"/>
            <w:tcBorders>
              <w:bottom w:val="single" w:sz="8" w:color="auto"/>
            </w:tcBorders>
          </w:tcPr>
          <w:p>
            <w:pPr>
              <w:ind w:left="240"/>
              <w:spacing w:after="0"/>
              <w:rPr>
                <w:sz w:val="20"/>
                <w:szCs w:val="20"/>
                <w:color w:val="auto"/>
              </w:rPr>
            </w:pPr>
            <w:r>
              <w:rPr>
                <w:rFonts w:ascii="Arial" w:cs="Arial" w:eastAsia="Arial" w:hAnsi="Arial"/>
                <w:sz w:val="15"/>
                <w:szCs w:val="15"/>
                <w:b w:val="1"/>
                <w:bCs w:val="1"/>
                <w:color w:val="auto"/>
              </w:rPr>
              <w:t>Month Acquired</w:t>
            </w:r>
          </w:p>
        </w:tc>
      </w:tr>
      <w:tr>
        <w:trPr>
          <w:trHeight w:val="214"/>
        </w:trPr>
        <w:tc>
          <w:tcPr>
            <w:tcW w:w="316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Slickrock Campground</w:t>
            </w:r>
          </w:p>
        </w:tc>
        <w:tc>
          <w:tcPr>
            <w:tcW w:w="240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RV</w:t>
            </w:r>
          </w:p>
        </w:tc>
        <w:tc>
          <w:tcPr>
            <w:tcW w:w="116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193</w:t>
            </w:r>
          </w:p>
        </w:tc>
        <w:tc>
          <w:tcPr>
            <w:tcW w:w="100" w:type="dxa"/>
            <w:vAlign w:val="bottom"/>
            <w:shd w:val="clear" w:color="auto" w:fill="CCEEFF"/>
          </w:tcPr>
          <w:p>
            <w:pPr>
              <w:spacing w:after="0"/>
              <w:rPr>
                <w:sz w:val="18"/>
                <w:szCs w:val="18"/>
                <w:color w:val="auto"/>
              </w:rPr>
            </w:pPr>
          </w:p>
        </w:tc>
        <w:tc>
          <w:tcPr>
            <w:tcW w:w="158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UT</w:t>
            </w:r>
          </w:p>
        </w:tc>
        <w:tc>
          <w:tcPr>
            <w:tcW w:w="1580" w:type="dxa"/>
            <w:vAlign w:val="bottom"/>
            <w:shd w:val="clear" w:color="auto" w:fill="CCEEFF"/>
          </w:tcPr>
          <w:p>
            <w:pPr>
              <w:ind w:left="20"/>
              <w:spacing w:after="0"/>
              <w:rPr>
                <w:sz w:val="20"/>
                <w:szCs w:val="20"/>
                <w:color w:val="auto"/>
              </w:rPr>
            </w:pPr>
            <w:r>
              <w:rPr>
                <w:rFonts w:ascii="Arial" w:cs="Arial" w:eastAsia="Arial" w:hAnsi="Arial"/>
                <w:sz w:val="15"/>
                <w:szCs w:val="15"/>
                <w:color w:val="auto"/>
              </w:rPr>
              <w:t>December</w:t>
            </w:r>
          </w:p>
        </w:tc>
      </w:tr>
      <w:tr>
        <w:trPr>
          <w:trHeight w:val="212"/>
        </w:trPr>
        <w:tc>
          <w:tcPr>
            <w:tcW w:w="3160" w:type="dxa"/>
            <w:vAlign w:val="bottom"/>
            <w:gridSpan w:val="2"/>
          </w:tcPr>
          <w:p>
            <w:pPr>
              <w:ind w:left="20"/>
              <w:spacing w:after="0"/>
              <w:rPr>
                <w:sz w:val="20"/>
                <w:szCs w:val="20"/>
                <w:color w:val="auto"/>
              </w:rPr>
            </w:pPr>
            <w:r>
              <w:rPr>
                <w:rFonts w:ascii="Arial" w:cs="Arial" w:eastAsia="Arial" w:hAnsi="Arial"/>
                <w:sz w:val="15"/>
                <w:szCs w:val="15"/>
                <w:color w:val="auto"/>
              </w:rPr>
              <w:t>Pandion Ridge</w:t>
            </w:r>
          </w:p>
        </w:tc>
        <w:tc>
          <w:tcPr>
            <w:tcW w:w="2400" w:type="dxa"/>
            <w:vAlign w:val="bottom"/>
            <w:gridSpan w:val="2"/>
          </w:tcPr>
          <w:p>
            <w:pPr>
              <w:ind w:left="20"/>
              <w:spacing w:after="0"/>
              <w:rPr>
                <w:sz w:val="20"/>
                <w:szCs w:val="20"/>
                <w:color w:val="auto"/>
              </w:rPr>
            </w:pPr>
            <w:r>
              <w:rPr>
                <w:rFonts w:ascii="Arial" w:cs="Arial" w:eastAsia="Arial" w:hAnsi="Arial"/>
                <w:sz w:val="15"/>
                <w:szCs w:val="15"/>
                <w:color w:val="auto"/>
              </w:rPr>
              <w:t>RV</w:t>
            </w:r>
          </w:p>
        </w:tc>
        <w:tc>
          <w:tcPr>
            <w:tcW w:w="1160" w:type="dxa"/>
            <w:vAlign w:val="bottom"/>
          </w:tcPr>
          <w:p>
            <w:pPr>
              <w:jc w:val="right"/>
              <w:ind w:right="64"/>
              <w:spacing w:after="0"/>
              <w:rPr>
                <w:sz w:val="20"/>
                <w:szCs w:val="20"/>
                <w:color w:val="auto"/>
              </w:rPr>
            </w:pPr>
            <w:r>
              <w:rPr>
                <w:rFonts w:ascii="Arial" w:cs="Arial" w:eastAsia="Arial" w:hAnsi="Arial"/>
                <w:sz w:val="15"/>
                <w:szCs w:val="15"/>
                <w:color w:val="auto"/>
              </w:rPr>
              <w:t>142</w:t>
            </w:r>
          </w:p>
        </w:tc>
        <w:tc>
          <w:tcPr>
            <w:tcW w:w="100" w:type="dxa"/>
            <w:vAlign w:val="bottom"/>
          </w:tcPr>
          <w:p>
            <w:pPr>
              <w:spacing w:after="0"/>
              <w:rPr>
                <w:sz w:val="18"/>
                <w:szCs w:val="18"/>
                <w:color w:val="auto"/>
              </w:rPr>
            </w:pPr>
          </w:p>
        </w:tc>
        <w:tc>
          <w:tcPr>
            <w:tcW w:w="1580" w:type="dxa"/>
            <w:vAlign w:val="bottom"/>
          </w:tcPr>
          <w:p>
            <w:pPr>
              <w:jc w:val="right"/>
              <w:ind w:right="84"/>
              <w:spacing w:after="0"/>
              <w:rPr>
                <w:sz w:val="20"/>
                <w:szCs w:val="20"/>
                <w:color w:val="auto"/>
              </w:rPr>
            </w:pPr>
            <w:r>
              <w:rPr>
                <w:rFonts w:ascii="Arial" w:cs="Arial" w:eastAsia="Arial" w:hAnsi="Arial"/>
                <w:sz w:val="15"/>
                <w:szCs w:val="15"/>
                <w:color w:val="auto"/>
              </w:rPr>
              <w:t>351</w:t>
            </w:r>
          </w:p>
        </w:tc>
        <w:tc>
          <w:tcPr>
            <w:tcW w:w="100" w:type="dxa"/>
            <w:vAlign w:val="bottom"/>
          </w:tcPr>
          <w:p>
            <w:pPr>
              <w:spacing w:after="0"/>
              <w:rPr>
                <w:sz w:val="18"/>
                <w:szCs w:val="18"/>
                <w:color w:val="auto"/>
              </w:rPr>
            </w:pPr>
          </w:p>
        </w:tc>
        <w:tc>
          <w:tcPr>
            <w:tcW w:w="1100" w:type="dxa"/>
            <w:vAlign w:val="bottom"/>
            <w:gridSpan w:val="2"/>
          </w:tcPr>
          <w:p>
            <w:pPr>
              <w:ind w:left="20"/>
              <w:spacing w:after="0"/>
              <w:rPr>
                <w:sz w:val="20"/>
                <w:szCs w:val="20"/>
                <w:color w:val="auto"/>
              </w:rPr>
            </w:pPr>
            <w:r>
              <w:rPr>
                <w:rFonts w:ascii="Arial" w:cs="Arial" w:eastAsia="Arial" w:hAnsi="Arial"/>
                <w:sz w:val="15"/>
                <w:szCs w:val="15"/>
                <w:color w:val="auto"/>
              </w:rPr>
              <w:t>AL</w:t>
            </w:r>
          </w:p>
        </w:tc>
        <w:tc>
          <w:tcPr>
            <w:tcW w:w="1580" w:type="dxa"/>
            <w:vAlign w:val="bottom"/>
          </w:tcPr>
          <w:p>
            <w:pPr>
              <w:ind w:left="20"/>
              <w:spacing w:after="0"/>
              <w:rPr>
                <w:sz w:val="20"/>
                <w:szCs w:val="20"/>
                <w:color w:val="auto"/>
              </w:rPr>
            </w:pPr>
            <w:r>
              <w:rPr>
                <w:rFonts w:ascii="Arial" w:cs="Arial" w:eastAsia="Arial" w:hAnsi="Arial"/>
                <w:sz w:val="15"/>
                <w:szCs w:val="15"/>
                <w:color w:val="auto"/>
              </w:rPr>
              <w:t>November</w:t>
            </w:r>
          </w:p>
        </w:tc>
      </w:tr>
      <w:tr>
        <w:trPr>
          <w:trHeight w:val="220"/>
        </w:trPr>
        <w:tc>
          <w:tcPr>
            <w:tcW w:w="316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 xml:space="preserve">Jensen Portfolio </w:t>
            </w:r>
            <w:r>
              <w:rPr>
                <w:rFonts w:ascii="Arial" w:cs="Arial" w:eastAsia="Arial" w:hAnsi="Arial"/>
                <w:sz w:val="9"/>
                <w:szCs w:val="9"/>
                <w:color w:val="auto"/>
              </w:rPr>
              <w:t>(1)</w:t>
            </w:r>
          </w:p>
        </w:tc>
        <w:tc>
          <w:tcPr>
            <w:tcW w:w="240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MH</w:t>
            </w:r>
          </w:p>
        </w:tc>
        <w:tc>
          <w:tcPr>
            <w:tcW w:w="116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5,230</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rPr>
              <w:t>466</w:t>
            </w:r>
          </w:p>
        </w:tc>
        <w:tc>
          <w:tcPr>
            <w:tcW w:w="1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Various</w:t>
            </w:r>
          </w:p>
        </w:tc>
        <w:tc>
          <w:tcPr>
            <w:tcW w:w="1580" w:type="dxa"/>
            <w:vAlign w:val="bottom"/>
            <w:shd w:val="clear" w:color="auto" w:fill="CCEEFF"/>
          </w:tcPr>
          <w:p>
            <w:pPr>
              <w:ind w:left="20"/>
              <w:spacing w:after="0"/>
              <w:rPr>
                <w:sz w:val="20"/>
                <w:szCs w:val="20"/>
                <w:color w:val="auto"/>
              </w:rPr>
            </w:pPr>
            <w:r>
              <w:rPr>
                <w:rFonts w:ascii="Arial" w:cs="Arial" w:eastAsia="Arial" w:hAnsi="Arial"/>
                <w:sz w:val="15"/>
                <w:szCs w:val="15"/>
                <w:color w:val="auto"/>
              </w:rPr>
              <w:t>October</w:t>
            </w:r>
          </w:p>
        </w:tc>
      </w:tr>
      <w:tr>
        <w:trPr>
          <w:trHeight w:val="212"/>
        </w:trPr>
        <w:tc>
          <w:tcPr>
            <w:tcW w:w="3160" w:type="dxa"/>
            <w:vAlign w:val="bottom"/>
            <w:gridSpan w:val="2"/>
          </w:tcPr>
          <w:p>
            <w:pPr>
              <w:ind w:left="20"/>
              <w:spacing w:after="0"/>
              <w:rPr>
                <w:sz w:val="20"/>
                <w:szCs w:val="20"/>
                <w:color w:val="auto"/>
              </w:rPr>
            </w:pPr>
            <w:r>
              <w:rPr>
                <w:rFonts w:ascii="Arial" w:cs="Arial" w:eastAsia="Arial" w:hAnsi="Arial"/>
                <w:sz w:val="15"/>
                <w:szCs w:val="15"/>
                <w:color w:val="auto"/>
              </w:rPr>
              <w:t>Glen Ellis</w:t>
            </w:r>
          </w:p>
        </w:tc>
        <w:tc>
          <w:tcPr>
            <w:tcW w:w="2400" w:type="dxa"/>
            <w:vAlign w:val="bottom"/>
            <w:gridSpan w:val="2"/>
          </w:tcPr>
          <w:p>
            <w:pPr>
              <w:ind w:left="20"/>
              <w:spacing w:after="0"/>
              <w:rPr>
                <w:sz w:val="20"/>
                <w:szCs w:val="20"/>
                <w:color w:val="auto"/>
              </w:rPr>
            </w:pPr>
            <w:r>
              <w:rPr>
                <w:rFonts w:ascii="Arial" w:cs="Arial" w:eastAsia="Arial" w:hAnsi="Arial"/>
                <w:sz w:val="15"/>
                <w:szCs w:val="15"/>
                <w:color w:val="auto"/>
              </w:rPr>
              <w:t>RV</w:t>
            </w:r>
          </w:p>
        </w:tc>
        <w:tc>
          <w:tcPr>
            <w:tcW w:w="1160" w:type="dxa"/>
            <w:vAlign w:val="bottom"/>
          </w:tcPr>
          <w:p>
            <w:pPr>
              <w:jc w:val="right"/>
              <w:ind w:right="64"/>
              <w:spacing w:after="0"/>
              <w:rPr>
                <w:sz w:val="20"/>
                <w:szCs w:val="20"/>
                <w:color w:val="auto"/>
              </w:rPr>
            </w:pPr>
            <w:r>
              <w:rPr>
                <w:rFonts w:ascii="Arial" w:cs="Arial" w:eastAsia="Arial" w:hAnsi="Arial"/>
                <w:sz w:val="15"/>
                <w:szCs w:val="15"/>
                <w:color w:val="auto"/>
              </w:rPr>
              <w:t>244</w:t>
            </w:r>
          </w:p>
        </w:tc>
        <w:tc>
          <w:tcPr>
            <w:tcW w:w="100" w:type="dxa"/>
            <w:vAlign w:val="bottom"/>
          </w:tcPr>
          <w:p>
            <w:pPr>
              <w:spacing w:after="0"/>
              <w:rPr>
                <w:sz w:val="18"/>
                <w:szCs w:val="18"/>
                <w:color w:val="auto"/>
              </w:rPr>
            </w:pPr>
          </w:p>
        </w:tc>
        <w:tc>
          <w:tcPr>
            <w:tcW w:w="1580" w:type="dxa"/>
            <w:vAlign w:val="bottom"/>
          </w:tcPr>
          <w:p>
            <w:pPr>
              <w:jc w:val="right"/>
              <w:ind w:right="84"/>
              <w:spacing w:after="0"/>
              <w:rPr>
                <w:sz w:val="20"/>
                <w:szCs w:val="20"/>
                <w:color w:val="auto"/>
              </w:rPr>
            </w:pPr>
            <w:r>
              <w:rPr>
                <w:rFonts w:ascii="Arial" w:cs="Arial" w:eastAsia="Arial" w:hAnsi="Arial"/>
                <w:sz w:val="15"/>
                <w:szCs w:val="15"/>
                <w:color w:val="auto"/>
              </w:rPr>
              <w:t>40</w:t>
            </w:r>
          </w:p>
        </w:tc>
        <w:tc>
          <w:tcPr>
            <w:tcW w:w="100" w:type="dxa"/>
            <w:vAlign w:val="bottom"/>
          </w:tcPr>
          <w:p>
            <w:pPr>
              <w:spacing w:after="0"/>
              <w:rPr>
                <w:sz w:val="18"/>
                <w:szCs w:val="18"/>
                <w:color w:val="auto"/>
              </w:rPr>
            </w:pPr>
          </w:p>
        </w:tc>
        <w:tc>
          <w:tcPr>
            <w:tcW w:w="1100" w:type="dxa"/>
            <w:vAlign w:val="bottom"/>
            <w:gridSpan w:val="2"/>
          </w:tcPr>
          <w:p>
            <w:pPr>
              <w:ind w:left="20"/>
              <w:spacing w:after="0"/>
              <w:rPr>
                <w:sz w:val="20"/>
                <w:szCs w:val="20"/>
                <w:color w:val="auto"/>
              </w:rPr>
            </w:pPr>
            <w:r>
              <w:rPr>
                <w:rFonts w:ascii="Arial" w:cs="Arial" w:eastAsia="Arial" w:hAnsi="Arial"/>
                <w:sz w:val="15"/>
                <w:szCs w:val="15"/>
                <w:color w:val="auto"/>
              </w:rPr>
              <w:t>NH</w:t>
            </w:r>
          </w:p>
        </w:tc>
        <w:tc>
          <w:tcPr>
            <w:tcW w:w="1580" w:type="dxa"/>
            <w:vAlign w:val="bottom"/>
          </w:tcPr>
          <w:p>
            <w:pPr>
              <w:ind w:left="20"/>
              <w:spacing w:after="0"/>
              <w:rPr>
                <w:sz w:val="20"/>
                <w:szCs w:val="20"/>
                <w:color w:val="auto"/>
              </w:rPr>
            </w:pPr>
            <w:r>
              <w:rPr>
                <w:rFonts w:ascii="Arial" w:cs="Arial" w:eastAsia="Arial" w:hAnsi="Arial"/>
                <w:sz w:val="15"/>
                <w:szCs w:val="15"/>
                <w:color w:val="auto"/>
              </w:rPr>
              <w:t>September</w:t>
            </w:r>
          </w:p>
        </w:tc>
      </w:tr>
      <w:tr>
        <w:trPr>
          <w:trHeight w:val="220"/>
        </w:trPr>
        <w:tc>
          <w:tcPr>
            <w:tcW w:w="316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 xml:space="preserve">Leisure Point Resort </w:t>
            </w:r>
            <w:r>
              <w:rPr>
                <w:rFonts w:ascii="Arial" w:cs="Arial" w:eastAsia="Arial" w:hAnsi="Arial"/>
                <w:sz w:val="9"/>
                <w:szCs w:val="9"/>
                <w:color w:val="auto"/>
              </w:rPr>
              <w:t>(2)</w:t>
            </w:r>
          </w:p>
        </w:tc>
        <w:tc>
          <w:tcPr>
            <w:tcW w:w="240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MH/RV</w:t>
            </w:r>
          </w:p>
        </w:tc>
        <w:tc>
          <w:tcPr>
            <w:tcW w:w="116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502</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DE</w:t>
            </w:r>
          </w:p>
        </w:tc>
        <w:tc>
          <w:tcPr>
            <w:tcW w:w="1580" w:type="dxa"/>
            <w:vAlign w:val="bottom"/>
            <w:shd w:val="clear" w:color="auto" w:fill="CCEEFF"/>
          </w:tcPr>
          <w:p>
            <w:pPr>
              <w:ind w:left="20"/>
              <w:spacing w:after="0"/>
              <w:rPr>
                <w:sz w:val="20"/>
                <w:szCs w:val="20"/>
                <w:color w:val="auto"/>
              </w:rPr>
            </w:pPr>
            <w:r>
              <w:rPr>
                <w:rFonts w:ascii="Arial" w:cs="Arial" w:eastAsia="Arial" w:hAnsi="Arial"/>
                <w:sz w:val="15"/>
                <w:szCs w:val="15"/>
                <w:color w:val="auto"/>
              </w:rPr>
              <w:t>September</w:t>
            </w:r>
          </w:p>
        </w:tc>
      </w:tr>
      <w:tr>
        <w:trPr>
          <w:trHeight w:val="212"/>
        </w:trPr>
        <w:tc>
          <w:tcPr>
            <w:tcW w:w="3160" w:type="dxa"/>
            <w:vAlign w:val="bottom"/>
            <w:gridSpan w:val="2"/>
          </w:tcPr>
          <w:p>
            <w:pPr>
              <w:ind w:left="20"/>
              <w:spacing w:after="0"/>
              <w:rPr>
                <w:sz w:val="20"/>
                <w:szCs w:val="20"/>
                <w:color w:val="auto"/>
              </w:rPr>
            </w:pPr>
            <w:r>
              <w:rPr>
                <w:rFonts w:ascii="Arial" w:cs="Arial" w:eastAsia="Arial" w:hAnsi="Arial"/>
                <w:sz w:val="15"/>
                <w:szCs w:val="15"/>
                <w:color w:val="auto"/>
              </w:rPr>
              <w:t>Reunion Lake</w:t>
            </w:r>
          </w:p>
        </w:tc>
        <w:tc>
          <w:tcPr>
            <w:tcW w:w="2400" w:type="dxa"/>
            <w:vAlign w:val="bottom"/>
            <w:gridSpan w:val="2"/>
          </w:tcPr>
          <w:p>
            <w:pPr>
              <w:ind w:left="20"/>
              <w:spacing w:after="0"/>
              <w:rPr>
                <w:sz w:val="20"/>
                <w:szCs w:val="20"/>
                <w:color w:val="auto"/>
              </w:rPr>
            </w:pPr>
            <w:r>
              <w:rPr>
                <w:rFonts w:ascii="Arial" w:cs="Arial" w:eastAsia="Arial" w:hAnsi="Arial"/>
                <w:sz w:val="15"/>
                <w:szCs w:val="15"/>
                <w:color w:val="auto"/>
              </w:rPr>
              <w:t>RV</w:t>
            </w:r>
          </w:p>
        </w:tc>
        <w:tc>
          <w:tcPr>
            <w:tcW w:w="1160" w:type="dxa"/>
            <w:vAlign w:val="bottom"/>
          </w:tcPr>
          <w:p>
            <w:pPr>
              <w:jc w:val="right"/>
              <w:ind w:right="64"/>
              <w:spacing w:after="0"/>
              <w:rPr>
                <w:sz w:val="20"/>
                <w:szCs w:val="20"/>
                <w:color w:val="auto"/>
              </w:rPr>
            </w:pPr>
            <w:r>
              <w:rPr>
                <w:rFonts w:ascii="Arial" w:cs="Arial" w:eastAsia="Arial" w:hAnsi="Arial"/>
                <w:sz w:val="15"/>
                <w:szCs w:val="15"/>
                <w:color w:val="auto"/>
              </w:rPr>
              <w:t>202</w:t>
            </w:r>
          </w:p>
        </w:tc>
        <w:tc>
          <w:tcPr>
            <w:tcW w:w="100" w:type="dxa"/>
            <w:vAlign w:val="bottom"/>
          </w:tcPr>
          <w:p>
            <w:pPr>
              <w:spacing w:after="0"/>
              <w:rPr>
                <w:sz w:val="18"/>
                <w:szCs w:val="18"/>
                <w:color w:val="auto"/>
              </w:rPr>
            </w:pPr>
          </w:p>
        </w:tc>
        <w:tc>
          <w:tcPr>
            <w:tcW w:w="1580" w:type="dxa"/>
            <w:vAlign w:val="bottom"/>
          </w:tcPr>
          <w:p>
            <w:pPr>
              <w:jc w:val="right"/>
              <w:ind w:right="84"/>
              <w:spacing w:after="0"/>
              <w:rPr>
                <w:sz w:val="20"/>
                <w:szCs w:val="20"/>
                <w:color w:val="auto"/>
              </w:rPr>
            </w:pPr>
            <w:r>
              <w:rPr>
                <w:rFonts w:ascii="Arial" w:cs="Arial" w:eastAsia="Arial" w:hAnsi="Arial"/>
                <w:sz w:val="15"/>
                <w:szCs w:val="15"/>
                <w:color w:val="auto"/>
              </w:rPr>
              <w:t>69</w:t>
            </w:r>
          </w:p>
        </w:tc>
        <w:tc>
          <w:tcPr>
            <w:tcW w:w="100" w:type="dxa"/>
            <w:vAlign w:val="bottom"/>
          </w:tcPr>
          <w:p>
            <w:pPr>
              <w:spacing w:after="0"/>
              <w:rPr>
                <w:sz w:val="18"/>
                <w:szCs w:val="18"/>
                <w:color w:val="auto"/>
              </w:rPr>
            </w:pPr>
          </w:p>
        </w:tc>
        <w:tc>
          <w:tcPr>
            <w:tcW w:w="1100" w:type="dxa"/>
            <w:vAlign w:val="bottom"/>
            <w:gridSpan w:val="2"/>
          </w:tcPr>
          <w:p>
            <w:pPr>
              <w:ind w:left="20"/>
              <w:spacing w:after="0"/>
              <w:rPr>
                <w:sz w:val="20"/>
                <w:szCs w:val="20"/>
                <w:color w:val="auto"/>
              </w:rPr>
            </w:pPr>
            <w:r>
              <w:rPr>
                <w:rFonts w:ascii="Arial" w:cs="Arial" w:eastAsia="Arial" w:hAnsi="Arial"/>
                <w:sz w:val="15"/>
                <w:szCs w:val="15"/>
                <w:color w:val="auto"/>
              </w:rPr>
              <w:t>LA</w:t>
            </w:r>
          </w:p>
        </w:tc>
        <w:tc>
          <w:tcPr>
            <w:tcW w:w="1580" w:type="dxa"/>
            <w:vAlign w:val="bottom"/>
          </w:tcPr>
          <w:p>
            <w:pPr>
              <w:ind w:left="20"/>
              <w:spacing w:after="0"/>
              <w:rPr>
                <w:sz w:val="20"/>
                <w:szCs w:val="20"/>
                <w:color w:val="auto"/>
              </w:rPr>
            </w:pPr>
            <w:r>
              <w:rPr>
                <w:rFonts w:ascii="Arial" w:cs="Arial" w:eastAsia="Arial" w:hAnsi="Arial"/>
                <w:sz w:val="15"/>
                <w:szCs w:val="15"/>
                <w:color w:val="auto"/>
              </w:rPr>
              <w:t>July</w:t>
            </w:r>
          </w:p>
        </w:tc>
      </w:tr>
      <w:tr>
        <w:trPr>
          <w:trHeight w:val="220"/>
        </w:trPr>
        <w:tc>
          <w:tcPr>
            <w:tcW w:w="316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River Plantation</w:t>
            </w:r>
          </w:p>
        </w:tc>
        <w:tc>
          <w:tcPr>
            <w:tcW w:w="240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RV</w:t>
            </w:r>
          </w:p>
        </w:tc>
        <w:tc>
          <w:tcPr>
            <w:tcW w:w="116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309</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TN</w:t>
            </w:r>
          </w:p>
        </w:tc>
        <w:tc>
          <w:tcPr>
            <w:tcW w:w="1580" w:type="dxa"/>
            <w:vAlign w:val="bottom"/>
            <w:shd w:val="clear" w:color="auto" w:fill="CCEEFF"/>
          </w:tcPr>
          <w:p>
            <w:pPr>
              <w:ind w:left="20"/>
              <w:spacing w:after="0"/>
              <w:rPr>
                <w:sz w:val="20"/>
                <w:szCs w:val="20"/>
                <w:color w:val="auto"/>
              </w:rPr>
            </w:pPr>
            <w:r>
              <w:rPr>
                <w:rFonts w:ascii="Arial" w:cs="Arial" w:eastAsia="Arial" w:hAnsi="Arial"/>
                <w:sz w:val="15"/>
                <w:szCs w:val="15"/>
                <w:color w:val="auto"/>
              </w:rPr>
              <w:t>May</w:t>
            </w:r>
          </w:p>
        </w:tc>
      </w:tr>
      <w:tr>
        <w:trPr>
          <w:trHeight w:val="212"/>
        </w:trPr>
        <w:tc>
          <w:tcPr>
            <w:tcW w:w="3160" w:type="dxa"/>
            <w:vAlign w:val="bottom"/>
            <w:gridSpan w:val="2"/>
          </w:tcPr>
          <w:p>
            <w:pPr>
              <w:ind w:left="20"/>
              <w:spacing w:after="0"/>
              <w:rPr>
                <w:sz w:val="20"/>
                <w:szCs w:val="20"/>
                <w:color w:val="auto"/>
              </w:rPr>
            </w:pPr>
            <w:r>
              <w:rPr>
                <w:rFonts w:ascii="Arial" w:cs="Arial" w:eastAsia="Arial" w:hAnsi="Arial"/>
                <w:sz w:val="15"/>
                <w:szCs w:val="15"/>
                <w:color w:val="auto"/>
              </w:rPr>
              <w:t>Massey’s Landing RV</w:t>
            </w:r>
          </w:p>
        </w:tc>
        <w:tc>
          <w:tcPr>
            <w:tcW w:w="2400" w:type="dxa"/>
            <w:vAlign w:val="bottom"/>
            <w:gridSpan w:val="2"/>
          </w:tcPr>
          <w:p>
            <w:pPr>
              <w:ind w:left="20"/>
              <w:spacing w:after="0"/>
              <w:rPr>
                <w:sz w:val="20"/>
                <w:szCs w:val="20"/>
                <w:color w:val="auto"/>
              </w:rPr>
            </w:pPr>
            <w:r>
              <w:rPr>
                <w:rFonts w:ascii="Arial" w:cs="Arial" w:eastAsia="Arial" w:hAnsi="Arial"/>
                <w:sz w:val="15"/>
                <w:szCs w:val="15"/>
                <w:color w:val="auto"/>
              </w:rPr>
              <w:t>RV</w:t>
            </w:r>
          </w:p>
        </w:tc>
        <w:tc>
          <w:tcPr>
            <w:tcW w:w="1160" w:type="dxa"/>
            <w:vAlign w:val="bottom"/>
          </w:tcPr>
          <w:p>
            <w:pPr>
              <w:jc w:val="right"/>
              <w:ind w:right="64"/>
              <w:spacing w:after="0"/>
              <w:rPr>
                <w:sz w:val="20"/>
                <w:szCs w:val="20"/>
                <w:color w:val="auto"/>
              </w:rPr>
            </w:pPr>
            <w:r>
              <w:rPr>
                <w:rFonts w:ascii="Arial" w:cs="Arial" w:eastAsia="Arial" w:hAnsi="Arial"/>
                <w:sz w:val="15"/>
                <w:szCs w:val="15"/>
                <w:color w:val="auto"/>
              </w:rPr>
              <w:t>291</w:t>
            </w:r>
          </w:p>
        </w:tc>
        <w:tc>
          <w:tcPr>
            <w:tcW w:w="100" w:type="dxa"/>
            <w:vAlign w:val="bottom"/>
          </w:tcPr>
          <w:p>
            <w:pPr>
              <w:spacing w:after="0"/>
              <w:rPr>
                <w:sz w:val="18"/>
                <w:szCs w:val="18"/>
                <w:color w:val="auto"/>
              </w:rPr>
            </w:pPr>
          </w:p>
        </w:tc>
        <w:tc>
          <w:tcPr>
            <w:tcW w:w="1580" w:type="dxa"/>
            <w:vAlign w:val="bottom"/>
          </w:tcPr>
          <w:p>
            <w:pPr>
              <w:jc w:val="right"/>
              <w:ind w:right="84"/>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8"/>
                <w:szCs w:val="18"/>
                <w:color w:val="auto"/>
              </w:rPr>
            </w:pPr>
          </w:p>
        </w:tc>
        <w:tc>
          <w:tcPr>
            <w:tcW w:w="1100" w:type="dxa"/>
            <w:vAlign w:val="bottom"/>
            <w:gridSpan w:val="2"/>
          </w:tcPr>
          <w:p>
            <w:pPr>
              <w:ind w:left="20"/>
              <w:spacing w:after="0"/>
              <w:rPr>
                <w:sz w:val="20"/>
                <w:szCs w:val="20"/>
                <w:color w:val="auto"/>
              </w:rPr>
            </w:pPr>
            <w:r>
              <w:rPr>
                <w:rFonts w:ascii="Arial" w:cs="Arial" w:eastAsia="Arial" w:hAnsi="Arial"/>
                <w:sz w:val="15"/>
                <w:szCs w:val="15"/>
                <w:color w:val="auto"/>
              </w:rPr>
              <w:t>DE</w:t>
            </w:r>
          </w:p>
        </w:tc>
        <w:tc>
          <w:tcPr>
            <w:tcW w:w="1580" w:type="dxa"/>
            <w:vAlign w:val="bottom"/>
          </w:tcPr>
          <w:p>
            <w:pPr>
              <w:ind w:left="20"/>
              <w:spacing w:after="0"/>
              <w:rPr>
                <w:sz w:val="20"/>
                <w:szCs w:val="20"/>
                <w:color w:val="auto"/>
              </w:rPr>
            </w:pPr>
            <w:r>
              <w:rPr>
                <w:rFonts w:ascii="Arial" w:cs="Arial" w:eastAsia="Arial" w:hAnsi="Arial"/>
                <w:sz w:val="15"/>
                <w:szCs w:val="15"/>
                <w:color w:val="auto"/>
              </w:rPr>
              <w:t>February</w:t>
            </w:r>
          </w:p>
        </w:tc>
      </w:tr>
      <w:tr>
        <w:trPr>
          <w:trHeight w:val="220"/>
        </w:trPr>
        <w:tc>
          <w:tcPr>
            <w:tcW w:w="316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 xml:space="preserve">Shelby Properties </w:t>
            </w:r>
            <w:r>
              <w:rPr>
                <w:rFonts w:ascii="Arial" w:cs="Arial" w:eastAsia="Arial" w:hAnsi="Arial"/>
                <w:sz w:val="9"/>
                <w:szCs w:val="9"/>
                <w:color w:val="auto"/>
              </w:rPr>
              <w:t>(3)</w:t>
            </w:r>
          </w:p>
        </w:tc>
        <w:tc>
          <w:tcPr>
            <w:tcW w:w="240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MH</w:t>
            </w:r>
          </w:p>
        </w:tc>
        <w:tc>
          <w:tcPr>
            <w:tcW w:w="116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1,308</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MI</w:t>
            </w:r>
          </w:p>
        </w:tc>
        <w:tc>
          <w:tcPr>
            <w:tcW w:w="1580" w:type="dxa"/>
            <w:vAlign w:val="bottom"/>
            <w:shd w:val="clear" w:color="auto" w:fill="CCEEFF"/>
          </w:tcPr>
          <w:p>
            <w:pPr>
              <w:ind w:left="20"/>
              <w:spacing w:after="0"/>
              <w:rPr>
                <w:sz w:val="20"/>
                <w:szCs w:val="20"/>
                <w:color w:val="auto"/>
              </w:rPr>
            </w:pPr>
            <w:r>
              <w:rPr>
                <w:rFonts w:ascii="Arial" w:cs="Arial" w:eastAsia="Arial" w:hAnsi="Arial"/>
                <w:sz w:val="15"/>
                <w:szCs w:val="15"/>
                <w:color w:val="auto"/>
              </w:rPr>
              <w:t>February</w:t>
            </w:r>
          </w:p>
        </w:tc>
      </w:tr>
      <w:tr>
        <w:trPr>
          <w:trHeight w:val="212"/>
        </w:trPr>
        <w:tc>
          <w:tcPr>
            <w:tcW w:w="3160" w:type="dxa"/>
            <w:vAlign w:val="bottom"/>
            <w:gridSpan w:val="2"/>
          </w:tcPr>
          <w:p>
            <w:pPr>
              <w:ind w:left="20"/>
              <w:spacing w:after="0"/>
              <w:rPr>
                <w:sz w:val="20"/>
                <w:szCs w:val="20"/>
                <w:color w:val="auto"/>
              </w:rPr>
            </w:pPr>
            <w:r>
              <w:rPr>
                <w:rFonts w:ascii="Arial" w:cs="Arial" w:eastAsia="Arial" w:hAnsi="Arial"/>
                <w:sz w:val="15"/>
                <w:szCs w:val="15"/>
                <w:color w:val="auto"/>
              </w:rPr>
              <w:t>Buena Vista</w:t>
            </w:r>
          </w:p>
        </w:tc>
        <w:tc>
          <w:tcPr>
            <w:tcW w:w="2400" w:type="dxa"/>
            <w:vAlign w:val="bottom"/>
            <w:gridSpan w:val="2"/>
          </w:tcPr>
          <w:p>
            <w:pPr>
              <w:ind w:left="20"/>
              <w:spacing w:after="0"/>
              <w:rPr>
                <w:sz w:val="20"/>
                <w:szCs w:val="20"/>
                <w:color w:val="auto"/>
              </w:rPr>
            </w:pPr>
            <w:r>
              <w:rPr>
                <w:rFonts w:ascii="Arial" w:cs="Arial" w:eastAsia="Arial" w:hAnsi="Arial"/>
                <w:sz w:val="15"/>
                <w:szCs w:val="15"/>
                <w:color w:val="auto"/>
              </w:rPr>
              <w:t>MH</w:t>
            </w:r>
          </w:p>
        </w:tc>
        <w:tc>
          <w:tcPr>
            <w:tcW w:w="1160" w:type="dxa"/>
            <w:vAlign w:val="bottom"/>
          </w:tcPr>
          <w:p>
            <w:pPr>
              <w:jc w:val="right"/>
              <w:ind w:right="64"/>
              <w:spacing w:after="0"/>
              <w:rPr>
                <w:sz w:val="20"/>
                <w:szCs w:val="20"/>
                <w:color w:val="auto"/>
              </w:rPr>
            </w:pPr>
            <w:r>
              <w:rPr>
                <w:rFonts w:ascii="Arial" w:cs="Arial" w:eastAsia="Arial" w:hAnsi="Arial"/>
                <w:sz w:val="15"/>
                <w:szCs w:val="15"/>
                <w:color w:val="auto"/>
              </w:rPr>
              <w:t>400</w:t>
            </w:r>
          </w:p>
        </w:tc>
        <w:tc>
          <w:tcPr>
            <w:tcW w:w="100" w:type="dxa"/>
            <w:vAlign w:val="bottom"/>
          </w:tcPr>
          <w:p>
            <w:pPr>
              <w:spacing w:after="0"/>
              <w:rPr>
                <w:sz w:val="18"/>
                <w:szCs w:val="18"/>
                <w:color w:val="auto"/>
              </w:rPr>
            </w:pPr>
          </w:p>
        </w:tc>
        <w:tc>
          <w:tcPr>
            <w:tcW w:w="1580" w:type="dxa"/>
            <w:vAlign w:val="bottom"/>
          </w:tcPr>
          <w:p>
            <w:pPr>
              <w:jc w:val="right"/>
              <w:ind w:right="84"/>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8"/>
                <w:szCs w:val="18"/>
                <w:color w:val="auto"/>
              </w:rPr>
            </w:pPr>
          </w:p>
        </w:tc>
        <w:tc>
          <w:tcPr>
            <w:tcW w:w="1100" w:type="dxa"/>
            <w:vAlign w:val="bottom"/>
            <w:gridSpan w:val="2"/>
          </w:tcPr>
          <w:p>
            <w:pPr>
              <w:ind w:left="20"/>
              <w:spacing w:after="0"/>
              <w:rPr>
                <w:sz w:val="20"/>
                <w:szCs w:val="20"/>
                <w:color w:val="auto"/>
              </w:rPr>
            </w:pPr>
            <w:r>
              <w:rPr>
                <w:rFonts w:ascii="Arial" w:cs="Arial" w:eastAsia="Arial" w:hAnsi="Arial"/>
                <w:sz w:val="15"/>
                <w:szCs w:val="15"/>
                <w:color w:val="auto"/>
              </w:rPr>
              <w:t>AZ</w:t>
            </w:r>
          </w:p>
        </w:tc>
        <w:tc>
          <w:tcPr>
            <w:tcW w:w="1580" w:type="dxa"/>
            <w:vAlign w:val="bottom"/>
          </w:tcPr>
          <w:p>
            <w:pPr>
              <w:ind w:left="20"/>
              <w:spacing w:after="0"/>
              <w:rPr>
                <w:sz w:val="20"/>
                <w:szCs w:val="20"/>
                <w:color w:val="auto"/>
              </w:rPr>
            </w:pPr>
            <w:r>
              <w:rPr>
                <w:rFonts w:ascii="Arial" w:cs="Arial" w:eastAsia="Arial" w:hAnsi="Arial"/>
                <w:sz w:val="15"/>
                <w:szCs w:val="15"/>
                <w:color w:val="auto"/>
              </w:rPr>
              <w:t>February</w:t>
            </w:r>
          </w:p>
        </w:tc>
      </w:tr>
      <w:tr>
        <w:trPr>
          <w:trHeight w:val="220"/>
        </w:trPr>
        <w:tc>
          <w:tcPr>
            <w:tcW w:w="316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 xml:space="preserve">Country Village Estates </w:t>
            </w:r>
            <w:r>
              <w:rPr>
                <w:rFonts w:ascii="Arial" w:cs="Arial" w:eastAsia="Arial" w:hAnsi="Arial"/>
                <w:sz w:val="9"/>
                <w:szCs w:val="9"/>
                <w:color w:val="auto"/>
              </w:rPr>
              <w:t>(4)</w:t>
            </w:r>
          </w:p>
        </w:tc>
        <w:tc>
          <w:tcPr>
            <w:tcW w:w="240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MH</w:t>
            </w:r>
          </w:p>
        </w:tc>
        <w:tc>
          <w:tcPr>
            <w:tcW w:w="116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518</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OR</w:t>
            </w:r>
          </w:p>
        </w:tc>
        <w:tc>
          <w:tcPr>
            <w:tcW w:w="1580" w:type="dxa"/>
            <w:vAlign w:val="bottom"/>
            <w:shd w:val="clear" w:color="auto" w:fill="CCEEFF"/>
          </w:tcPr>
          <w:p>
            <w:pPr>
              <w:ind w:left="20"/>
              <w:spacing w:after="0"/>
              <w:rPr>
                <w:sz w:val="20"/>
                <w:szCs w:val="20"/>
                <w:color w:val="auto"/>
              </w:rPr>
            </w:pPr>
            <w:r>
              <w:rPr>
                <w:rFonts w:ascii="Arial" w:cs="Arial" w:eastAsia="Arial" w:hAnsi="Arial"/>
                <w:sz w:val="15"/>
                <w:szCs w:val="15"/>
                <w:color w:val="auto"/>
              </w:rPr>
              <w:t>January</w:t>
            </w:r>
          </w:p>
        </w:tc>
      </w:tr>
      <w:tr>
        <w:trPr>
          <w:trHeight w:val="212"/>
        </w:trPr>
        <w:tc>
          <w:tcPr>
            <w:tcW w:w="3160" w:type="dxa"/>
            <w:vAlign w:val="bottom"/>
            <w:gridSpan w:val="2"/>
          </w:tcPr>
          <w:p>
            <w:pPr>
              <w:ind w:left="20"/>
              <w:spacing w:after="0"/>
              <w:rPr>
                <w:sz w:val="20"/>
                <w:szCs w:val="20"/>
                <w:color w:val="auto"/>
              </w:rPr>
            </w:pPr>
            <w:r>
              <w:rPr>
                <w:rFonts w:ascii="Arial" w:cs="Arial" w:eastAsia="Arial" w:hAnsi="Arial"/>
                <w:sz w:val="15"/>
                <w:szCs w:val="15"/>
                <w:color w:val="auto"/>
              </w:rPr>
              <w:t>Hid’n Pines RV</w:t>
            </w:r>
          </w:p>
        </w:tc>
        <w:tc>
          <w:tcPr>
            <w:tcW w:w="2400" w:type="dxa"/>
            <w:vAlign w:val="bottom"/>
            <w:gridSpan w:val="2"/>
          </w:tcPr>
          <w:p>
            <w:pPr>
              <w:ind w:left="20"/>
              <w:spacing w:after="0"/>
              <w:rPr>
                <w:sz w:val="20"/>
                <w:szCs w:val="20"/>
                <w:color w:val="auto"/>
              </w:rPr>
            </w:pPr>
            <w:r>
              <w:rPr>
                <w:rFonts w:ascii="Arial" w:cs="Arial" w:eastAsia="Arial" w:hAnsi="Arial"/>
                <w:sz w:val="15"/>
                <w:szCs w:val="15"/>
                <w:color w:val="auto"/>
              </w:rPr>
              <w:t>RV</w:t>
            </w:r>
          </w:p>
        </w:tc>
        <w:tc>
          <w:tcPr>
            <w:tcW w:w="1160" w:type="dxa"/>
            <w:vAlign w:val="bottom"/>
          </w:tcPr>
          <w:p>
            <w:pPr>
              <w:jc w:val="right"/>
              <w:ind w:right="64"/>
              <w:spacing w:after="0"/>
              <w:rPr>
                <w:sz w:val="20"/>
                <w:szCs w:val="20"/>
                <w:color w:val="auto"/>
              </w:rPr>
            </w:pPr>
            <w:r>
              <w:rPr>
                <w:rFonts w:ascii="Arial" w:cs="Arial" w:eastAsia="Arial" w:hAnsi="Arial"/>
                <w:sz w:val="15"/>
                <w:szCs w:val="15"/>
                <w:color w:val="auto"/>
              </w:rPr>
              <w:t>321</w:t>
            </w:r>
          </w:p>
        </w:tc>
        <w:tc>
          <w:tcPr>
            <w:tcW w:w="100" w:type="dxa"/>
            <w:vAlign w:val="bottom"/>
          </w:tcPr>
          <w:p>
            <w:pPr>
              <w:spacing w:after="0"/>
              <w:rPr>
                <w:sz w:val="18"/>
                <w:szCs w:val="18"/>
                <w:color w:val="auto"/>
              </w:rPr>
            </w:pPr>
          </w:p>
        </w:tc>
        <w:tc>
          <w:tcPr>
            <w:tcW w:w="1580" w:type="dxa"/>
            <w:vAlign w:val="bottom"/>
          </w:tcPr>
          <w:p>
            <w:pPr>
              <w:jc w:val="right"/>
              <w:ind w:right="84"/>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8"/>
                <w:szCs w:val="18"/>
                <w:color w:val="auto"/>
              </w:rPr>
            </w:pPr>
          </w:p>
        </w:tc>
        <w:tc>
          <w:tcPr>
            <w:tcW w:w="1100" w:type="dxa"/>
            <w:vAlign w:val="bottom"/>
            <w:gridSpan w:val="2"/>
          </w:tcPr>
          <w:p>
            <w:pPr>
              <w:ind w:left="20"/>
              <w:spacing w:after="0"/>
              <w:rPr>
                <w:sz w:val="20"/>
                <w:szCs w:val="20"/>
                <w:color w:val="auto"/>
              </w:rPr>
            </w:pPr>
            <w:r>
              <w:rPr>
                <w:rFonts w:ascii="Arial" w:cs="Arial" w:eastAsia="Arial" w:hAnsi="Arial"/>
                <w:sz w:val="15"/>
                <w:szCs w:val="15"/>
                <w:color w:val="auto"/>
              </w:rPr>
              <w:t>ME</w:t>
            </w:r>
          </w:p>
        </w:tc>
        <w:tc>
          <w:tcPr>
            <w:tcW w:w="1580" w:type="dxa"/>
            <w:vAlign w:val="bottom"/>
          </w:tcPr>
          <w:p>
            <w:pPr>
              <w:ind w:left="20"/>
              <w:spacing w:after="0"/>
              <w:rPr>
                <w:sz w:val="20"/>
                <w:szCs w:val="20"/>
                <w:color w:val="auto"/>
              </w:rPr>
            </w:pPr>
            <w:r>
              <w:rPr>
                <w:rFonts w:ascii="Arial" w:cs="Arial" w:eastAsia="Arial" w:hAnsi="Arial"/>
                <w:sz w:val="15"/>
                <w:szCs w:val="15"/>
                <w:color w:val="auto"/>
              </w:rPr>
              <w:t>January</w:t>
            </w:r>
          </w:p>
        </w:tc>
      </w:tr>
      <w:tr>
        <w:trPr>
          <w:trHeight w:val="216"/>
        </w:trPr>
        <w:tc>
          <w:tcPr>
            <w:tcW w:w="316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Hacienda del Rio</w:t>
            </w:r>
          </w:p>
        </w:tc>
        <w:tc>
          <w:tcPr>
            <w:tcW w:w="240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MH (Age-Restricted)</w:t>
            </w:r>
          </w:p>
        </w:tc>
        <w:tc>
          <w:tcPr>
            <w:tcW w:w="1160" w:type="dxa"/>
            <w:vAlign w:val="bottom"/>
            <w:tcBorders>
              <w:bottom w:val="single" w:sz="8" w:color="auto"/>
            </w:tcBorders>
            <w:shd w:val="clear" w:color="auto" w:fill="CCEEFF"/>
          </w:tcPr>
          <w:p>
            <w:pPr>
              <w:jc w:val="right"/>
              <w:ind w:right="64"/>
              <w:spacing w:after="0"/>
              <w:rPr>
                <w:sz w:val="20"/>
                <w:szCs w:val="20"/>
                <w:color w:val="auto"/>
              </w:rPr>
            </w:pPr>
            <w:r>
              <w:rPr>
                <w:rFonts w:ascii="Arial" w:cs="Arial" w:eastAsia="Arial" w:hAnsi="Arial"/>
                <w:sz w:val="15"/>
                <w:szCs w:val="15"/>
                <w:color w:val="auto"/>
              </w:rPr>
              <w:t>730</w:t>
            </w:r>
          </w:p>
        </w:tc>
        <w:tc>
          <w:tcPr>
            <w:tcW w:w="100" w:type="dxa"/>
            <w:vAlign w:val="bottom"/>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ind w:right="84"/>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FL</w:t>
            </w:r>
          </w:p>
        </w:tc>
        <w:tc>
          <w:tcPr>
            <w:tcW w:w="1580" w:type="dxa"/>
            <w:vAlign w:val="bottom"/>
            <w:shd w:val="clear" w:color="auto" w:fill="CCEEFF"/>
          </w:tcPr>
          <w:p>
            <w:pPr>
              <w:ind w:left="20"/>
              <w:spacing w:after="0"/>
              <w:rPr>
                <w:sz w:val="20"/>
                <w:szCs w:val="20"/>
                <w:color w:val="auto"/>
              </w:rPr>
            </w:pPr>
            <w:r>
              <w:rPr>
                <w:rFonts w:ascii="Arial" w:cs="Arial" w:eastAsia="Arial" w:hAnsi="Arial"/>
                <w:sz w:val="15"/>
                <w:szCs w:val="15"/>
                <w:color w:val="auto"/>
              </w:rPr>
              <w:t>January</w:t>
            </w:r>
          </w:p>
        </w:tc>
      </w:tr>
      <w:tr>
        <w:trPr>
          <w:trHeight w:val="213"/>
        </w:trPr>
        <w:tc>
          <w:tcPr>
            <w:tcW w:w="3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0" w:type="dxa"/>
            <w:vAlign w:val="bottom"/>
            <w:gridSpan w:val="2"/>
          </w:tcPr>
          <w:p>
            <w:pPr>
              <w:ind w:left="20"/>
              <w:spacing w:after="0"/>
              <w:rPr>
                <w:sz w:val="20"/>
                <w:szCs w:val="20"/>
                <w:color w:val="auto"/>
              </w:rPr>
            </w:pPr>
            <w:r>
              <w:rPr>
                <w:rFonts w:ascii="Arial" w:cs="Arial" w:eastAsia="Arial" w:hAnsi="Arial"/>
                <w:sz w:val="15"/>
                <w:szCs w:val="15"/>
                <w:b w:val="1"/>
                <w:bCs w:val="1"/>
                <w:color w:val="auto"/>
              </w:rPr>
              <w:t>Total</w:t>
            </w:r>
          </w:p>
        </w:tc>
        <w:tc>
          <w:tcPr>
            <w:tcW w:w="116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b w:val="1"/>
                <w:bCs w:val="1"/>
                <w:color w:val="auto"/>
              </w:rPr>
              <w:t>10,390</w:t>
            </w:r>
          </w:p>
        </w:tc>
        <w:tc>
          <w:tcPr>
            <w:tcW w:w="100" w:type="dxa"/>
            <w:vAlign w:val="bottom"/>
          </w:tcPr>
          <w:p>
            <w:pPr>
              <w:spacing w:after="0"/>
              <w:rPr>
                <w:sz w:val="18"/>
                <w:szCs w:val="18"/>
                <w:color w:val="auto"/>
              </w:rPr>
            </w:pPr>
          </w:p>
        </w:tc>
        <w:tc>
          <w:tcPr>
            <w:tcW w:w="158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b w:val="1"/>
                <w:bCs w:val="1"/>
                <w:color w:val="auto"/>
              </w:rPr>
              <w:t>926</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r>
      <w:tr>
        <w:trPr>
          <w:trHeight w:val="20"/>
        </w:trPr>
        <w:tc>
          <w:tcPr>
            <w:tcW w:w="3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bl>
    <w:p>
      <w:pPr>
        <w:spacing w:after="0" w:line="89" w:lineRule="exact"/>
        <w:rPr>
          <w:sz w:val="20"/>
          <w:szCs w:val="20"/>
          <w:color w:val="auto"/>
        </w:rPr>
      </w:pPr>
    </w:p>
    <w:p>
      <w:pPr>
        <w:ind w:left="260" w:hanging="252"/>
        <w:spacing w:after="0" w:line="250" w:lineRule="auto"/>
        <w:tabs>
          <w:tab w:leader="none" w:pos="149" w:val="left"/>
        </w:tabs>
        <w:numPr>
          <w:ilvl w:val="0"/>
          <w:numId w:val="7"/>
        </w:numPr>
        <w:rPr>
          <w:rFonts w:ascii="Arial" w:cs="Arial" w:eastAsia="Arial" w:hAnsi="Arial"/>
          <w:sz w:val="9"/>
          <w:szCs w:val="9"/>
          <w:color w:val="auto"/>
        </w:rPr>
      </w:pPr>
      <w:r>
        <w:rPr>
          <w:rFonts w:ascii="Arial" w:cs="Arial" w:eastAsia="Arial" w:hAnsi="Arial"/>
          <w:sz w:val="14"/>
          <w:szCs w:val="14"/>
          <w:color w:val="auto"/>
        </w:rPr>
        <w:t>Contains 31 communities located in CT, GA, MD, NH, NJ, NY, NC and SC. In conjunction with the acquisition, we issued 1,972,876 shares of common stock, net of fractional shares paid in cash.</w:t>
      </w:r>
    </w:p>
    <w:p>
      <w:pPr>
        <w:ind w:left="140" w:hanging="132"/>
        <w:spacing w:after="0"/>
        <w:tabs>
          <w:tab w:leader="none" w:pos="140" w:val="left"/>
        </w:tabs>
        <w:numPr>
          <w:ilvl w:val="0"/>
          <w:numId w:val="7"/>
        </w:numPr>
        <w:rPr>
          <w:rFonts w:ascii="Arial" w:cs="Arial" w:eastAsia="Arial" w:hAnsi="Arial"/>
          <w:sz w:val="9"/>
          <w:szCs w:val="9"/>
          <w:color w:val="auto"/>
        </w:rPr>
      </w:pPr>
      <w:r>
        <w:rPr>
          <w:rFonts w:ascii="Arial" w:cs="Arial" w:eastAsia="Arial" w:hAnsi="Arial"/>
          <w:sz w:val="14"/>
          <w:szCs w:val="14"/>
          <w:color w:val="auto"/>
        </w:rPr>
        <w:t>Contains 201 MH sites and 301 RV sites.</w:t>
      </w:r>
    </w:p>
    <w:p>
      <w:pPr>
        <w:spacing w:after="0" w:line="1" w:lineRule="exact"/>
        <w:rPr>
          <w:rFonts w:ascii="Arial" w:cs="Arial" w:eastAsia="Arial" w:hAnsi="Arial"/>
          <w:sz w:val="9"/>
          <w:szCs w:val="9"/>
          <w:color w:val="auto"/>
        </w:rPr>
      </w:pPr>
    </w:p>
    <w:p>
      <w:pPr>
        <w:ind w:left="160" w:hanging="152"/>
        <w:spacing w:after="0"/>
        <w:tabs>
          <w:tab w:leader="none" w:pos="160" w:val="left"/>
        </w:tabs>
        <w:numPr>
          <w:ilvl w:val="0"/>
          <w:numId w:val="7"/>
        </w:numPr>
        <w:rPr>
          <w:rFonts w:ascii="Arial" w:cs="Arial" w:eastAsia="Arial" w:hAnsi="Arial"/>
          <w:sz w:val="9"/>
          <w:szCs w:val="9"/>
          <w:color w:val="auto"/>
        </w:rPr>
      </w:pPr>
      <w:r>
        <w:rPr>
          <w:rFonts w:ascii="Arial" w:cs="Arial" w:eastAsia="Arial" w:hAnsi="Arial"/>
          <w:sz w:val="14"/>
          <w:szCs w:val="14"/>
          <w:color w:val="auto"/>
        </w:rPr>
        <w:t>Contains two MH communities.</w:t>
      </w:r>
    </w:p>
    <w:p>
      <w:pPr>
        <w:spacing w:after="0" w:line="1" w:lineRule="exact"/>
        <w:rPr>
          <w:rFonts w:ascii="Arial" w:cs="Arial" w:eastAsia="Arial" w:hAnsi="Arial"/>
          <w:sz w:val="9"/>
          <w:szCs w:val="9"/>
          <w:color w:val="auto"/>
        </w:rPr>
      </w:pPr>
    </w:p>
    <w:p>
      <w:pPr>
        <w:ind w:left="160" w:hanging="152"/>
        <w:spacing w:after="0"/>
        <w:tabs>
          <w:tab w:leader="none" w:pos="160" w:val="left"/>
        </w:tabs>
        <w:numPr>
          <w:ilvl w:val="0"/>
          <w:numId w:val="7"/>
        </w:numPr>
        <w:rPr>
          <w:rFonts w:ascii="Arial" w:cs="Arial" w:eastAsia="Arial" w:hAnsi="Arial"/>
          <w:sz w:val="9"/>
          <w:szCs w:val="9"/>
          <w:color w:val="auto"/>
        </w:rPr>
      </w:pPr>
      <w:r>
        <w:rPr>
          <w:rFonts w:ascii="Arial" w:cs="Arial" w:eastAsia="Arial" w:hAnsi="Arial"/>
          <w:sz w:val="14"/>
          <w:szCs w:val="14"/>
          <w:color w:val="auto"/>
        </w:rPr>
        <w:t>In conjunction with the acquisition, we issued Series D preferred OP units. As of December 31, 2019, 488,958 Series D preferred OP units were outstanding.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3" w:name="page14"/>
    <w:bookmarkEnd w:id="13"/>
    <w:p>
      <w:pPr>
        <w:jc w:val="center"/>
        <w:spacing w:after="0"/>
        <w:rPr>
          <w:sz w:val="20"/>
          <w:szCs w:val="20"/>
          <w:color w:val="auto"/>
        </w:rPr>
      </w:pPr>
      <w:r>
        <w:rPr>
          <w:rFonts w:ascii="Arial" w:cs="Arial" w:eastAsia="Arial" w:hAnsi="Arial"/>
          <w:sz w:val="16"/>
          <w:szCs w:val="16"/>
          <w:b w:val="1"/>
          <w:bCs w:val="1"/>
          <w:color w:val="auto"/>
        </w:rPr>
        <w:t>SUN COMMUNITIES, INC.</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 -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311"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color w:val="auto"/>
        </w:rPr>
        <w:t>The following table summarizes the amounts of assets acquired net of liabilities assumed at the acquisition date and the consideration paid for the acquisitions completed in 2019 (in thousands):</w:t>
      </w:r>
    </w:p>
    <w:p>
      <w:pPr>
        <w:spacing w:after="0" w:line="248" w:lineRule="exact"/>
        <w:rPr>
          <w:sz w:val="20"/>
          <w:szCs w:val="20"/>
          <w:color w:val="auto"/>
        </w:rPr>
      </w:pPr>
    </w:p>
    <w:tbl>
      <w:tblPr>
        <w:tblLayout w:type="fixed"/>
        <w:tblInd w:w="40" w:type="dxa"/>
        <w:tblCellMar>
          <w:top w:w="0" w:type="dxa"/>
          <w:left w:w="0" w:type="dxa"/>
          <w:bottom w:w="0" w:type="dxa"/>
          <w:right w:w="0" w:type="dxa"/>
        </w:tblCellMar>
      </w:tblPr>
      <w:tr>
        <w:trPr>
          <w:trHeight w:val="202"/>
        </w:trPr>
        <w:tc>
          <w:tcPr>
            <w:tcW w:w="154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2200" w:type="dxa"/>
            <w:vAlign w:val="bottom"/>
            <w:tcBorders>
              <w:bottom w:val="single" w:sz="8" w:color="auto"/>
            </w:tcBorders>
            <w:gridSpan w:val="8"/>
          </w:tcPr>
          <w:p>
            <w:pPr>
              <w:ind w:left="60"/>
              <w:spacing w:after="0"/>
              <w:rPr>
                <w:sz w:val="20"/>
                <w:szCs w:val="20"/>
                <w:color w:val="auto"/>
              </w:rPr>
            </w:pPr>
            <w:r>
              <w:rPr>
                <w:rFonts w:ascii="Arial" w:cs="Arial" w:eastAsia="Arial" w:hAnsi="Arial"/>
                <w:sz w:val="15"/>
                <w:szCs w:val="15"/>
                <w:b w:val="1"/>
                <w:bCs w:val="1"/>
                <w:color w:val="auto"/>
              </w:rPr>
              <w:t>At Acquisition Date</w:t>
            </w:r>
          </w:p>
        </w:tc>
        <w:tc>
          <w:tcPr>
            <w:tcW w:w="1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gridSpan w:val="5"/>
          </w:tcPr>
          <w:p>
            <w:pPr>
              <w:ind w:left="520"/>
              <w:spacing w:after="0"/>
              <w:rPr>
                <w:sz w:val="20"/>
                <w:szCs w:val="20"/>
                <w:color w:val="auto"/>
              </w:rPr>
            </w:pPr>
            <w:r>
              <w:rPr>
                <w:rFonts w:ascii="Arial" w:cs="Arial" w:eastAsia="Arial" w:hAnsi="Arial"/>
                <w:sz w:val="15"/>
                <w:szCs w:val="15"/>
                <w:b w:val="1"/>
                <w:bCs w:val="1"/>
                <w:color w:val="auto"/>
              </w:rPr>
              <w:t>Consideration</w:t>
            </w:r>
          </w:p>
        </w:tc>
        <w:tc>
          <w:tcPr>
            <w:tcW w:w="1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73"/>
        </w:trPr>
        <w:tc>
          <w:tcPr>
            <w:tcW w:w="1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5"/>
                <w:szCs w:val="15"/>
                <w:color w:val="auto"/>
                <w:w w:val="93"/>
              </w:rPr>
              <w:t>In-place</w:t>
            </w: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gridSpan w:val="3"/>
            <w:vMerge w:val="restart"/>
          </w:tcPr>
          <w:p>
            <w:pPr>
              <w:jc w:val="center"/>
              <w:ind w:right="160"/>
              <w:spacing w:after="0"/>
              <w:rPr>
                <w:sz w:val="20"/>
                <w:szCs w:val="20"/>
                <w:color w:val="auto"/>
              </w:rPr>
            </w:pPr>
            <w:r>
              <w:rPr>
                <w:rFonts w:ascii="Arial" w:cs="Arial" w:eastAsia="Arial" w:hAnsi="Arial"/>
                <w:sz w:val="15"/>
                <w:szCs w:val="15"/>
                <w:b w:val="1"/>
                <w:bCs w:val="1"/>
                <w:color w:val="auto"/>
                <w:w w:val="92"/>
              </w:rPr>
              <w:t>Total identifiable</w:t>
            </w: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8"/>
        </w:trPr>
        <w:tc>
          <w:tcPr>
            <w:tcW w:w="1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tcPr>
          <w:p>
            <w:pPr>
              <w:jc w:val="center"/>
              <w:ind w:right="220"/>
              <w:spacing w:after="0" w:line="158" w:lineRule="exact"/>
              <w:rPr>
                <w:sz w:val="20"/>
                <w:szCs w:val="20"/>
                <w:color w:val="auto"/>
              </w:rPr>
            </w:pPr>
            <w:r>
              <w:rPr>
                <w:rFonts w:ascii="Arial" w:cs="Arial" w:eastAsia="Arial" w:hAnsi="Arial"/>
                <w:sz w:val="15"/>
                <w:szCs w:val="15"/>
                <w:color w:val="auto"/>
                <w:w w:val="85"/>
              </w:rPr>
              <w:t>leases and</w:t>
            </w: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20" w:type="dxa"/>
            <w:vAlign w:val="bottom"/>
            <w:gridSpan w:val="3"/>
            <w:vMerge w:val="continue"/>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gridSpan w:val="2"/>
          </w:tcPr>
          <w:p>
            <w:pPr>
              <w:jc w:val="center"/>
              <w:ind w:right="220"/>
              <w:spacing w:after="0" w:line="158" w:lineRule="exact"/>
              <w:rPr>
                <w:sz w:val="20"/>
                <w:szCs w:val="20"/>
                <w:color w:val="auto"/>
              </w:rPr>
            </w:pPr>
            <w:r>
              <w:rPr>
                <w:rFonts w:ascii="Arial" w:cs="Arial" w:eastAsia="Arial" w:hAnsi="Arial"/>
                <w:sz w:val="15"/>
                <w:szCs w:val="15"/>
                <w:color w:val="auto"/>
                <w:w w:val="93"/>
              </w:rPr>
              <w:t>Temporary</w:t>
            </w: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jc w:val="center"/>
              <w:spacing w:after="0" w:line="162" w:lineRule="exact"/>
              <w:rPr>
                <w:sz w:val="20"/>
                <w:szCs w:val="20"/>
                <w:color w:val="auto"/>
              </w:rPr>
            </w:pPr>
            <w:r>
              <w:rPr>
                <w:rFonts w:ascii="Arial" w:cs="Arial" w:eastAsia="Arial" w:hAnsi="Arial"/>
                <w:sz w:val="15"/>
                <w:szCs w:val="15"/>
                <w:color w:val="auto"/>
                <w:w w:val="96"/>
              </w:rPr>
              <w:t>Inventory of</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center"/>
              <w:ind w:right="240"/>
              <w:spacing w:after="0" w:line="162" w:lineRule="exact"/>
              <w:rPr>
                <w:sz w:val="20"/>
                <w:szCs w:val="20"/>
                <w:color w:val="auto"/>
              </w:rPr>
            </w:pPr>
            <w:r>
              <w:rPr>
                <w:rFonts w:ascii="Arial" w:cs="Arial" w:eastAsia="Arial" w:hAnsi="Arial"/>
                <w:sz w:val="15"/>
                <w:szCs w:val="15"/>
                <w:color w:val="auto"/>
                <w:w w:val="93"/>
              </w:rPr>
              <w:t>other</w:t>
            </w:r>
          </w:p>
        </w:tc>
        <w:tc>
          <w:tcPr>
            <w:tcW w:w="80" w:type="dxa"/>
            <w:vAlign w:val="bottom"/>
          </w:tcPr>
          <w:p>
            <w:pPr>
              <w:spacing w:after="0"/>
              <w:rPr>
                <w:sz w:val="14"/>
                <w:szCs w:val="14"/>
                <w:color w:val="auto"/>
              </w:rPr>
            </w:pPr>
          </w:p>
        </w:tc>
        <w:tc>
          <w:tcPr>
            <w:tcW w:w="960" w:type="dxa"/>
            <w:vAlign w:val="bottom"/>
            <w:gridSpan w:val="2"/>
          </w:tcPr>
          <w:p>
            <w:pPr>
              <w:jc w:val="center"/>
              <w:ind w:right="200"/>
              <w:spacing w:after="0" w:line="162" w:lineRule="exact"/>
              <w:rPr>
                <w:sz w:val="20"/>
                <w:szCs w:val="20"/>
                <w:color w:val="auto"/>
              </w:rPr>
            </w:pPr>
            <w:r>
              <w:rPr>
                <w:rFonts w:ascii="Arial" w:cs="Arial" w:eastAsia="Arial" w:hAnsi="Arial"/>
                <w:sz w:val="15"/>
                <w:szCs w:val="15"/>
                <w:color w:val="auto"/>
                <w:w w:val="89"/>
              </w:rPr>
              <w:t>Other assets</w:t>
            </w:r>
          </w:p>
        </w:tc>
        <w:tc>
          <w:tcPr>
            <w:tcW w:w="1420" w:type="dxa"/>
            <w:vAlign w:val="bottom"/>
            <w:gridSpan w:val="3"/>
          </w:tcPr>
          <w:p>
            <w:pPr>
              <w:jc w:val="center"/>
              <w:ind w:right="160"/>
              <w:spacing w:after="0" w:line="162" w:lineRule="exact"/>
              <w:rPr>
                <w:sz w:val="20"/>
                <w:szCs w:val="20"/>
                <w:color w:val="auto"/>
              </w:rPr>
            </w:pPr>
            <w:r>
              <w:rPr>
                <w:rFonts w:ascii="Arial" w:cs="Arial" w:eastAsia="Arial" w:hAnsi="Arial"/>
                <w:sz w:val="15"/>
                <w:szCs w:val="15"/>
                <w:b w:val="1"/>
                <w:bCs w:val="1"/>
                <w:color w:val="auto"/>
                <w:w w:val="87"/>
              </w:rPr>
              <w:t>assets acquired net</w:t>
            </w: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center"/>
              <w:ind w:right="240"/>
              <w:spacing w:after="0" w:line="162" w:lineRule="exact"/>
              <w:rPr>
                <w:sz w:val="20"/>
                <w:szCs w:val="20"/>
                <w:color w:val="auto"/>
              </w:rPr>
            </w:pPr>
            <w:r>
              <w:rPr>
                <w:rFonts w:ascii="Arial" w:cs="Arial" w:eastAsia="Arial" w:hAnsi="Arial"/>
                <w:sz w:val="15"/>
                <w:szCs w:val="15"/>
                <w:color w:val="auto"/>
                <w:w w:val="87"/>
              </w:rPr>
              <w:t>and</w:t>
            </w: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540" w:type="dxa"/>
            <w:vAlign w:val="bottom"/>
          </w:tcPr>
          <w:p>
            <w:pPr>
              <w:spacing w:after="0"/>
              <w:rPr>
                <w:sz w:val="14"/>
                <w:szCs w:val="14"/>
                <w:color w:val="auto"/>
              </w:rPr>
            </w:pPr>
          </w:p>
        </w:tc>
        <w:tc>
          <w:tcPr>
            <w:tcW w:w="1040" w:type="dxa"/>
            <w:vAlign w:val="bottom"/>
            <w:gridSpan w:val="3"/>
          </w:tcPr>
          <w:p>
            <w:pPr>
              <w:ind w:left="40"/>
              <w:spacing w:after="0" w:line="162" w:lineRule="exact"/>
              <w:rPr>
                <w:sz w:val="20"/>
                <w:szCs w:val="20"/>
                <w:color w:val="auto"/>
              </w:rPr>
            </w:pPr>
            <w:r>
              <w:rPr>
                <w:rFonts w:ascii="Arial" w:cs="Arial" w:eastAsia="Arial" w:hAnsi="Arial"/>
                <w:sz w:val="15"/>
                <w:szCs w:val="15"/>
                <w:color w:val="auto"/>
              </w:rPr>
              <w:t>Investment in</w:t>
            </w:r>
          </w:p>
        </w:tc>
        <w:tc>
          <w:tcPr>
            <w:tcW w:w="100" w:type="dxa"/>
            <w:vAlign w:val="bottom"/>
          </w:tcPr>
          <w:p>
            <w:pPr>
              <w:spacing w:after="0"/>
              <w:rPr>
                <w:sz w:val="14"/>
                <w:szCs w:val="14"/>
                <w:color w:val="auto"/>
              </w:rPr>
            </w:pPr>
          </w:p>
        </w:tc>
        <w:tc>
          <w:tcPr>
            <w:tcW w:w="920" w:type="dxa"/>
            <w:vAlign w:val="bottom"/>
          </w:tcPr>
          <w:p>
            <w:pPr>
              <w:jc w:val="center"/>
              <w:spacing w:after="0" w:line="162" w:lineRule="exact"/>
              <w:rPr>
                <w:sz w:val="20"/>
                <w:szCs w:val="20"/>
                <w:color w:val="auto"/>
              </w:rPr>
            </w:pPr>
            <w:r>
              <w:rPr>
                <w:rFonts w:ascii="Arial" w:cs="Arial" w:eastAsia="Arial" w:hAnsi="Arial"/>
                <w:sz w:val="15"/>
                <w:szCs w:val="15"/>
                <w:color w:val="auto"/>
                <w:w w:val="91"/>
              </w:rPr>
              <w:t>manufactured</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center"/>
              <w:ind w:right="220"/>
              <w:spacing w:after="0" w:line="162" w:lineRule="exact"/>
              <w:rPr>
                <w:sz w:val="20"/>
                <w:szCs w:val="20"/>
                <w:color w:val="auto"/>
              </w:rPr>
            </w:pPr>
            <w:r>
              <w:rPr>
                <w:rFonts w:ascii="Arial" w:cs="Arial" w:eastAsia="Arial" w:hAnsi="Arial"/>
                <w:sz w:val="15"/>
                <w:szCs w:val="15"/>
                <w:color w:val="auto"/>
                <w:w w:val="96"/>
              </w:rPr>
              <w:t>intangible</w:t>
            </w:r>
          </w:p>
        </w:tc>
        <w:tc>
          <w:tcPr>
            <w:tcW w:w="80" w:type="dxa"/>
            <w:vAlign w:val="bottom"/>
          </w:tcPr>
          <w:p>
            <w:pPr>
              <w:spacing w:after="0"/>
              <w:rPr>
                <w:sz w:val="14"/>
                <w:szCs w:val="14"/>
                <w:color w:val="auto"/>
              </w:rPr>
            </w:pPr>
          </w:p>
        </w:tc>
        <w:tc>
          <w:tcPr>
            <w:tcW w:w="960" w:type="dxa"/>
            <w:vAlign w:val="bottom"/>
            <w:gridSpan w:val="2"/>
          </w:tcPr>
          <w:p>
            <w:pPr>
              <w:jc w:val="center"/>
              <w:ind w:right="200"/>
              <w:spacing w:after="0" w:line="162" w:lineRule="exact"/>
              <w:rPr>
                <w:sz w:val="20"/>
                <w:szCs w:val="20"/>
                <w:color w:val="auto"/>
              </w:rPr>
            </w:pPr>
            <w:r>
              <w:rPr>
                <w:rFonts w:ascii="Arial" w:cs="Arial" w:eastAsia="Arial" w:hAnsi="Arial"/>
                <w:sz w:val="15"/>
                <w:szCs w:val="15"/>
                <w:color w:val="auto"/>
              </w:rPr>
              <w:t>(liabilities),</w:t>
            </w:r>
          </w:p>
        </w:tc>
        <w:tc>
          <w:tcPr>
            <w:tcW w:w="160" w:type="dxa"/>
            <w:vAlign w:val="bottom"/>
          </w:tcPr>
          <w:p>
            <w:pPr>
              <w:spacing w:after="0"/>
              <w:rPr>
                <w:sz w:val="14"/>
                <w:szCs w:val="14"/>
                <w:color w:val="auto"/>
              </w:rPr>
            </w:pPr>
          </w:p>
        </w:tc>
        <w:tc>
          <w:tcPr>
            <w:tcW w:w="1260" w:type="dxa"/>
            <w:vAlign w:val="bottom"/>
            <w:gridSpan w:val="2"/>
          </w:tcPr>
          <w:p>
            <w:pPr>
              <w:jc w:val="center"/>
              <w:ind w:right="340"/>
              <w:spacing w:after="0" w:line="162" w:lineRule="exact"/>
              <w:rPr>
                <w:sz w:val="20"/>
                <w:szCs w:val="20"/>
                <w:color w:val="auto"/>
              </w:rPr>
            </w:pPr>
            <w:r>
              <w:rPr>
                <w:rFonts w:ascii="Arial" w:cs="Arial" w:eastAsia="Arial" w:hAnsi="Arial"/>
                <w:sz w:val="15"/>
                <w:szCs w:val="15"/>
                <w:b w:val="1"/>
                <w:bCs w:val="1"/>
                <w:color w:val="auto"/>
                <w:w w:val="92"/>
              </w:rPr>
              <w:t>of liabilities</w:t>
            </w:r>
          </w:p>
        </w:tc>
        <w:tc>
          <w:tcPr>
            <w:tcW w:w="100" w:type="dxa"/>
            <w:vAlign w:val="bottom"/>
          </w:tcPr>
          <w:p>
            <w:pPr>
              <w:spacing w:after="0"/>
              <w:rPr>
                <w:sz w:val="14"/>
                <w:szCs w:val="14"/>
                <w:color w:val="auto"/>
              </w:rPr>
            </w:pPr>
          </w:p>
        </w:tc>
        <w:tc>
          <w:tcPr>
            <w:tcW w:w="800" w:type="dxa"/>
            <w:vAlign w:val="bottom"/>
            <w:gridSpan w:val="2"/>
          </w:tcPr>
          <w:p>
            <w:pPr>
              <w:spacing w:after="0" w:line="162" w:lineRule="exact"/>
              <w:rPr>
                <w:sz w:val="20"/>
                <w:szCs w:val="20"/>
                <w:color w:val="auto"/>
              </w:rPr>
            </w:pPr>
            <w:r>
              <w:rPr>
                <w:rFonts w:ascii="Arial" w:cs="Arial" w:eastAsia="Arial" w:hAnsi="Arial"/>
                <w:sz w:val="15"/>
                <w:szCs w:val="15"/>
                <w:color w:val="auto"/>
              </w:rPr>
              <w:t>Cash and</w:t>
            </w:r>
          </w:p>
        </w:tc>
        <w:tc>
          <w:tcPr>
            <w:tcW w:w="100" w:type="dxa"/>
            <w:vAlign w:val="bottom"/>
          </w:tcPr>
          <w:p>
            <w:pPr>
              <w:spacing w:after="0"/>
              <w:rPr>
                <w:sz w:val="14"/>
                <w:szCs w:val="14"/>
                <w:color w:val="auto"/>
              </w:rPr>
            </w:pPr>
          </w:p>
        </w:tc>
        <w:tc>
          <w:tcPr>
            <w:tcW w:w="800" w:type="dxa"/>
            <w:vAlign w:val="bottom"/>
            <w:gridSpan w:val="2"/>
          </w:tcPr>
          <w:p>
            <w:pPr>
              <w:ind w:left="140"/>
              <w:spacing w:after="0" w:line="162" w:lineRule="exact"/>
              <w:rPr>
                <w:sz w:val="20"/>
                <w:szCs w:val="20"/>
                <w:color w:val="auto"/>
              </w:rPr>
            </w:pPr>
            <w:r>
              <w:rPr>
                <w:rFonts w:ascii="Arial" w:cs="Arial" w:eastAsia="Arial" w:hAnsi="Arial"/>
                <w:sz w:val="15"/>
                <w:szCs w:val="15"/>
                <w:color w:val="auto"/>
              </w:rPr>
              <w:t>Debt</w:t>
            </w:r>
          </w:p>
        </w:tc>
        <w:tc>
          <w:tcPr>
            <w:tcW w:w="100" w:type="dxa"/>
            <w:vAlign w:val="bottom"/>
          </w:tcPr>
          <w:p>
            <w:pPr>
              <w:spacing w:after="0"/>
              <w:rPr>
                <w:sz w:val="14"/>
                <w:szCs w:val="14"/>
                <w:color w:val="auto"/>
              </w:rPr>
            </w:pPr>
          </w:p>
        </w:tc>
        <w:tc>
          <w:tcPr>
            <w:tcW w:w="900" w:type="dxa"/>
            <w:vAlign w:val="bottom"/>
            <w:gridSpan w:val="2"/>
          </w:tcPr>
          <w:p>
            <w:pPr>
              <w:jc w:val="center"/>
              <w:ind w:right="220"/>
              <w:spacing w:after="0" w:line="162" w:lineRule="exact"/>
              <w:rPr>
                <w:sz w:val="20"/>
                <w:szCs w:val="20"/>
                <w:color w:val="auto"/>
              </w:rPr>
            </w:pPr>
            <w:r>
              <w:rPr>
                <w:rFonts w:ascii="Arial" w:cs="Arial" w:eastAsia="Arial" w:hAnsi="Arial"/>
                <w:sz w:val="15"/>
                <w:szCs w:val="15"/>
                <w:color w:val="auto"/>
                <w:w w:val="89"/>
              </w:rPr>
              <w:t>permanent</w:t>
            </w:r>
          </w:p>
        </w:tc>
        <w:tc>
          <w:tcPr>
            <w:tcW w:w="120" w:type="dxa"/>
            <w:vAlign w:val="bottom"/>
          </w:tcPr>
          <w:p>
            <w:pPr>
              <w:spacing w:after="0"/>
              <w:rPr>
                <w:sz w:val="14"/>
                <w:szCs w:val="14"/>
                <w:color w:val="auto"/>
              </w:rPr>
            </w:pPr>
          </w:p>
        </w:tc>
        <w:tc>
          <w:tcPr>
            <w:tcW w:w="1040" w:type="dxa"/>
            <w:vAlign w:val="bottom"/>
          </w:tcPr>
          <w:p>
            <w:pPr>
              <w:jc w:val="right"/>
              <w:ind w:right="344"/>
              <w:spacing w:after="0" w:line="162" w:lineRule="exact"/>
              <w:rPr>
                <w:sz w:val="20"/>
                <w:szCs w:val="20"/>
                <w:color w:val="auto"/>
              </w:rPr>
            </w:pPr>
            <w:r>
              <w:rPr>
                <w:rFonts w:ascii="Arial" w:cs="Arial" w:eastAsia="Arial" w:hAnsi="Arial"/>
                <w:sz w:val="15"/>
                <w:szCs w:val="15"/>
                <w:b w:val="1"/>
                <w:bCs w:val="1"/>
                <w:color w:val="auto"/>
              </w:rPr>
              <w:t>Total</w:t>
            </w:r>
          </w:p>
        </w:tc>
        <w:tc>
          <w:tcPr>
            <w:tcW w:w="0" w:type="dxa"/>
            <w:vAlign w:val="bottom"/>
          </w:tcPr>
          <w:p>
            <w:pPr>
              <w:spacing w:after="0"/>
              <w:rPr>
                <w:sz w:val="1"/>
                <w:szCs w:val="1"/>
                <w:color w:val="auto"/>
              </w:rPr>
            </w:pPr>
          </w:p>
        </w:tc>
      </w:tr>
      <w:tr>
        <w:trPr>
          <w:trHeight w:val="202"/>
        </w:trPr>
        <w:tc>
          <w:tcPr>
            <w:tcW w:w="154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124"/>
              <w:spacing w:after="0"/>
              <w:rPr>
                <w:sz w:val="20"/>
                <w:szCs w:val="20"/>
                <w:color w:val="auto"/>
              </w:rPr>
            </w:pPr>
            <w:r>
              <w:rPr>
                <w:rFonts w:ascii="Arial" w:cs="Arial" w:eastAsia="Arial" w:hAnsi="Arial"/>
                <w:sz w:val="15"/>
                <w:szCs w:val="15"/>
                <w:color w:val="auto"/>
              </w:rPr>
              <w:t>property</w:t>
            </w: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5"/>
                <w:szCs w:val="15"/>
                <w:color w:val="auto"/>
                <w:w w:val="88"/>
              </w:rPr>
              <w:t>homes</w:t>
            </w:r>
          </w:p>
        </w:tc>
        <w:tc>
          <w:tcPr>
            <w:tcW w:w="6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center"/>
              <w:ind w:right="64"/>
              <w:spacing w:after="0"/>
              <w:rPr>
                <w:sz w:val="20"/>
                <w:szCs w:val="20"/>
                <w:color w:val="auto"/>
              </w:rPr>
            </w:pPr>
            <w:r>
              <w:rPr>
                <w:rFonts w:ascii="Arial" w:cs="Arial" w:eastAsia="Arial" w:hAnsi="Arial"/>
                <w:sz w:val="15"/>
                <w:szCs w:val="15"/>
                <w:color w:val="auto"/>
                <w:w w:val="82"/>
              </w:rPr>
              <w:t>assets</w:t>
            </w:r>
          </w:p>
        </w:tc>
        <w:tc>
          <w:tcPr>
            <w:tcW w:w="10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center"/>
              <w:ind w:right="24"/>
              <w:spacing w:after="0"/>
              <w:rPr>
                <w:sz w:val="20"/>
                <w:szCs w:val="20"/>
                <w:color w:val="auto"/>
              </w:rPr>
            </w:pPr>
            <w:r>
              <w:rPr>
                <w:rFonts w:ascii="Arial" w:cs="Arial" w:eastAsia="Arial" w:hAnsi="Arial"/>
                <w:sz w:val="15"/>
                <w:szCs w:val="15"/>
                <w:color w:val="auto"/>
                <w:w w:val="95"/>
              </w:rPr>
              <w:t>net</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center"/>
              <w:ind w:right="104"/>
              <w:spacing w:after="0"/>
              <w:rPr>
                <w:sz w:val="20"/>
                <w:szCs w:val="20"/>
                <w:color w:val="auto"/>
              </w:rPr>
            </w:pPr>
            <w:r>
              <w:rPr>
                <w:rFonts w:ascii="Arial" w:cs="Arial" w:eastAsia="Arial" w:hAnsi="Arial"/>
                <w:sz w:val="15"/>
                <w:szCs w:val="15"/>
                <w:b w:val="1"/>
                <w:bCs w:val="1"/>
                <w:color w:val="auto"/>
                <w:w w:val="86"/>
              </w:rPr>
              <w:t>assumed</w:t>
            </w:r>
          </w:p>
        </w:tc>
        <w:tc>
          <w:tcPr>
            <w:tcW w:w="16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124"/>
              <w:spacing w:after="0"/>
              <w:rPr>
                <w:sz w:val="20"/>
                <w:szCs w:val="20"/>
                <w:color w:val="auto"/>
              </w:rPr>
            </w:pPr>
            <w:r>
              <w:rPr>
                <w:rFonts w:ascii="Arial" w:cs="Arial" w:eastAsia="Arial" w:hAnsi="Arial"/>
                <w:sz w:val="15"/>
                <w:szCs w:val="15"/>
                <w:color w:val="auto"/>
              </w:rPr>
              <w:t>escrow</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w w:val="88"/>
              </w:rPr>
              <w:t>assumed</w:t>
            </w: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center"/>
              <w:ind w:right="64"/>
              <w:spacing w:after="0"/>
              <w:rPr>
                <w:sz w:val="20"/>
                <w:szCs w:val="20"/>
                <w:color w:val="auto"/>
              </w:rPr>
            </w:pPr>
            <w:r>
              <w:rPr>
                <w:rFonts w:ascii="Arial" w:cs="Arial" w:eastAsia="Arial" w:hAnsi="Arial"/>
                <w:sz w:val="15"/>
                <w:szCs w:val="15"/>
                <w:color w:val="auto"/>
                <w:w w:val="94"/>
              </w:rPr>
              <w:t>equity</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b w:val="1"/>
                <w:bCs w:val="1"/>
                <w:color w:val="auto"/>
                <w:w w:val="89"/>
              </w:rPr>
              <w:t>consideration</w:t>
            </w:r>
          </w:p>
        </w:tc>
        <w:tc>
          <w:tcPr>
            <w:tcW w:w="0" w:type="dxa"/>
            <w:vAlign w:val="bottom"/>
          </w:tcPr>
          <w:p>
            <w:pPr>
              <w:spacing w:after="0"/>
              <w:rPr>
                <w:sz w:val="1"/>
                <w:szCs w:val="1"/>
                <w:color w:val="auto"/>
              </w:rPr>
            </w:pPr>
          </w:p>
        </w:tc>
      </w:tr>
      <w:tr>
        <w:trPr>
          <w:trHeight w:val="213"/>
        </w:trPr>
        <w:tc>
          <w:tcPr>
            <w:tcW w:w="1540" w:type="dxa"/>
            <w:vAlign w:val="bottom"/>
            <w:shd w:val="clear" w:color="auto" w:fill="CCEEFF"/>
          </w:tcPr>
          <w:p>
            <w:pPr>
              <w:spacing w:after="0"/>
              <w:rPr>
                <w:sz w:val="20"/>
                <w:szCs w:val="20"/>
                <w:color w:val="auto"/>
              </w:rPr>
            </w:pPr>
            <w:r>
              <w:rPr>
                <w:rFonts w:ascii="Arial" w:cs="Arial" w:eastAsia="Arial" w:hAnsi="Arial"/>
                <w:sz w:val="15"/>
                <w:szCs w:val="15"/>
                <w:color w:val="auto"/>
              </w:rPr>
              <w:t>Slickrock Campground</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78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8,250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w:t>
            </w:r>
          </w:p>
        </w:tc>
        <w:tc>
          <w:tcPr>
            <w:tcW w:w="280" w:type="dxa"/>
            <w:vAlign w:val="bottom"/>
            <w:gridSpan w:val="3"/>
            <w:shd w:val="clear" w:color="auto" w:fill="CCEEFF"/>
          </w:tcPr>
          <w:p>
            <w:pPr>
              <w:jc w:val="right"/>
              <w:ind w:right="20"/>
              <w:spacing w:after="0"/>
              <w:rPr>
                <w:sz w:val="20"/>
                <w:szCs w:val="20"/>
                <w:color w:val="auto"/>
              </w:rPr>
            </w:pPr>
            <w:r>
              <w:rPr>
                <w:rFonts w:ascii="Arial" w:cs="Arial" w:eastAsia="Arial" w:hAnsi="Arial"/>
                <w:sz w:val="15"/>
                <w:szCs w:val="15"/>
                <w:color w:val="auto"/>
              </w:rPr>
              <w:t>$</w:t>
            </w: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rPr>
              <w:t>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8,258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rPr>
              <w:t>8,258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4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8,258</w:t>
            </w:r>
          </w:p>
        </w:tc>
        <w:tc>
          <w:tcPr>
            <w:tcW w:w="0" w:type="dxa"/>
            <w:vAlign w:val="bottom"/>
          </w:tcPr>
          <w:p>
            <w:pPr>
              <w:spacing w:after="0"/>
              <w:rPr>
                <w:sz w:val="1"/>
                <w:szCs w:val="1"/>
                <w:color w:val="auto"/>
              </w:rPr>
            </w:pPr>
          </w:p>
        </w:tc>
      </w:tr>
      <w:tr>
        <w:trPr>
          <w:trHeight w:val="212"/>
        </w:trPr>
        <w:tc>
          <w:tcPr>
            <w:tcW w:w="1540" w:type="dxa"/>
            <w:vAlign w:val="bottom"/>
          </w:tcPr>
          <w:p>
            <w:pPr>
              <w:spacing w:after="0"/>
              <w:rPr>
                <w:sz w:val="20"/>
                <w:szCs w:val="20"/>
                <w:color w:val="auto"/>
              </w:rPr>
            </w:pPr>
            <w:r>
              <w:rPr>
                <w:rFonts w:ascii="Arial" w:cs="Arial" w:eastAsia="Arial" w:hAnsi="Arial"/>
                <w:sz w:val="15"/>
                <w:szCs w:val="15"/>
                <w:color w:val="auto"/>
              </w:rPr>
              <w:t>Pandion Ridge</w:t>
            </w:r>
          </w:p>
        </w:tc>
        <w:tc>
          <w:tcPr>
            <w:tcW w:w="140" w:type="dxa"/>
            <w:vAlign w:val="bottom"/>
          </w:tcPr>
          <w:p>
            <w:pPr>
              <w:spacing w:after="0"/>
              <w:rPr>
                <w:sz w:val="18"/>
                <w:szCs w:val="18"/>
                <w:color w:val="auto"/>
              </w:rPr>
            </w:pPr>
          </w:p>
        </w:tc>
        <w:tc>
          <w:tcPr>
            <w:tcW w:w="780" w:type="dxa"/>
            <w:vAlign w:val="bottom"/>
          </w:tcPr>
          <w:p>
            <w:pPr>
              <w:jc w:val="right"/>
              <w:ind w:right="64"/>
              <w:spacing w:after="0"/>
              <w:rPr>
                <w:sz w:val="20"/>
                <w:szCs w:val="20"/>
                <w:color w:val="auto"/>
              </w:rPr>
            </w:pPr>
            <w:r>
              <w:rPr>
                <w:rFonts w:ascii="Arial" w:cs="Arial" w:eastAsia="Arial" w:hAnsi="Arial"/>
                <w:sz w:val="15"/>
                <w:szCs w:val="15"/>
                <w:color w:val="auto"/>
              </w:rPr>
              <w:t>19,070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ind w:right="4"/>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8"/>
                <w:szCs w:val="18"/>
                <w:color w:val="auto"/>
              </w:rPr>
            </w:pPr>
          </w:p>
        </w:tc>
        <w:tc>
          <w:tcPr>
            <w:tcW w:w="860" w:type="dxa"/>
            <w:vAlign w:val="bottom"/>
          </w:tcPr>
          <w:p>
            <w:pPr>
              <w:jc w:val="right"/>
              <w:ind w:right="44"/>
              <w:spacing w:after="0"/>
              <w:rPr>
                <w:sz w:val="20"/>
                <w:szCs w:val="20"/>
                <w:color w:val="auto"/>
              </w:rPr>
            </w:pPr>
            <w:r>
              <w:rPr>
                <w:rFonts w:ascii="Arial" w:cs="Arial" w:eastAsia="Arial" w:hAnsi="Arial"/>
                <w:sz w:val="15"/>
                <w:szCs w:val="15"/>
                <w:color w:val="auto"/>
              </w:rPr>
              <w:t>(92)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ind w:right="64"/>
              <w:spacing w:after="0"/>
              <w:rPr>
                <w:sz w:val="20"/>
                <w:szCs w:val="20"/>
                <w:color w:val="auto"/>
              </w:rPr>
            </w:pPr>
            <w:r>
              <w:rPr>
                <w:rFonts w:ascii="Arial" w:cs="Arial" w:eastAsia="Arial" w:hAnsi="Arial"/>
                <w:sz w:val="15"/>
                <w:szCs w:val="15"/>
                <w:color w:val="auto"/>
              </w:rPr>
              <w:t>18,978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ind w:right="84"/>
              <w:spacing w:after="0"/>
              <w:rPr>
                <w:sz w:val="20"/>
                <w:szCs w:val="20"/>
                <w:color w:val="auto"/>
              </w:rPr>
            </w:pPr>
            <w:r>
              <w:rPr>
                <w:rFonts w:ascii="Arial" w:cs="Arial" w:eastAsia="Arial" w:hAnsi="Arial"/>
                <w:sz w:val="15"/>
                <w:szCs w:val="15"/>
                <w:color w:val="auto"/>
              </w:rPr>
              <w:t>18,978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8"/>
                <w:szCs w:val="18"/>
                <w:color w:val="auto"/>
              </w:rPr>
            </w:pPr>
          </w:p>
        </w:tc>
        <w:tc>
          <w:tcPr>
            <w:tcW w:w="1040" w:type="dxa"/>
            <w:vAlign w:val="bottom"/>
          </w:tcPr>
          <w:p>
            <w:pPr>
              <w:jc w:val="right"/>
              <w:ind w:right="64"/>
              <w:spacing w:after="0"/>
              <w:rPr>
                <w:sz w:val="20"/>
                <w:szCs w:val="20"/>
                <w:color w:val="auto"/>
              </w:rPr>
            </w:pPr>
            <w:r>
              <w:rPr>
                <w:rFonts w:ascii="Arial" w:cs="Arial" w:eastAsia="Arial" w:hAnsi="Arial"/>
                <w:sz w:val="15"/>
                <w:szCs w:val="15"/>
                <w:color w:val="auto"/>
              </w:rPr>
              <w:t>18,978</w:t>
            </w:r>
          </w:p>
        </w:tc>
        <w:tc>
          <w:tcPr>
            <w:tcW w:w="0" w:type="dxa"/>
            <w:vAlign w:val="bottom"/>
          </w:tcPr>
          <w:p>
            <w:pPr>
              <w:spacing w:after="0"/>
              <w:rPr>
                <w:sz w:val="1"/>
                <w:szCs w:val="1"/>
                <w:color w:val="auto"/>
              </w:rPr>
            </w:pPr>
          </w:p>
        </w:tc>
      </w:tr>
      <w:tr>
        <w:trPr>
          <w:trHeight w:val="220"/>
        </w:trPr>
        <w:tc>
          <w:tcPr>
            <w:tcW w:w="1540" w:type="dxa"/>
            <w:vAlign w:val="bottom"/>
            <w:shd w:val="clear" w:color="auto" w:fill="CCEEFF"/>
          </w:tcPr>
          <w:p>
            <w:pPr>
              <w:spacing w:after="0"/>
              <w:rPr>
                <w:sz w:val="20"/>
                <w:szCs w:val="20"/>
                <w:color w:val="auto"/>
              </w:rPr>
            </w:pPr>
            <w:r>
              <w:rPr>
                <w:rFonts w:ascii="Arial" w:cs="Arial" w:eastAsia="Arial" w:hAnsi="Arial"/>
                <w:sz w:val="15"/>
                <w:szCs w:val="15"/>
                <w:color w:val="auto"/>
              </w:rPr>
              <w:t>Jensen Portfolio</w:t>
            </w: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374,402</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3,605</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rPr>
              <w:t>7,752</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rPr>
              <w:t>3,938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389,697</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rPr>
              <w:t>18,306</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58,000</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rPr>
              <w:t>313,391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389,697</w:t>
            </w:r>
          </w:p>
        </w:tc>
        <w:tc>
          <w:tcPr>
            <w:tcW w:w="0" w:type="dxa"/>
            <w:vAlign w:val="bottom"/>
          </w:tcPr>
          <w:p>
            <w:pPr>
              <w:spacing w:after="0"/>
              <w:rPr>
                <w:sz w:val="1"/>
                <w:szCs w:val="1"/>
                <w:color w:val="auto"/>
              </w:rPr>
            </w:pPr>
          </w:p>
        </w:tc>
      </w:tr>
      <w:tr>
        <w:trPr>
          <w:trHeight w:val="212"/>
        </w:trPr>
        <w:tc>
          <w:tcPr>
            <w:tcW w:w="1540" w:type="dxa"/>
            <w:vAlign w:val="bottom"/>
          </w:tcPr>
          <w:p>
            <w:pPr>
              <w:spacing w:after="0"/>
              <w:rPr>
                <w:sz w:val="20"/>
                <w:szCs w:val="20"/>
                <w:color w:val="auto"/>
              </w:rPr>
            </w:pPr>
            <w:r>
              <w:rPr>
                <w:rFonts w:ascii="Arial" w:cs="Arial" w:eastAsia="Arial" w:hAnsi="Arial"/>
                <w:sz w:val="15"/>
                <w:szCs w:val="15"/>
                <w:color w:val="auto"/>
              </w:rPr>
              <w:t>Glen Ellis</w:t>
            </w:r>
          </w:p>
        </w:tc>
        <w:tc>
          <w:tcPr>
            <w:tcW w:w="140" w:type="dxa"/>
            <w:vAlign w:val="bottom"/>
          </w:tcPr>
          <w:p>
            <w:pPr>
              <w:spacing w:after="0"/>
              <w:rPr>
                <w:sz w:val="18"/>
                <w:szCs w:val="18"/>
                <w:color w:val="auto"/>
              </w:rPr>
            </w:pPr>
          </w:p>
        </w:tc>
        <w:tc>
          <w:tcPr>
            <w:tcW w:w="780" w:type="dxa"/>
            <w:vAlign w:val="bottom"/>
          </w:tcPr>
          <w:p>
            <w:pPr>
              <w:jc w:val="right"/>
              <w:ind w:right="64"/>
              <w:spacing w:after="0"/>
              <w:rPr>
                <w:sz w:val="20"/>
                <w:szCs w:val="20"/>
                <w:color w:val="auto"/>
              </w:rPr>
            </w:pPr>
            <w:r>
              <w:rPr>
                <w:rFonts w:ascii="Arial" w:cs="Arial" w:eastAsia="Arial" w:hAnsi="Arial"/>
                <w:sz w:val="15"/>
                <w:szCs w:val="15"/>
                <w:color w:val="auto"/>
              </w:rPr>
              <w:t>5,955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ind w:right="4"/>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8"/>
                <w:szCs w:val="18"/>
                <w:color w:val="auto"/>
              </w:rPr>
            </w:pPr>
          </w:p>
        </w:tc>
        <w:tc>
          <w:tcPr>
            <w:tcW w:w="860" w:type="dxa"/>
            <w:vAlign w:val="bottom"/>
          </w:tcPr>
          <w:p>
            <w:pPr>
              <w:jc w:val="right"/>
              <w:ind w:right="44"/>
              <w:spacing w:after="0"/>
              <w:rPr>
                <w:sz w:val="20"/>
                <w:szCs w:val="20"/>
                <w:color w:val="auto"/>
              </w:rPr>
            </w:pPr>
            <w:r>
              <w:rPr>
                <w:rFonts w:ascii="Arial" w:cs="Arial" w:eastAsia="Arial" w:hAnsi="Arial"/>
                <w:sz w:val="15"/>
                <w:szCs w:val="15"/>
                <w:color w:val="auto"/>
              </w:rPr>
              <w:t>(79)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ind w:right="64"/>
              <w:spacing w:after="0"/>
              <w:rPr>
                <w:sz w:val="20"/>
                <w:szCs w:val="20"/>
                <w:color w:val="auto"/>
              </w:rPr>
            </w:pPr>
            <w:r>
              <w:rPr>
                <w:rFonts w:ascii="Arial" w:cs="Arial" w:eastAsia="Arial" w:hAnsi="Arial"/>
                <w:sz w:val="15"/>
                <w:szCs w:val="15"/>
                <w:color w:val="auto"/>
              </w:rPr>
              <w:t>5,876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ind w:right="84"/>
              <w:spacing w:after="0"/>
              <w:rPr>
                <w:sz w:val="20"/>
                <w:szCs w:val="20"/>
                <w:color w:val="auto"/>
              </w:rPr>
            </w:pPr>
            <w:r>
              <w:rPr>
                <w:rFonts w:ascii="Arial" w:cs="Arial" w:eastAsia="Arial" w:hAnsi="Arial"/>
                <w:sz w:val="15"/>
                <w:szCs w:val="15"/>
                <w:color w:val="auto"/>
              </w:rPr>
              <w:t>1,976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ind w:right="64"/>
              <w:spacing w:after="0"/>
              <w:rPr>
                <w:sz w:val="20"/>
                <w:szCs w:val="20"/>
                <w:color w:val="auto"/>
              </w:rPr>
            </w:pPr>
            <w:r>
              <w:rPr>
                <w:rFonts w:ascii="Arial" w:cs="Arial" w:eastAsia="Arial" w:hAnsi="Arial"/>
                <w:sz w:val="15"/>
                <w:szCs w:val="15"/>
                <w:color w:val="auto"/>
              </w:rPr>
              <w:t>3,900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8"/>
                <w:szCs w:val="18"/>
                <w:color w:val="auto"/>
              </w:rPr>
            </w:pPr>
          </w:p>
        </w:tc>
        <w:tc>
          <w:tcPr>
            <w:tcW w:w="1040" w:type="dxa"/>
            <w:vAlign w:val="bottom"/>
          </w:tcPr>
          <w:p>
            <w:pPr>
              <w:jc w:val="right"/>
              <w:ind w:right="64"/>
              <w:spacing w:after="0"/>
              <w:rPr>
                <w:sz w:val="20"/>
                <w:szCs w:val="20"/>
                <w:color w:val="auto"/>
              </w:rPr>
            </w:pPr>
            <w:r>
              <w:rPr>
                <w:rFonts w:ascii="Arial" w:cs="Arial" w:eastAsia="Arial" w:hAnsi="Arial"/>
                <w:sz w:val="15"/>
                <w:szCs w:val="15"/>
                <w:color w:val="auto"/>
              </w:rPr>
              <w:t>5,876</w:t>
            </w:r>
          </w:p>
        </w:tc>
        <w:tc>
          <w:tcPr>
            <w:tcW w:w="0" w:type="dxa"/>
            <w:vAlign w:val="bottom"/>
          </w:tcPr>
          <w:p>
            <w:pPr>
              <w:spacing w:after="0"/>
              <w:rPr>
                <w:sz w:val="1"/>
                <w:szCs w:val="1"/>
                <w:color w:val="auto"/>
              </w:rPr>
            </w:pPr>
          </w:p>
        </w:tc>
      </w:tr>
      <w:tr>
        <w:trPr>
          <w:trHeight w:val="220"/>
        </w:trPr>
        <w:tc>
          <w:tcPr>
            <w:tcW w:w="1540" w:type="dxa"/>
            <w:vAlign w:val="bottom"/>
            <w:shd w:val="clear" w:color="auto" w:fill="CCEEFF"/>
          </w:tcPr>
          <w:p>
            <w:pPr>
              <w:spacing w:after="0"/>
              <w:rPr>
                <w:sz w:val="20"/>
                <w:szCs w:val="20"/>
                <w:color w:val="auto"/>
              </w:rPr>
            </w:pPr>
            <w:r>
              <w:rPr>
                <w:rFonts w:ascii="Arial" w:cs="Arial" w:eastAsia="Arial" w:hAnsi="Arial"/>
                <w:sz w:val="15"/>
                <w:szCs w:val="15"/>
                <w:color w:val="auto"/>
              </w:rPr>
              <w:t>Leisure Point Resort</w:t>
            </w: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43,632</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18</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rPr>
              <w:t>850</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(678)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43,822</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rPr>
              <w:t>43,822</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43,822</w:t>
            </w:r>
          </w:p>
        </w:tc>
        <w:tc>
          <w:tcPr>
            <w:tcW w:w="0" w:type="dxa"/>
            <w:vAlign w:val="bottom"/>
          </w:tcPr>
          <w:p>
            <w:pPr>
              <w:spacing w:after="0"/>
              <w:rPr>
                <w:sz w:val="1"/>
                <w:szCs w:val="1"/>
                <w:color w:val="auto"/>
              </w:rPr>
            </w:pPr>
          </w:p>
        </w:tc>
      </w:tr>
      <w:tr>
        <w:trPr>
          <w:trHeight w:val="212"/>
        </w:trPr>
        <w:tc>
          <w:tcPr>
            <w:tcW w:w="1540" w:type="dxa"/>
            <w:vAlign w:val="bottom"/>
          </w:tcPr>
          <w:p>
            <w:pPr>
              <w:spacing w:after="0"/>
              <w:rPr>
                <w:sz w:val="20"/>
                <w:szCs w:val="20"/>
                <w:color w:val="auto"/>
              </w:rPr>
            </w:pPr>
            <w:r>
              <w:rPr>
                <w:rFonts w:ascii="Arial" w:cs="Arial" w:eastAsia="Arial" w:hAnsi="Arial"/>
                <w:sz w:val="15"/>
                <w:szCs w:val="15"/>
                <w:color w:val="auto"/>
              </w:rPr>
              <w:t>Reunion Lake</w:t>
            </w:r>
          </w:p>
        </w:tc>
        <w:tc>
          <w:tcPr>
            <w:tcW w:w="140" w:type="dxa"/>
            <w:vAlign w:val="bottom"/>
          </w:tcPr>
          <w:p>
            <w:pPr>
              <w:spacing w:after="0"/>
              <w:rPr>
                <w:sz w:val="18"/>
                <w:szCs w:val="18"/>
                <w:color w:val="auto"/>
              </w:rPr>
            </w:pPr>
          </w:p>
        </w:tc>
        <w:tc>
          <w:tcPr>
            <w:tcW w:w="780" w:type="dxa"/>
            <w:vAlign w:val="bottom"/>
          </w:tcPr>
          <w:p>
            <w:pPr>
              <w:jc w:val="right"/>
              <w:ind w:right="64"/>
              <w:spacing w:after="0"/>
              <w:rPr>
                <w:sz w:val="20"/>
                <w:szCs w:val="20"/>
                <w:color w:val="auto"/>
              </w:rPr>
            </w:pPr>
            <w:r>
              <w:rPr>
                <w:rFonts w:ascii="Arial" w:cs="Arial" w:eastAsia="Arial" w:hAnsi="Arial"/>
                <w:sz w:val="15"/>
                <w:szCs w:val="15"/>
                <w:color w:val="auto"/>
              </w:rPr>
              <w:t>23,493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ind w:right="4"/>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8"/>
                <w:szCs w:val="18"/>
                <w:color w:val="auto"/>
              </w:rPr>
            </w:pPr>
          </w:p>
        </w:tc>
        <w:tc>
          <w:tcPr>
            <w:tcW w:w="860" w:type="dxa"/>
            <w:vAlign w:val="bottom"/>
          </w:tcPr>
          <w:p>
            <w:pPr>
              <w:jc w:val="right"/>
              <w:ind w:right="44"/>
              <w:spacing w:after="0"/>
              <w:rPr>
                <w:sz w:val="20"/>
                <w:szCs w:val="20"/>
                <w:color w:val="auto"/>
              </w:rPr>
            </w:pPr>
            <w:r>
              <w:rPr>
                <w:rFonts w:ascii="Arial" w:cs="Arial" w:eastAsia="Arial" w:hAnsi="Arial"/>
                <w:sz w:val="15"/>
                <w:szCs w:val="15"/>
                <w:color w:val="auto"/>
              </w:rPr>
              <w:t>(1,153)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ind w:right="64"/>
              <w:spacing w:after="0"/>
              <w:rPr>
                <w:sz w:val="20"/>
                <w:szCs w:val="20"/>
                <w:color w:val="auto"/>
              </w:rPr>
            </w:pPr>
            <w:r>
              <w:rPr>
                <w:rFonts w:ascii="Arial" w:cs="Arial" w:eastAsia="Arial" w:hAnsi="Arial"/>
                <w:sz w:val="15"/>
                <w:szCs w:val="15"/>
                <w:color w:val="auto"/>
              </w:rPr>
              <w:t>22,340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ind w:right="84"/>
              <w:spacing w:after="0"/>
              <w:rPr>
                <w:sz w:val="20"/>
                <w:szCs w:val="20"/>
                <w:color w:val="auto"/>
              </w:rPr>
            </w:pPr>
            <w:r>
              <w:rPr>
                <w:rFonts w:ascii="Arial" w:cs="Arial" w:eastAsia="Arial" w:hAnsi="Arial"/>
                <w:sz w:val="15"/>
                <w:szCs w:val="15"/>
                <w:color w:val="auto"/>
              </w:rPr>
              <w:t>22,340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8"/>
                <w:szCs w:val="18"/>
                <w:color w:val="auto"/>
              </w:rPr>
            </w:pPr>
          </w:p>
        </w:tc>
        <w:tc>
          <w:tcPr>
            <w:tcW w:w="1040" w:type="dxa"/>
            <w:vAlign w:val="bottom"/>
          </w:tcPr>
          <w:p>
            <w:pPr>
              <w:jc w:val="right"/>
              <w:ind w:right="64"/>
              <w:spacing w:after="0"/>
              <w:rPr>
                <w:sz w:val="20"/>
                <w:szCs w:val="20"/>
                <w:color w:val="auto"/>
              </w:rPr>
            </w:pPr>
            <w:r>
              <w:rPr>
                <w:rFonts w:ascii="Arial" w:cs="Arial" w:eastAsia="Arial" w:hAnsi="Arial"/>
                <w:sz w:val="15"/>
                <w:szCs w:val="15"/>
                <w:color w:val="auto"/>
              </w:rPr>
              <w:t>22,340</w:t>
            </w:r>
          </w:p>
        </w:tc>
        <w:tc>
          <w:tcPr>
            <w:tcW w:w="0" w:type="dxa"/>
            <w:vAlign w:val="bottom"/>
          </w:tcPr>
          <w:p>
            <w:pPr>
              <w:spacing w:after="0"/>
              <w:rPr>
                <w:sz w:val="1"/>
                <w:szCs w:val="1"/>
                <w:color w:val="auto"/>
              </w:rPr>
            </w:pPr>
          </w:p>
        </w:tc>
      </w:tr>
      <w:tr>
        <w:trPr>
          <w:trHeight w:val="220"/>
        </w:trPr>
        <w:tc>
          <w:tcPr>
            <w:tcW w:w="1540" w:type="dxa"/>
            <w:vAlign w:val="bottom"/>
            <w:shd w:val="clear" w:color="auto" w:fill="CCEEFF"/>
          </w:tcPr>
          <w:p>
            <w:pPr>
              <w:spacing w:after="0"/>
              <w:rPr>
                <w:sz w:val="20"/>
                <w:szCs w:val="20"/>
                <w:color w:val="auto"/>
              </w:rPr>
            </w:pPr>
            <w:r>
              <w:rPr>
                <w:rFonts w:ascii="Arial" w:cs="Arial" w:eastAsia="Arial" w:hAnsi="Arial"/>
                <w:sz w:val="15"/>
                <w:szCs w:val="15"/>
                <w:color w:val="auto"/>
              </w:rPr>
              <w:t>River Plantation</w:t>
            </w: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22,589</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75</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22,664</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rPr>
              <w:t>22,664</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22,664</w:t>
            </w:r>
          </w:p>
        </w:tc>
        <w:tc>
          <w:tcPr>
            <w:tcW w:w="0" w:type="dxa"/>
            <w:vAlign w:val="bottom"/>
          </w:tcPr>
          <w:p>
            <w:pPr>
              <w:spacing w:after="0"/>
              <w:rPr>
                <w:sz w:val="1"/>
                <w:szCs w:val="1"/>
                <w:color w:val="auto"/>
              </w:rPr>
            </w:pPr>
          </w:p>
        </w:tc>
      </w:tr>
      <w:tr>
        <w:trPr>
          <w:trHeight w:val="212"/>
        </w:trPr>
        <w:tc>
          <w:tcPr>
            <w:tcW w:w="1540" w:type="dxa"/>
            <w:vAlign w:val="bottom"/>
          </w:tcPr>
          <w:p>
            <w:pPr>
              <w:spacing w:after="0"/>
              <w:rPr>
                <w:sz w:val="20"/>
                <w:szCs w:val="20"/>
                <w:color w:val="auto"/>
              </w:rPr>
            </w:pPr>
            <w:r>
              <w:rPr>
                <w:rFonts w:ascii="Arial" w:cs="Arial" w:eastAsia="Arial" w:hAnsi="Arial"/>
                <w:sz w:val="15"/>
                <w:szCs w:val="15"/>
                <w:color w:val="auto"/>
              </w:rPr>
              <w:t>Massey's Landing</w:t>
            </w:r>
          </w:p>
        </w:tc>
        <w:tc>
          <w:tcPr>
            <w:tcW w:w="140" w:type="dxa"/>
            <w:vAlign w:val="bottom"/>
          </w:tcPr>
          <w:p>
            <w:pPr>
              <w:spacing w:after="0"/>
              <w:rPr>
                <w:sz w:val="18"/>
                <w:szCs w:val="18"/>
                <w:color w:val="auto"/>
              </w:rPr>
            </w:pPr>
          </w:p>
        </w:tc>
        <w:tc>
          <w:tcPr>
            <w:tcW w:w="780" w:type="dxa"/>
            <w:vAlign w:val="bottom"/>
          </w:tcPr>
          <w:p>
            <w:pPr>
              <w:jc w:val="right"/>
              <w:ind w:right="64"/>
              <w:spacing w:after="0"/>
              <w:rPr>
                <w:sz w:val="20"/>
                <w:szCs w:val="20"/>
                <w:color w:val="auto"/>
              </w:rPr>
            </w:pPr>
            <w:r>
              <w:rPr>
                <w:rFonts w:ascii="Arial" w:cs="Arial" w:eastAsia="Arial" w:hAnsi="Arial"/>
                <w:sz w:val="15"/>
                <w:szCs w:val="15"/>
                <w:color w:val="auto"/>
              </w:rPr>
              <w:t>36,250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ind w:right="4"/>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ind w:right="84"/>
              <w:spacing w:after="0"/>
              <w:rPr>
                <w:sz w:val="20"/>
                <w:szCs w:val="20"/>
                <w:color w:val="auto"/>
              </w:rPr>
            </w:pPr>
            <w:r>
              <w:rPr>
                <w:rFonts w:ascii="Arial" w:cs="Arial" w:eastAsia="Arial" w:hAnsi="Arial"/>
                <w:sz w:val="15"/>
                <w:szCs w:val="15"/>
                <w:color w:val="auto"/>
              </w:rPr>
              <w:t>220</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right"/>
              <w:ind w:right="44"/>
              <w:spacing w:after="0"/>
              <w:rPr>
                <w:sz w:val="20"/>
                <w:szCs w:val="20"/>
                <w:color w:val="auto"/>
              </w:rPr>
            </w:pPr>
            <w:r>
              <w:rPr>
                <w:rFonts w:ascii="Arial" w:cs="Arial" w:eastAsia="Arial" w:hAnsi="Arial"/>
                <w:sz w:val="15"/>
                <w:szCs w:val="15"/>
                <w:color w:val="auto"/>
              </w:rPr>
              <w:t>(446)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ind w:right="64"/>
              <w:spacing w:after="0"/>
              <w:rPr>
                <w:sz w:val="20"/>
                <w:szCs w:val="20"/>
                <w:color w:val="auto"/>
              </w:rPr>
            </w:pPr>
            <w:r>
              <w:rPr>
                <w:rFonts w:ascii="Arial" w:cs="Arial" w:eastAsia="Arial" w:hAnsi="Arial"/>
                <w:sz w:val="15"/>
                <w:szCs w:val="15"/>
                <w:color w:val="auto"/>
              </w:rPr>
              <w:t>36,024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ind w:right="84"/>
              <w:spacing w:after="0"/>
              <w:rPr>
                <w:sz w:val="20"/>
                <w:szCs w:val="20"/>
                <w:color w:val="auto"/>
              </w:rPr>
            </w:pPr>
            <w:r>
              <w:rPr>
                <w:rFonts w:ascii="Arial" w:cs="Arial" w:eastAsia="Arial" w:hAnsi="Arial"/>
                <w:sz w:val="15"/>
                <w:szCs w:val="15"/>
                <w:color w:val="auto"/>
              </w:rPr>
              <w:t>36,024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8"/>
                <w:szCs w:val="18"/>
                <w:color w:val="auto"/>
              </w:rPr>
            </w:pPr>
          </w:p>
        </w:tc>
        <w:tc>
          <w:tcPr>
            <w:tcW w:w="1040" w:type="dxa"/>
            <w:vAlign w:val="bottom"/>
          </w:tcPr>
          <w:p>
            <w:pPr>
              <w:jc w:val="right"/>
              <w:ind w:right="64"/>
              <w:spacing w:after="0"/>
              <w:rPr>
                <w:sz w:val="20"/>
                <w:szCs w:val="20"/>
                <w:color w:val="auto"/>
              </w:rPr>
            </w:pPr>
            <w:r>
              <w:rPr>
                <w:rFonts w:ascii="Arial" w:cs="Arial" w:eastAsia="Arial" w:hAnsi="Arial"/>
                <w:sz w:val="15"/>
                <w:szCs w:val="15"/>
                <w:color w:val="auto"/>
              </w:rPr>
              <w:t>36,024</w:t>
            </w:r>
          </w:p>
        </w:tc>
        <w:tc>
          <w:tcPr>
            <w:tcW w:w="0" w:type="dxa"/>
            <w:vAlign w:val="bottom"/>
          </w:tcPr>
          <w:p>
            <w:pPr>
              <w:spacing w:after="0"/>
              <w:rPr>
                <w:sz w:val="1"/>
                <w:szCs w:val="1"/>
                <w:color w:val="auto"/>
              </w:rPr>
            </w:pPr>
          </w:p>
        </w:tc>
      </w:tr>
      <w:tr>
        <w:trPr>
          <w:trHeight w:val="220"/>
        </w:trPr>
        <w:tc>
          <w:tcPr>
            <w:tcW w:w="1540" w:type="dxa"/>
            <w:vAlign w:val="bottom"/>
            <w:shd w:val="clear" w:color="auto" w:fill="CCEEFF"/>
          </w:tcPr>
          <w:p>
            <w:pPr>
              <w:spacing w:after="0"/>
              <w:rPr>
                <w:sz w:val="20"/>
                <w:szCs w:val="20"/>
                <w:color w:val="auto"/>
              </w:rPr>
            </w:pPr>
            <w:r>
              <w:rPr>
                <w:rFonts w:ascii="Arial" w:cs="Arial" w:eastAsia="Arial" w:hAnsi="Arial"/>
                <w:sz w:val="15"/>
                <w:szCs w:val="15"/>
                <w:color w:val="auto"/>
              </w:rPr>
              <w:t>Shelby Properties</w:t>
            </w: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85,969</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2,011</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rPr>
              <w:t>6,520</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(1,015)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93,485</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rPr>
              <w:t>93,485</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93,485</w:t>
            </w:r>
          </w:p>
        </w:tc>
        <w:tc>
          <w:tcPr>
            <w:tcW w:w="0" w:type="dxa"/>
            <w:vAlign w:val="bottom"/>
          </w:tcPr>
          <w:p>
            <w:pPr>
              <w:spacing w:after="0"/>
              <w:rPr>
                <w:sz w:val="1"/>
                <w:szCs w:val="1"/>
                <w:color w:val="auto"/>
              </w:rPr>
            </w:pPr>
          </w:p>
        </w:tc>
      </w:tr>
      <w:tr>
        <w:trPr>
          <w:trHeight w:val="212"/>
        </w:trPr>
        <w:tc>
          <w:tcPr>
            <w:tcW w:w="1540" w:type="dxa"/>
            <w:vAlign w:val="bottom"/>
          </w:tcPr>
          <w:p>
            <w:pPr>
              <w:spacing w:after="0"/>
              <w:rPr>
                <w:sz w:val="20"/>
                <w:szCs w:val="20"/>
                <w:color w:val="auto"/>
              </w:rPr>
            </w:pPr>
            <w:r>
              <w:rPr>
                <w:rFonts w:ascii="Arial" w:cs="Arial" w:eastAsia="Arial" w:hAnsi="Arial"/>
                <w:sz w:val="15"/>
                <w:szCs w:val="15"/>
                <w:color w:val="auto"/>
              </w:rPr>
              <w:t>Buena Vista</w:t>
            </w:r>
          </w:p>
        </w:tc>
        <w:tc>
          <w:tcPr>
            <w:tcW w:w="140" w:type="dxa"/>
            <w:vAlign w:val="bottom"/>
          </w:tcPr>
          <w:p>
            <w:pPr>
              <w:spacing w:after="0"/>
              <w:rPr>
                <w:sz w:val="18"/>
                <w:szCs w:val="18"/>
                <w:color w:val="auto"/>
              </w:rPr>
            </w:pPr>
          </w:p>
        </w:tc>
        <w:tc>
          <w:tcPr>
            <w:tcW w:w="780" w:type="dxa"/>
            <w:vAlign w:val="bottom"/>
          </w:tcPr>
          <w:p>
            <w:pPr>
              <w:jc w:val="right"/>
              <w:ind w:right="64"/>
              <w:spacing w:after="0"/>
              <w:rPr>
                <w:sz w:val="20"/>
                <w:szCs w:val="20"/>
                <w:color w:val="auto"/>
              </w:rPr>
            </w:pPr>
            <w:r>
              <w:rPr>
                <w:rFonts w:ascii="Arial" w:cs="Arial" w:eastAsia="Arial" w:hAnsi="Arial"/>
                <w:sz w:val="15"/>
                <w:szCs w:val="15"/>
                <w:color w:val="auto"/>
              </w:rPr>
              <w:t>20,221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ind w:right="4"/>
              <w:spacing w:after="0"/>
              <w:rPr>
                <w:sz w:val="20"/>
                <w:szCs w:val="20"/>
                <w:color w:val="auto"/>
              </w:rPr>
            </w:pPr>
            <w:r>
              <w:rPr>
                <w:rFonts w:ascii="Arial" w:cs="Arial" w:eastAsia="Arial" w:hAnsi="Arial"/>
                <w:sz w:val="15"/>
                <w:szCs w:val="15"/>
                <w:color w:val="auto"/>
              </w:rPr>
              <w:t>439</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ind w:right="84"/>
              <w:spacing w:after="0"/>
              <w:rPr>
                <w:sz w:val="20"/>
                <w:szCs w:val="20"/>
                <w:color w:val="auto"/>
              </w:rPr>
            </w:pPr>
            <w:r>
              <w:rPr>
                <w:rFonts w:ascii="Arial" w:cs="Arial" w:eastAsia="Arial" w:hAnsi="Arial"/>
                <w:sz w:val="15"/>
                <w:szCs w:val="15"/>
                <w:color w:val="auto"/>
              </w:rPr>
              <w:t>1,590</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right"/>
              <w:ind w:right="44"/>
              <w:spacing w:after="0"/>
              <w:rPr>
                <w:sz w:val="20"/>
                <w:szCs w:val="20"/>
                <w:color w:val="auto"/>
              </w:rPr>
            </w:pPr>
            <w:r>
              <w:rPr>
                <w:rFonts w:ascii="Arial" w:cs="Arial" w:eastAsia="Arial" w:hAnsi="Arial"/>
                <w:sz w:val="15"/>
                <w:szCs w:val="15"/>
                <w:color w:val="auto"/>
              </w:rPr>
              <w:t>(93)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ind w:right="64"/>
              <w:spacing w:after="0"/>
              <w:rPr>
                <w:sz w:val="20"/>
                <w:szCs w:val="20"/>
                <w:color w:val="auto"/>
              </w:rPr>
            </w:pPr>
            <w:r>
              <w:rPr>
                <w:rFonts w:ascii="Arial" w:cs="Arial" w:eastAsia="Arial" w:hAnsi="Arial"/>
                <w:sz w:val="15"/>
                <w:szCs w:val="15"/>
                <w:color w:val="auto"/>
              </w:rPr>
              <w:t>22,157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ind w:right="84"/>
              <w:spacing w:after="0"/>
              <w:rPr>
                <w:sz w:val="20"/>
                <w:szCs w:val="20"/>
                <w:color w:val="auto"/>
              </w:rPr>
            </w:pPr>
            <w:r>
              <w:rPr>
                <w:rFonts w:ascii="Arial" w:cs="Arial" w:eastAsia="Arial" w:hAnsi="Arial"/>
                <w:sz w:val="15"/>
                <w:szCs w:val="15"/>
                <w:color w:val="auto"/>
              </w:rPr>
              <w:t>22,157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8"/>
                <w:szCs w:val="18"/>
                <w:color w:val="auto"/>
              </w:rPr>
            </w:pPr>
          </w:p>
        </w:tc>
        <w:tc>
          <w:tcPr>
            <w:tcW w:w="1040" w:type="dxa"/>
            <w:vAlign w:val="bottom"/>
          </w:tcPr>
          <w:p>
            <w:pPr>
              <w:jc w:val="right"/>
              <w:ind w:right="64"/>
              <w:spacing w:after="0"/>
              <w:rPr>
                <w:sz w:val="20"/>
                <w:szCs w:val="20"/>
                <w:color w:val="auto"/>
              </w:rPr>
            </w:pPr>
            <w:r>
              <w:rPr>
                <w:rFonts w:ascii="Arial" w:cs="Arial" w:eastAsia="Arial" w:hAnsi="Arial"/>
                <w:sz w:val="15"/>
                <w:szCs w:val="15"/>
                <w:color w:val="auto"/>
              </w:rPr>
              <w:t>22,157</w:t>
            </w:r>
          </w:p>
        </w:tc>
        <w:tc>
          <w:tcPr>
            <w:tcW w:w="0" w:type="dxa"/>
            <w:vAlign w:val="bottom"/>
          </w:tcPr>
          <w:p>
            <w:pPr>
              <w:spacing w:after="0"/>
              <w:rPr>
                <w:sz w:val="1"/>
                <w:szCs w:val="1"/>
                <w:color w:val="auto"/>
              </w:rPr>
            </w:pPr>
          </w:p>
        </w:tc>
      </w:tr>
      <w:tr>
        <w:trPr>
          <w:trHeight w:val="220"/>
        </w:trPr>
        <w:tc>
          <w:tcPr>
            <w:tcW w:w="1540" w:type="dxa"/>
            <w:vAlign w:val="bottom"/>
            <w:shd w:val="clear" w:color="auto" w:fill="CCEEFF"/>
          </w:tcPr>
          <w:p>
            <w:pPr>
              <w:spacing w:after="0"/>
              <w:rPr>
                <w:sz w:val="20"/>
                <w:szCs w:val="20"/>
                <w:color w:val="auto"/>
              </w:rPr>
            </w:pPr>
            <w:r>
              <w:rPr>
                <w:rFonts w:ascii="Arial" w:cs="Arial" w:eastAsia="Arial" w:hAnsi="Arial"/>
                <w:sz w:val="15"/>
                <w:szCs w:val="15"/>
                <w:color w:val="auto"/>
              </w:rPr>
              <w:t>Country Village</w:t>
            </w: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62,784</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rPr>
              <w:t>2,020</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rPr>
              <w:t>31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64,835</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rPr>
              <w:t>12,905</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rPr>
              <w:t>51,930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64,835</w:t>
            </w:r>
          </w:p>
        </w:tc>
        <w:tc>
          <w:tcPr>
            <w:tcW w:w="0" w:type="dxa"/>
            <w:vAlign w:val="bottom"/>
          </w:tcPr>
          <w:p>
            <w:pPr>
              <w:spacing w:after="0"/>
              <w:rPr>
                <w:sz w:val="1"/>
                <w:szCs w:val="1"/>
                <w:color w:val="auto"/>
              </w:rPr>
            </w:pPr>
          </w:p>
        </w:tc>
      </w:tr>
      <w:tr>
        <w:trPr>
          <w:trHeight w:val="212"/>
        </w:trPr>
        <w:tc>
          <w:tcPr>
            <w:tcW w:w="1540" w:type="dxa"/>
            <w:vAlign w:val="bottom"/>
          </w:tcPr>
          <w:p>
            <w:pPr>
              <w:spacing w:after="0"/>
              <w:rPr>
                <w:sz w:val="20"/>
                <w:szCs w:val="20"/>
                <w:color w:val="auto"/>
              </w:rPr>
            </w:pPr>
            <w:r>
              <w:rPr>
                <w:rFonts w:ascii="Arial" w:cs="Arial" w:eastAsia="Arial" w:hAnsi="Arial"/>
                <w:sz w:val="15"/>
                <w:szCs w:val="15"/>
                <w:color w:val="auto"/>
              </w:rPr>
              <w:t>Hid'n Pines</w:t>
            </w:r>
          </w:p>
        </w:tc>
        <w:tc>
          <w:tcPr>
            <w:tcW w:w="140" w:type="dxa"/>
            <w:vAlign w:val="bottom"/>
          </w:tcPr>
          <w:p>
            <w:pPr>
              <w:spacing w:after="0"/>
              <w:rPr>
                <w:sz w:val="18"/>
                <w:szCs w:val="18"/>
                <w:color w:val="auto"/>
              </w:rPr>
            </w:pPr>
          </w:p>
        </w:tc>
        <w:tc>
          <w:tcPr>
            <w:tcW w:w="780" w:type="dxa"/>
            <w:vAlign w:val="bottom"/>
          </w:tcPr>
          <w:p>
            <w:pPr>
              <w:jc w:val="right"/>
              <w:ind w:right="64"/>
              <w:spacing w:after="0"/>
              <w:rPr>
                <w:sz w:val="20"/>
                <w:szCs w:val="20"/>
                <w:color w:val="auto"/>
              </w:rPr>
            </w:pPr>
            <w:r>
              <w:rPr>
                <w:rFonts w:ascii="Arial" w:cs="Arial" w:eastAsia="Arial" w:hAnsi="Arial"/>
                <w:sz w:val="15"/>
                <w:szCs w:val="15"/>
                <w:color w:val="auto"/>
              </w:rPr>
              <w:t>10,680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ind w:right="4"/>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ind w:right="84"/>
              <w:spacing w:after="0"/>
              <w:rPr>
                <w:sz w:val="20"/>
                <w:szCs w:val="20"/>
                <w:color w:val="auto"/>
              </w:rPr>
            </w:pPr>
            <w:r>
              <w:rPr>
                <w:rFonts w:ascii="Arial" w:cs="Arial" w:eastAsia="Arial" w:hAnsi="Arial"/>
                <w:sz w:val="15"/>
                <w:szCs w:val="15"/>
                <w:color w:val="auto"/>
              </w:rPr>
              <w:t>70</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right"/>
              <w:ind w:right="44"/>
              <w:spacing w:after="0"/>
              <w:rPr>
                <w:sz w:val="20"/>
                <w:szCs w:val="20"/>
                <w:color w:val="auto"/>
              </w:rPr>
            </w:pPr>
            <w:r>
              <w:rPr>
                <w:rFonts w:ascii="Arial" w:cs="Arial" w:eastAsia="Arial" w:hAnsi="Arial"/>
                <w:sz w:val="15"/>
                <w:szCs w:val="15"/>
                <w:color w:val="auto"/>
              </w:rPr>
              <w:t>(233)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ind w:right="64"/>
              <w:spacing w:after="0"/>
              <w:rPr>
                <w:sz w:val="20"/>
                <w:szCs w:val="20"/>
                <w:color w:val="auto"/>
              </w:rPr>
            </w:pPr>
            <w:r>
              <w:rPr>
                <w:rFonts w:ascii="Arial" w:cs="Arial" w:eastAsia="Arial" w:hAnsi="Arial"/>
                <w:sz w:val="15"/>
                <w:szCs w:val="15"/>
                <w:color w:val="auto"/>
              </w:rPr>
              <w:t>10,517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ind w:right="84"/>
              <w:spacing w:after="0"/>
              <w:rPr>
                <w:sz w:val="20"/>
                <w:szCs w:val="20"/>
                <w:color w:val="auto"/>
              </w:rPr>
            </w:pPr>
            <w:r>
              <w:rPr>
                <w:rFonts w:ascii="Arial" w:cs="Arial" w:eastAsia="Arial" w:hAnsi="Arial"/>
                <w:sz w:val="15"/>
                <w:szCs w:val="15"/>
                <w:color w:val="auto"/>
              </w:rPr>
              <w:t>10,517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8"/>
                <w:szCs w:val="18"/>
                <w:color w:val="auto"/>
              </w:rPr>
            </w:pPr>
          </w:p>
        </w:tc>
        <w:tc>
          <w:tcPr>
            <w:tcW w:w="1040" w:type="dxa"/>
            <w:vAlign w:val="bottom"/>
          </w:tcPr>
          <w:p>
            <w:pPr>
              <w:jc w:val="right"/>
              <w:ind w:right="64"/>
              <w:spacing w:after="0"/>
              <w:rPr>
                <w:sz w:val="20"/>
                <w:szCs w:val="20"/>
                <w:color w:val="auto"/>
              </w:rPr>
            </w:pPr>
            <w:r>
              <w:rPr>
                <w:rFonts w:ascii="Arial" w:cs="Arial" w:eastAsia="Arial" w:hAnsi="Arial"/>
                <w:sz w:val="15"/>
                <w:szCs w:val="15"/>
                <w:color w:val="auto"/>
              </w:rPr>
              <w:t>10,517</w:t>
            </w:r>
          </w:p>
        </w:tc>
        <w:tc>
          <w:tcPr>
            <w:tcW w:w="0" w:type="dxa"/>
            <w:vAlign w:val="bottom"/>
          </w:tcPr>
          <w:p>
            <w:pPr>
              <w:spacing w:after="0"/>
              <w:rPr>
                <w:sz w:val="1"/>
                <w:szCs w:val="1"/>
                <w:color w:val="auto"/>
              </w:rPr>
            </w:pPr>
          </w:p>
        </w:tc>
      </w:tr>
      <w:tr>
        <w:trPr>
          <w:trHeight w:val="216"/>
        </w:trPr>
        <w:tc>
          <w:tcPr>
            <w:tcW w:w="1540" w:type="dxa"/>
            <w:vAlign w:val="bottom"/>
            <w:shd w:val="clear" w:color="auto" w:fill="CCEEFF"/>
          </w:tcPr>
          <w:p>
            <w:pPr>
              <w:spacing w:after="0"/>
              <w:rPr>
                <w:sz w:val="20"/>
                <w:szCs w:val="20"/>
                <w:color w:val="auto"/>
              </w:rPr>
            </w:pPr>
            <w:r>
              <w:rPr>
                <w:rFonts w:ascii="Arial" w:cs="Arial" w:eastAsia="Arial" w:hAnsi="Arial"/>
                <w:sz w:val="15"/>
                <w:szCs w:val="15"/>
                <w:color w:val="auto"/>
              </w:rPr>
              <w:t>Hacienda del Rio</w:t>
            </w:r>
          </w:p>
        </w:tc>
        <w:tc>
          <w:tcPr>
            <w:tcW w:w="1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64"/>
              <w:spacing w:after="0"/>
              <w:rPr>
                <w:sz w:val="20"/>
                <w:szCs w:val="20"/>
                <w:color w:val="auto"/>
              </w:rPr>
            </w:pPr>
            <w:r>
              <w:rPr>
                <w:rFonts w:ascii="Arial" w:cs="Arial" w:eastAsia="Arial" w:hAnsi="Arial"/>
                <w:sz w:val="15"/>
                <w:szCs w:val="15"/>
                <w:color w:val="auto"/>
              </w:rPr>
              <w:t>111,971</w:t>
            </w: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15</w:t>
            </w:r>
          </w:p>
        </w:tc>
        <w:tc>
          <w:tcPr>
            <w:tcW w:w="6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84"/>
              <w:spacing w:after="0"/>
              <w:rPr>
                <w:sz w:val="20"/>
                <w:szCs w:val="20"/>
                <w:color w:val="auto"/>
              </w:rPr>
            </w:pPr>
            <w:r>
              <w:rPr>
                <w:rFonts w:ascii="Arial" w:cs="Arial" w:eastAsia="Arial" w:hAnsi="Arial"/>
                <w:sz w:val="15"/>
                <w:szCs w:val="15"/>
                <w:color w:val="auto"/>
              </w:rPr>
              <w:t>3,280</w:t>
            </w:r>
          </w:p>
        </w:tc>
        <w:tc>
          <w:tcPr>
            <w:tcW w:w="1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rPr>
              <w:t>(237)</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64"/>
              <w:spacing w:after="0"/>
              <w:rPr>
                <w:sz w:val="20"/>
                <w:szCs w:val="20"/>
                <w:color w:val="auto"/>
              </w:rPr>
            </w:pPr>
            <w:r>
              <w:rPr>
                <w:rFonts w:ascii="Arial" w:cs="Arial" w:eastAsia="Arial" w:hAnsi="Arial"/>
                <w:sz w:val="15"/>
                <w:szCs w:val="15"/>
                <w:color w:val="auto"/>
              </w:rPr>
              <w:t>115,029</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ind w:right="84"/>
              <w:spacing w:after="0"/>
              <w:rPr>
                <w:sz w:val="20"/>
                <w:szCs w:val="20"/>
                <w:color w:val="auto"/>
              </w:rPr>
            </w:pPr>
            <w:r>
              <w:rPr>
                <w:rFonts w:ascii="Arial" w:cs="Arial" w:eastAsia="Arial" w:hAnsi="Arial"/>
                <w:sz w:val="15"/>
                <w:szCs w:val="15"/>
                <w:color w:val="auto"/>
                <w:w w:val="95"/>
              </w:rPr>
              <w:t>115,029</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ind w:right="64"/>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84"/>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64"/>
              <w:spacing w:after="0"/>
              <w:rPr>
                <w:sz w:val="20"/>
                <w:szCs w:val="20"/>
                <w:color w:val="auto"/>
              </w:rPr>
            </w:pPr>
            <w:r>
              <w:rPr>
                <w:rFonts w:ascii="Arial" w:cs="Arial" w:eastAsia="Arial" w:hAnsi="Arial"/>
                <w:sz w:val="15"/>
                <w:szCs w:val="15"/>
                <w:color w:val="auto"/>
              </w:rPr>
              <w:t>115,029</w:t>
            </w:r>
          </w:p>
        </w:tc>
        <w:tc>
          <w:tcPr>
            <w:tcW w:w="0" w:type="dxa"/>
            <w:vAlign w:val="bottom"/>
          </w:tcPr>
          <w:p>
            <w:pPr>
              <w:spacing w:after="0"/>
              <w:rPr>
                <w:sz w:val="1"/>
                <w:szCs w:val="1"/>
                <w:color w:val="auto"/>
              </w:rPr>
            </w:pPr>
          </w:p>
        </w:tc>
      </w:tr>
      <w:tr>
        <w:trPr>
          <w:trHeight w:val="214"/>
        </w:trPr>
        <w:tc>
          <w:tcPr>
            <w:tcW w:w="1540" w:type="dxa"/>
            <w:vAlign w:val="bottom"/>
          </w:tcPr>
          <w:p>
            <w:pPr>
              <w:spacing w:after="0"/>
              <w:rPr>
                <w:sz w:val="20"/>
                <w:szCs w:val="20"/>
                <w:color w:val="auto"/>
              </w:rPr>
            </w:pPr>
            <w:r>
              <w:rPr>
                <w:rFonts w:ascii="Arial" w:cs="Arial" w:eastAsia="Arial" w:hAnsi="Arial"/>
                <w:sz w:val="15"/>
                <w:szCs w:val="15"/>
                <w:color w:val="auto"/>
              </w:rPr>
              <w:t>Total</w:t>
            </w: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780" w:type="dxa"/>
            <w:vAlign w:val="bottom"/>
          </w:tcPr>
          <w:p>
            <w:pPr>
              <w:jc w:val="right"/>
              <w:ind w:right="64"/>
              <w:spacing w:after="0"/>
              <w:rPr>
                <w:sz w:val="20"/>
                <w:szCs w:val="20"/>
                <w:color w:val="auto"/>
              </w:rPr>
            </w:pPr>
            <w:r>
              <w:rPr>
                <w:rFonts w:ascii="Arial" w:cs="Arial" w:eastAsia="Arial" w:hAnsi="Arial"/>
                <w:sz w:val="15"/>
                <w:szCs w:val="15"/>
                <w:color w:val="auto"/>
              </w:rPr>
              <w:t>825,266</w:t>
            </w: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ind w:right="4"/>
              <w:spacing w:after="0"/>
              <w:rPr>
                <w:sz w:val="20"/>
                <w:szCs w:val="20"/>
                <w:color w:val="auto"/>
              </w:rPr>
            </w:pPr>
            <w:r>
              <w:rPr>
                <w:rFonts w:ascii="Arial" w:cs="Arial" w:eastAsia="Arial" w:hAnsi="Arial"/>
                <w:sz w:val="15"/>
                <w:szCs w:val="15"/>
                <w:color w:val="auto"/>
              </w:rPr>
              <w:t>6,163</w:t>
            </w:r>
          </w:p>
        </w:tc>
        <w:tc>
          <w:tcPr>
            <w:tcW w:w="280" w:type="dxa"/>
            <w:vAlign w:val="bottom"/>
            <w:gridSpan w:val="3"/>
          </w:tcPr>
          <w:p>
            <w:pPr>
              <w:jc w:val="right"/>
              <w:ind w:right="20"/>
              <w:spacing w:after="0"/>
              <w:rPr>
                <w:sz w:val="20"/>
                <w:szCs w:val="20"/>
                <w:color w:val="auto"/>
              </w:rPr>
            </w:pPr>
            <w:r>
              <w:rPr>
                <w:rFonts w:ascii="Arial" w:cs="Arial" w:eastAsia="Arial" w:hAnsi="Arial"/>
                <w:sz w:val="15"/>
                <w:szCs w:val="15"/>
                <w:color w:val="auto"/>
              </w:rPr>
              <w:t>$</w:t>
            </w:r>
          </w:p>
        </w:tc>
        <w:tc>
          <w:tcPr>
            <w:tcW w:w="780" w:type="dxa"/>
            <w:vAlign w:val="bottom"/>
          </w:tcPr>
          <w:p>
            <w:pPr>
              <w:jc w:val="right"/>
              <w:ind w:right="84"/>
              <w:spacing w:after="0"/>
              <w:rPr>
                <w:sz w:val="20"/>
                <w:szCs w:val="20"/>
                <w:color w:val="auto"/>
              </w:rPr>
            </w:pPr>
            <w:r>
              <w:rPr>
                <w:rFonts w:ascii="Arial" w:cs="Arial" w:eastAsia="Arial" w:hAnsi="Arial"/>
                <w:sz w:val="15"/>
                <w:szCs w:val="15"/>
                <w:color w:val="auto"/>
              </w:rPr>
              <w:t>22,302</w:t>
            </w:r>
          </w:p>
        </w:tc>
        <w:tc>
          <w:tcPr>
            <w:tcW w:w="10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ind w:right="44"/>
              <w:spacing w:after="0"/>
              <w:rPr>
                <w:sz w:val="20"/>
                <w:szCs w:val="20"/>
                <w:color w:val="auto"/>
              </w:rPr>
            </w:pPr>
            <w:r>
              <w:rPr>
                <w:rFonts w:ascii="Arial" w:cs="Arial" w:eastAsia="Arial" w:hAnsi="Arial"/>
                <w:sz w:val="15"/>
                <w:szCs w:val="15"/>
                <w:color w:val="auto"/>
              </w:rPr>
              <w:t>(49)</w:t>
            </w:r>
          </w:p>
        </w:tc>
        <w:tc>
          <w:tcPr>
            <w:tcW w:w="100" w:type="dxa"/>
            <w:vAlign w:val="bottom"/>
          </w:tcPr>
          <w:p>
            <w:pPr>
              <w:spacing w:after="0"/>
              <w:rPr>
                <w:sz w:val="18"/>
                <w:szCs w:val="18"/>
                <w:color w:val="auto"/>
              </w:rPr>
            </w:pP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ind w:right="64"/>
              <w:spacing w:after="0"/>
              <w:rPr>
                <w:sz w:val="20"/>
                <w:szCs w:val="20"/>
                <w:color w:val="auto"/>
              </w:rPr>
            </w:pPr>
            <w:r>
              <w:rPr>
                <w:rFonts w:ascii="Arial" w:cs="Arial" w:eastAsia="Arial" w:hAnsi="Arial"/>
                <w:sz w:val="15"/>
                <w:szCs w:val="15"/>
                <w:color w:val="auto"/>
              </w:rPr>
              <w:t>853,682</w:t>
            </w:r>
          </w:p>
        </w:tc>
        <w:tc>
          <w:tcPr>
            <w:tcW w:w="1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ind w:right="84"/>
              <w:spacing w:after="0"/>
              <w:rPr>
                <w:sz w:val="20"/>
                <w:szCs w:val="20"/>
                <w:color w:val="auto"/>
              </w:rPr>
            </w:pPr>
            <w:r>
              <w:rPr>
                <w:rFonts w:ascii="Arial" w:cs="Arial" w:eastAsia="Arial" w:hAnsi="Arial"/>
                <w:sz w:val="15"/>
                <w:szCs w:val="15"/>
                <w:color w:val="auto"/>
                <w:w w:val="95"/>
              </w:rPr>
              <w:t>426,461</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ind w:right="64"/>
              <w:spacing w:after="0"/>
              <w:rPr>
                <w:sz w:val="20"/>
                <w:szCs w:val="20"/>
                <w:color w:val="auto"/>
              </w:rPr>
            </w:pPr>
            <w:r>
              <w:rPr>
                <w:rFonts w:ascii="Arial" w:cs="Arial" w:eastAsia="Arial" w:hAnsi="Arial"/>
                <w:sz w:val="15"/>
                <w:szCs w:val="15"/>
                <w:color w:val="auto"/>
              </w:rPr>
              <w:t>61,900</w:t>
            </w: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ind w:right="84"/>
              <w:spacing w:after="0"/>
              <w:rPr>
                <w:sz w:val="20"/>
                <w:szCs w:val="20"/>
                <w:color w:val="auto"/>
              </w:rPr>
            </w:pPr>
            <w:r>
              <w:rPr>
                <w:rFonts w:ascii="Arial" w:cs="Arial" w:eastAsia="Arial" w:hAnsi="Arial"/>
                <w:sz w:val="15"/>
                <w:szCs w:val="15"/>
                <w:color w:val="auto"/>
              </w:rPr>
              <w:t>365,321</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40" w:type="dxa"/>
            <w:vAlign w:val="bottom"/>
          </w:tcPr>
          <w:p>
            <w:pPr>
              <w:jc w:val="right"/>
              <w:ind w:right="64"/>
              <w:spacing w:after="0"/>
              <w:rPr>
                <w:sz w:val="20"/>
                <w:szCs w:val="20"/>
                <w:color w:val="auto"/>
              </w:rPr>
            </w:pPr>
            <w:r>
              <w:rPr>
                <w:rFonts w:ascii="Arial" w:cs="Arial" w:eastAsia="Arial" w:hAnsi="Arial"/>
                <w:sz w:val="15"/>
                <w:szCs w:val="15"/>
                <w:color w:val="auto"/>
              </w:rPr>
              <w:t>853,682</w:t>
            </w:r>
          </w:p>
        </w:tc>
        <w:tc>
          <w:tcPr>
            <w:tcW w:w="0" w:type="dxa"/>
            <w:vAlign w:val="bottom"/>
          </w:tcPr>
          <w:p>
            <w:pPr>
              <w:spacing w:after="0"/>
              <w:rPr>
                <w:sz w:val="1"/>
                <w:szCs w:val="1"/>
                <w:color w:val="auto"/>
              </w:rPr>
            </w:pPr>
          </w:p>
        </w:tc>
      </w:tr>
      <w:tr>
        <w:trPr>
          <w:trHeight w:val="20"/>
        </w:trPr>
        <w:tc>
          <w:tcPr>
            <w:tcW w:w="15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Land for Expansion / Development</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year ended December 31, 2019, we acquired four land parcels which are located in New Braunfels, Texas; Petoskey, Michigan; Uhland, Texas and Hudson, Florida for total consideration of $7.7 million. Two of the land parcels are adjacent to existing communities.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Ground Leases</w:t>
      </w:r>
    </w:p>
    <w:p>
      <w:pPr>
        <w:spacing w:after="0" w:line="252"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In August 2019, we acquired Chincoteague Island KOA RV Resort (“Chincoteague”), in Chincoteague Island, Virginia for total consideration of $19.5 million. The sellers of Chincoteague continue to operate the property. Refer to Note 16, “Leases,” for disclosures on accounting treatment.</w:t>
      </w:r>
    </w:p>
    <w:p>
      <w:pPr>
        <w:spacing w:after="0" w:line="173"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In April 2019, we acquired Strafford/Lake Winnipesaukee South KOA RV Resort ("Strafford") in Strafford, New Hampshire for total consideration of $2.7 million. The sellers of Strafford continue to operate the property. Refer to Note 16, “Leases,” for disclosures on accounting treatment.</w:t>
      </w:r>
    </w:p>
    <w:p>
      <w:pPr>
        <w:spacing w:after="0" w:line="17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March 2019, we entered into a four-year Temporary Occupancy and Use Permit with the Port of San Diego to operate a RV resort located in Chula Vista, CA until such time as we construct a new RV resort in the area. Concurrent with the transaction, we purchased tangible personal property from the prior owner of the RV resort for $0.3 million. Subsequently, in September 2019, we entered into a 66-year Temporary Occupancy and Use Permit, to construct and operate a new RV resort in Chula Vista. Refer to Note 16, “Leases,” for disclosures on accounting treatment.</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4" w:name="page15"/>
    <w:bookmarkEnd w:id="14"/>
    <w:p>
      <w:pPr>
        <w:jc w:val="center"/>
        <w:spacing w:after="0"/>
        <w:rPr>
          <w:sz w:val="20"/>
          <w:szCs w:val="20"/>
          <w:color w:val="auto"/>
        </w:rPr>
      </w:pPr>
      <w:r>
        <w:rPr>
          <w:rFonts w:ascii="Arial" w:cs="Arial" w:eastAsia="Arial" w:hAnsi="Arial"/>
          <w:sz w:val="16"/>
          <w:szCs w:val="16"/>
          <w:b w:val="1"/>
          <w:bCs w:val="1"/>
          <w:color w:val="auto"/>
        </w:rPr>
        <w:t>SUN COMMUNITIES, INC.</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 -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307" w:lineRule="exact"/>
        <w:rPr>
          <w:sz w:val="20"/>
          <w:szCs w:val="20"/>
          <w:color w:val="auto"/>
        </w:rPr>
      </w:pPr>
    </w:p>
    <w:p>
      <w:pPr>
        <w:ind w:left="420" w:hanging="412"/>
        <w:spacing w:after="0"/>
        <w:tabs>
          <w:tab w:leader="none" w:pos="42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Notes and Other Receivables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certain information regarding notes and other receivables (in thousands):</w:t>
      </w: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7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60" w:type="dxa"/>
            <w:vAlign w:val="bottom"/>
            <w:gridSpan w:val="2"/>
          </w:tcPr>
          <w:p>
            <w:pPr>
              <w:ind w:left="200"/>
              <w:spacing w:after="0"/>
              <w:rPr>
                <w:sz w:val="20"/>
                <w:szCs w:val="20"/>
                <w:color w:val="auto"/>
              </w:rPr>
            </w:pPr>
            <w:r>
              <w:rPr>
                <w:rFonts w:ascii="Arial" w:cs="Arial" w:eastAsia="Arial" w:hAnsi="Arial"/>
                <w:sz w:val="15"/>
                <w:szCs w:val="15"/>
                <w:b w:val="1"/>
                <w:bCs w:val="1"/>
                <w:color w:val="auto"/>
              </w:rPr>
              <w:t>June 30, 2020</w:t>
            </w:r>
          </w:p>
        </w:tc>
        <w:tc>
          <w:tcPr>
            <w:tcW w:w="200" w:type="dxa"/>
            <w:vAlign w:val="bottom"/>
          </w:tcPr>
          <w:p>
            <w:pPr>
              <w:spacing w:after="0"/>
              <w:rPr>
                <w:sz w:val="17"/>
                <w:szCs w:val="17"/>
                <w:color w:val="auto"/>
              </w:rPr>
            </w:pPr>
          </w:p>
        </w:tc>
        <w:tc>
          <w:tcPr>
            <w:tcW w:w="1640" w:type="dxa"/>
            <w:vAlign w:val="bottom"/>
          </w:tcPr>
          <w:p>
            <w:pPr>
              <w:jc w:val="right"/>
              <w:ind w:right="224"/>
              <w:spacing w:after="0"/>
              <w:rPr>
                <w:sz w:val="20"/>
                <w:szCs w:val="20"/>
                <w:color w:val="auto"/>
              </w:rPr>
            </w:pPr>
            <w:r>
              <w:rPr>
                <w:rFonts w:ascii="Arial" w:cs="Arial" w:eastAsia="Arial" w:hAnsi="Arial"/>
                <w:sz w:val="15"/>
                <w:szCs w:val="15"/>
                <w:b w:val="1"/>
                <w:bCs w:val="1"/>
                <w:color w:val="auto"/>
                <w:w w:val="97"/>
              </w:rPr>
              <w:t>December 31, 2019</w:t>
            </w:r>
          </w:p>
        </w:tc>
      </w:tr>
      <w:tr>
        <w:trPr>
          <w:trHeight w:val="214"/>
        </w:trPr>
        <w:tc>
          <w:tcPr>
            <w:tcW w:w="74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Installment notes receivable on manufactured homes, net</w:t>
            </w:r>
          </w:p>
        </w:tc>
        <w:tc>
          <w:tcPr>
            <w:tcW w:w="280" w:type="dxa"/>
            <w:vAlign w:val="bottom"/>
            <w:tcBorders>
              <w:top w:val="single" w:sz="8" w:color="auto"/>
            </w:tcBorders>
            <w:shd w:val="clear" w:color="auto" w:fill="CCEEFF"/>
          </w:tcPr>
          <w:p>
            <w:pPr>
              <w:jc w:val="right"/>
              <w:ind w:right="104"/>
              <w:spacing w:after="0"/>
              <w:rPr>
                <w:sz w:val="20"/>
                <w:szCs w:val="20"/>
                <w:color w:val="auto"/>
              </w:rPr>
            </w:pPr>
            <w:r>
              <w:rPr>
                <w:rFonts w:ascii="Arial" w:cs="Arial" w:eastAsia="Arial" w:hAnsi="Arial"/>
                <w:sz w:val="15"/>
                <w:szCs w:val="15"/>
                <w:color w:val="auto"/>
                <w:w w:val="95"/>
              </w:rPr>
              <w:t>$</w:t>
            </w:r>
          </w:p>
        </w:tc>
        <w:tc>
          <w:tcPr>
            <w:tcW w:w="1560" w:type="dxa"/>
            <w:vAlign w:val="bottom"/>
            <w:tcBorders>
              <w:top w:val="single" w:sz="8" w:color="auto"/>
            </w:tcBorders>
            <w:shd w:val="clear" w:color="auto" w:fill="CCEEFF"/>
          </w:tcPr>
          <w:p>
            <w:pPr>
              <w:jc w:val="right"/>
              <w:ind w:right="84"/>
              <w:spacing w:after="0"/>
              <w:rPr>
                <w:sz w:val="20"/>
                <w:szCs w:val="20"/>
                <w:color w:val="auto"/>
              </w:rPr>
            </w:pPr>
            <w:r>
              <w:rPr>
                <w:rFonts w:ascii="Arial" w:cs="Arial" w:eastAsia="Arial" w:hAnsi="Arial"/>
                <w:sz w:val="15"/>
                <w:szCs w:val="15"/>
                <w:color w:val="auto"/>
              </w:rPr>
              <w:t>90,047</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w w:val="95"/>
              </w:rPr>
              <w:t>$</w:t>
            </w:r>
          </w:p>
        </w:tc>
        <w:tc>
          <w:tcPr>
            <w:tcW w:w="1640" w:type="dxa"/>
            <w:vAlign w:val="bottom"/>
            <w:tcBorders>
              <w:top w:val="single" w:sz="8" w:color="auto"/>
            </w:tcBorders>
            <w:shd w:val="clear" w:color="auto" w:fill="CCEEFF"/>
          </w:tcPr>
          <w:p>
            <w:pPr>
              <w:jc w:val="right"/>
              <w:ind w:right="64"/>
              <w:spacing w:after="0"/>
              <w:rPr>
                <w:sz w:val="20"/>
                <w:szCs w:val="20"/>
                <w:color w:val="auto"/>
              </w:rPr>
            </w:pPr>
            <w:r>
              <w:rPr>
                <w:rFonts w:ascii="Arial" w:cs="Arial" w:eastAsia="Arial" w:hAnsi="Arial"/>
                <w:sz w:val="15"/>
                <w:szCs w:val="15"/>
                <w:color w:val="auto"/>
              </w:rPr>
              <w:t>95,580</w:t>
            </w:r>
          </w:p>
        </w:tc>
      </w:tr>
      <w:tr>
        <w:trPr>
          <w:trHeight w:val="212"/>
        </w:trPr>
        <w:tc>
          <w:tcPr>
            <w:tcW w:w="7460" w:type="dxa"/>
            <w:vAlign w:val="bottom"/>
          </w:tcPr>
          <w:p>
            <w:pPr>
              <w:ind w:left="20"/>
              <w:spacing w:after="0"/>
              <w:rPr>
                <w:sz w:val="20"/>
                <w:szCs w:val="20"/>
                <w:color w:val="auto"/>
              </w:rPr>
            </w:pPr>
            <w:r>
              <w:rPr>
                <w:rFonts w:ascii="Arial" w:cs="Arial" w:eastAsia="Arial" w:hAnsi="Arial"/>
                <w:sz w:val="15"/>
                <w:szCs w:val="15"/>
                <w:color w:val="auto"/>
              </w:rPr>
              <w:t>Notes receivable from real estate developers</w:t>
            </w:r>
          </w:p>
        </w:tc>
        <w:tc>
          <w:tcPr>
            <w:tcW w:w="280" w:type="dxa"/>
            <w:vAlign w:val="bottom"/>
          </w:tcPr>
          <w:p>
            <w:pPr>
              <w:jc w:val="right"/>
              <w:ind w:right="104"/>
              <w:spacing w:after="0"/>
              <w:rPr>
                <w:sz w:val="20"/>
                <w:szCs w:val="20"/>
                <w:color w:val="auto"/>
              </w:rPr>
            </w:pPr>
            <w:r>
              <w:rPr>
                <w:rFonts w:ascii="Arial" w:cs="Arial" w:eastAsia="Arial" w:hAnsi="Arial"/>
                <w:sz w:val="15"/>
                <w:szCs w:val="15"/>
                <w:color w:val="auto"/>
                <w:w w:val="95"/>
              </w:rPr>
              <w:t>$</w:t>
            </w:r>
          </w:p>
        </w:tc>
        <w:tc>
          <w:tcPr>
            <w:tcW w:w="1560" w:type="dxa"/>
            <w:vAlign w:val="bottom"/>
          </w:tcPr>
          <w:p>
            <w:pPr>
              <w:jc w:val="right"/>
              <w:ind w:right="84"/>
              <w:spacing w:after="0"/>
              <w:rPr>
                <w:sz w:val="20"/>
                <w:szCs w:val="20"/>
                <w:color w:val="auto"/>
              </w:rPr>
            </w:pPr>
            <w:r>
              <w:rPr>
                <w:rFonts w:ascii="Arial" w:cs="Arial" w:eastAsia="Arial" w:hAnsi="Arial"/>
                <w:sz w:val="15"/>
                <w:szCs w:val="15"/>
                <w:color w:val="auto"/>
              </w:rPr>
              <w:t>40,707</w:t>
            </w:r>
          </w:p>
        </w:tc>
        <w:tc>
          <w:tcPr>
            <w:tcW w:w="100" w:type="dxa"/>
            <w:vAlign w:val="bottom"/>
          </w:tcPr>
          <w:p>
            <w:pPr>
              <w:spacing w:after="0"/>
              <w:rPr>
                <w:sz w:val="18"/>
                <w:szCs w:val="18"/>
                <w:color w:val="auto"/>
              </w:rPr>
            </w:pPr>
          </w:p>
        </w:tc>
        <w:tc>
          <w:tcPr>
            <w:tcW w:w="200" w:type="dxa"/>
            <w:vAlign w:val="bottom"/>
          </w:tcPr>
          <w:p>
            <w:pPr>
              <w:jc w:val="right"/>
              <w:ind w:right="24"/>
              <w:spacing w:after="0"/>
              <w:rPr>
                <w:sz w:val="20"/>
                <w:szCs w:val="20"/>
                <w:color w:val="auto"/>
              </w:rPr>
            </w:pPr>
            <w:r>
              <w:rPr>
                <w:rFonts w:ascii="Arial" w:cs="Arial" w:eastAsia="Arial" w:hAnsi="Arial"/>
                <w:sz w:val="15"/>
                <w:szCs w:val="15"/>
                <w:color w:val="auto"/>
                <w:w w:val="95"/>
              </w:rPr>
              <w:t>$</w:t>
            </w:r>
          </w:p>
        </w:tc>
        <w:tc>
          <w:tcPr>
            <w:tcW w:w="1640" w:type="dxa"/>
            <w:vAlign w:val="bottom"/>
          </w:tcPr>
          <w:p>
            <w:pPr>
              <w:jc w:val="right"/>
              <w:ind w:right="64"/>
              <w:spacing w:after="0"/>
              <w:rPr>
                <w:sz w:val="20"/>
                <w:szCs w:val="20"/>
                <w:color w:val="auto"/>
              </w:rPr>
            </w:pPr>
            <w:r>
              <w:rPr>
                <w:rFonts w:ascii="Arial" w:cs="Arial" w:eastAsia="Arial" w:hAnsi="Arial"/>
                <w:sz w:val="15"/>
                <w:szCs w:val="15"/>
                <w:color w:val="auto"/>
              </w:rPr>
              <w:t>18,960</w:t>
            </w:r>
          </w:p>
        </w:tc>
      </w:tr>
      <w:tr>
        <w:trPr>
          <w:trHeight w:val="216"/>
        </w:trPr>
        <w:tc>
          <w:tcPr>
            <w:tcW w:w="7460" w:type="dxa"/>
            <w:vAlign w:val="bottom"/>
            <w:shd w:val="clear" w:color="auto" w:fill="CCEEFF"/>
          </w:tcPr>
          <w:p>
            <w:pPr>
              <w:ind w:left="20"/>
              <w:spacing w:after="0"/>
              <w:rPr>
                <w:sz w:val="20"/>
                <w:szCs w:val="20"/>
                <w:color w:val="auto"/>
              </w:rPr>
            </w:pPr>
            <w:r>
              <w:rPr>
                <w:rFonts w:ascii="Arial" w:cs="Arial" w:eastAsia="Arial" w:hAnsi="Arial"/>
                <w:sz w:val="15"/>
                <w:szCs w:val="15"/>
                <w:color w:val="auto"/>
              </w:rPr>
              <w:t>Other receivables, net</w:t>
            </w:r>
          </w:p>
        </w:tc>
        <w:tc>
          <w:tcPr>
            <w:tcW w:w="280" w:type="dxa"/>
            <w:vAlign w:val="bottom"/>
            <w:tcBorders>
              <w:bottom w:val="single" w:sz="8" w:color="auto"/>
            </w:tcBorders>
            <w:shd w:val="clear" w:color="auto" w:fill="CCEEFF"/>
          </w:tcPr>
          <w:p>
            <w:pPr>
              <w:jc w:val="right"/>
              <w:ind w:right="104"/>
              <w:spacing w:after="0"/>
              <w:rPr>
                <w:sz w:val="20"/>
                <w:szCs w:val="20"/>
                <w:color w:val="auto"/>
              </w:rPr>
            </w:pPr>
            <w:r>
              <w:rPr>
                <w:rFonts w:ascii="Arial" w:cs="Arial" w:eastAsia="Arial" w:hAnsi="Arial"/>
                <w:sz w:val="15"/>
                <w:szCs w:val="15"/>
                <w:color w:val="auto"/>
                <w:w w:val="95"/>
              </w:rPr>
              <w:t>$</w:t>
            </w:r>
          </w:p>
        </w:tc>
        <w:tc>
          <w:tcPr>
            <w:tcW w:w="1560" w:type="dxa"/>
            <w:vAlign w:val="bottom"/>
            <w:tcBorders>
              <w:bottom w:val="single" w:sz="8" w:color="auto"/>
            </w:tcBorders>
            <w:shd w:val="clear" w:color="auto" w:fill="CCEEFF"/>
          </w:tcPr>
          <w:p>
            <w:pPr>
              <w:jc w:val="right"/>
              <w:ind w:right="84"/>
              <w:spacing w:after="0"/>
              <w:rPr>
                <w:sz w:val="20"/>
                <w:szCs w:val="20"/>
                <w:color w:val="auto"/>
              </w:rPr>
            </w:pPr>
            <w:r>
              <w:rPr>
                <w:rFonts w:ascii="Arial" w:cs="Arial" w:eastAsia="Arial" w:hAnsi="Arial"/>
                <w:sz w:val="15"/>
                <w:szCs w:val="15"/>
                <w:color w:val="auto"/>
              </w:rPr>
              <w:t>49,637</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w w:val="95"/>
              </w:rPr>
              <w:t>$</w:t>
            </w:r>
          </w:p>
        </w:tc>
        <w:tc>
          <w:tcPr>
            <w:tcW w:w="1640" w:type="dxa"/>
            <w:vAlign w:val="bottom"/>
            <w:tcBorders>
              <w:bottom w:val="single" w:sz="8" w:color="auto"/>
            </w:tcBorders>
            <w:shd w:val="clear" w:color="auto" w:fill="CCEEFF"/>
          </w:tcPr>
          <w:p>
            <w:pPr>
              <w:jc w:val="right"/>
              <w:ind w:right="64"/>
              <w:spacing w:after="0"/>
              <w:rPr>
                <w:sz w:val="20"/>
                <w:szCs w:val="20"/>
                <w:color w:val="auto"/>
              </w:rPr>
            </w:pPr>
            <w:r>
              <w:rPr>
                <w:rFonts w:ascii="Arial" w:cs="Arial" w:eastAsia="Arial" w:hAnsi="Arial"/>
                <w:sz w:val="15"/>
                <w:szCs w:val="15"/>
                <w:color w:val="auto"/>
              </w:rPr>
              <w:t>43,386</w:t>
            </w:r>
          </w:p>
        </w:tc>
      </w:tr>
      <w:tr>
        <w:trPr>
          <w:trHeight w:val="213"/>
        </w:trPr>
        <w:tc>
          <w:tcPr>
            <w:tcW w:w="7460" w:type="dxa"/>
            <w:vAlign w:val="bottom"/>
          </w:tcPr>
          <w:p>
            <w:pPr>
              <w:ind w:left="340"/>
              <w:spacing w:after="0"/>
              <w:rPr>
                <w:sz w:val="20"/>
                <w:szCs w:val="20"/>
                <w:color w:val="auto"/>
              </w:rPr>
            </w:pPr>
            <w:r>
              <w:rPr>
                <w:rFonts w:ascii="Arial" w:cs="Arial" w:eastAsia="Arial" w:hAnsi="Arial"/>
                <w:sz w:val="15"/>
                <w:szCs w:val="15"/>
                <w:b w:val="1"/>
                <w:bCs w:val="1"/>
                <w:color w:val="auto"/>
              </w:rPr>
              <w:t>Total Notes and Other Receivables, net</w:t>
            </w:r>
          </w:p>
        </w:tc>
        <w:tc>
          <w:tcPr>
            <w:tcW w:w="280" w:type="dxa"/>
            <w:vAlign w:val="bottom"/>
            <w:tcBorders>
              <w:bottom w:val="single" w:sz="8" w:color="auto"/>
            </w:tcBorders>
          </w:tcPr>
          <w:p>
            <w:pPr>
              <w:jc w:val="right"/>
              <w:ind w:right="104"/>
              <w:spacing w:after="0"/>
              <w:rPr>
                <w:sz w:val="20"/>
                <w:szCs w:val="20"/>
                <w:color w:val="auto"/>
              </w:rPr>
            </w:pPr>
            <w:r>
              <w:rPr>
                <w:rFonts w:ascii="Arial" w:cs="Arial" w:eastAsia="Arial" w:hAnsi="Arial"/>
                <w:sz w:val="15"/>
                <w:szCs w:val="15"/>
                <w:color w:val="auto"/>
                <w:w w:val="95"/>
              </w:rPr>
              <w:t>$</w:t>
            </w:r>
          </w:p>
        </w:tc>
        <w:tc>
          <w:tcPr>
            <w:tcW w:w="156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color w:val="auto"/>
              </w:rPr>
              <w:t>180,391</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w w:val="95"/>
              </w:rPr>
              <w:t>$</w:t>
            </w:r>
          </w:p>
        </w:tc>
        <w:tc>
          <w:tcPr>
            <w:tcW w:w="164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color w:val="auto"/>
              </w:rPr>
              <w:t>157,926</w:t>
            </w:r>
          </w:p>
        </w:tc>
      </w:tr>
      <w:tr>
        <w:trPr>
          <w:trHeight w:val="21"/>
        </w:trPr>
        <w:tc>
          <w:tcPr>
            <w:tcW w:w="74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Installment Notes Receivable on Manufactured Homes</w:t>
      </w:r>
    </w:p>
    <w:p>
      <w:pPr>
        <w:spacing w:after="0" w:line="25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Due to the adoption of ASU 2016-13, “</w:t>
      </w:r>
      <w:r>
        <w:rPr>
          <w:rFonts w:ascii="Arial" w:cs="Arial" w:eastAsia="Arial" w:hAnsi="Arial"/>
          <w:sz w:val="16"/>
          <w:szCs w:val="16"/>
          <w:i w:val="1"/>
          <w:iCs w:val="1"/>
          <w:color w:val="auto"/>
        </w:rPr>
        <w:t>Financial Instruments - Credit Losses</w:t>
      </w:r>
      <w:r>
        <w:rPr>
          <w:rFonts w:ascii="Arial" w:cs="Arial" w:eastAsia="Arial" w:hAnsi="Arial"/>
          <w:sz w:val="16"/>
          <w:szCs w:val="16"/>
          <w:color w:val="auto"/>
        </w:rPr>
        <w:t>” (Topic 326) Measurement of Credit Losses on Financial Instruments, effective January 1, 2020, installment notes receivable are measured at fair value pursuant to us electing the fair value option. The balances of installment notes receivable of $90.0 million (net of fair value adjustment of $0.9 million) and $95.6 million (net of allowance of $0.6 million) as of June 30, 2020 and December 31, 2019, respectively, are collateralized by manufactured homes. The notes represent financing to purchasers of manufactured homes primarily located in our communities and require monthly principal and interest payments. The notes had a net weighted average interest rate (net of servicing costs) and maturity of 7.9 percent and 15.4 years as of June 30, 2020, and 8.0 percent and 15.8 years as of December 31, 2019, respectively. Refer to Note 14, “Fair Value of Financial instruments,” and Note 17, “Recent Accounting Pronouncement,” for additional detail.</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The change in the aggregate balance of the installment notes receivable is as follows (in thousands):</w:t>
      </w: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7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60" w:type="dxa"/>
            <w:vAlign w:val="bottom"/>
            <w:gridSpan w:val="2"/>
          </w:tcPr>
          <w:p>
            <w:pPr>
              <w:jc w:val="center"/>
              <w:ind w:right="420"/>
              <w:spacing w:after="0"/>
              <w:rPr>
                <w:sz w:val="20"/>
                <w:szCs w:val="20"/>
                <w:color w:val="auto"/>
              </w:rPr>
            </w:pPr>
            <w:r>
              <w:rPr>
                <w:rFonts w:ascii="Arial" w:cs="Arial" w:eastAsia="Arial" w:hAnsi="Arial"/>
                <w:sz w:val="15"/>
                <w:szCs w:val="15"/>
                <w:b w:val="1"/>
                <w:bCs w:val="1"/>
                <w:color w:val="auto"/>
                <w:w w:val="92"/>
              </w:rPr>
              <w:t>Six Months Ended</w:t>
            </w:r>
          </w:p>
        </w:tc>
        <w:tc>
          <w:tcPr>
            <w:tcW w:w="200" w:type="dxa"/>
            <w:vAlign w:val="bottom"/>
          </w:tcPr>
          <w:p>
            <w:pPr>
              <w:spacing w:after="0"/>
              <w:rPr>
                <w:sz w:val="17"/>
                <w:szCs w:val="17"/>
                <w:color w:val="auto"/>
              </w:rPr>
            </w:pPr>
          </w:p>
        </w:tc>
        <w:tc>
          <w:tcPr>
            <w:tcW w:w="1640" w:type="dxa"/>
            <w:vAlign w:val="bottom"/>
          </w:tcPr>
          <w:p>
            <w:pPr>
              <w:jc w:val="right"/>
              <w:ind w:right="464"/>
              <w:spacing w:after="0"/>
              <w:rPr>
                <w:sz w:val="20"/>
                <w:szCs w:val="20"/>
                <w:color w:val="auto"/>
              </w:rPr>
            </w:pPr>
            <w:r>
              <w:rPr>
                <w:rFonts w:ascii="Arial" w:cs="Arial" w:eastAsia="Arial" w:hAnsi="Arial"/>
                <w:sz w:val="15"/>
                <w:szCs w:val="15"/>
                <w:b w:val="1"/>
                <w:bCs w:val="1"/>
                <w:color w:val="auto"/>
              </w:rPr>
              <w:t>Year Ended</w:t>
            </w:r>
          </w:p>
        </w:tc>
      </w:tr>
      <w:tr>
        <w:trPr>
          <w:trHeight w:val="220"/>
        </w:trPr>
        <w:tc>
          <w:tcPr>
            <w:tcW w:w="7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60" w:type="dxa"/>
            <w:vAlign w:val="bottom"/>
            <w:gridSpan w:val="2"/>
          </w:tcPr>
          <w:p>
            <w:pPr>
              <w:jc w:val="center"/>
              <w:ind w:right="420"/>
              <w:spacing w:after="0"/>
              <w:rPr>
                <w:sz w:val="20"/>
                <w:szCs w:val="20"/>
                <w:color w:val="auto"/>
              </w:rPr>
            </w:pPr>
            <w:r>
              <w:rPr>
                <w:rFonts w:ascii="Arial" w:cs="Arial" w:eastAsia="Arial" w:hAnsi="Arial"/>
                <w:sz w:val="15"/>
                <w:szCs w:val="15"/>
                <w:b w:val="1"/>
                <w:bCs w:val="1"/>
                <w:color w:val="auto"/>
                <w:w w:val="90"/>
              </w:rPr>
              <w:t>June 30, 2020</w:t>
            </w:r>
          </w:p>
        </w:tc>
        <w:tc>
          <w:tcPr>
            <w:tcW w:w="200" w:type="dxa"/>
            <w:vAlign w:val="bottom"/>
          </w:tcPr>
          <w:p>
            <w:pPr>
              <w:spacing w:after="0"/>
              <w:rPr>
                <w:sz w:val="19"/>
                <w:szCs w:val="19"/>
                <w:color w:val="auto"/>
              </w:rPr>
            </w:pPr>
          </w:p>
        </w:tc>
        <w:tc>
          <w:tcPr>
            <w:tcW w:w="1640" w:type="dxa"/>
            <w:vAlign w:val="bottom"/>
          </w:tcPr>
          <w:p>
            <w:pPr>
              <w:jc w:val="right"/>
              <w:ind w:right="224"/>
              <w:spacing w:after="0"/>
              <w:rPr>
                <w:sz w:val="20"/>
                <w:szCs w:val="20"/>
                <w:color w:val="auto"/>
              </w:rPr>
            </w:pPr>
            <w:r>
              <w:rPr>
                <w:rFonts w:ascii="Arial" w:cs="Arial" w:eastAsia="Arial" w:hAnsi="Arial"/>
                <w:sz w:val="15"/>
                <w:szCs w:val="15"/>
                <w:b w:val="1"/>
                <w:bCs w:val="1"/>
                <w:color w:val="auto"/>
                <w:w w:val="97"/>
              </w:rPr>
              <w:t>December 31, 2019</w:t>
            </w:r>
          </w:p>
        </w:tc>
      </w:tr>
      <w:tr>
        <w:trPr>
          <w:trHeight w:val="214"/>
        </w:trPr>
        <w:tc>
          <w:tcPr>
            <w:tcW w:w="73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Beginning balance of gross installment notes receivable</w:t>
            </w:r>
          </w:p>
        </w:tc>
        <w:tc>
          <w:tcPr>
            <w:tcW w:w="200" w:type="dxa"/>
            <w:vAlign w:val="bottom"/>
            <w:tcBorders>
              <w:top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w w:val="95"/>
              </w:rPr>
              <w:t>$</w:t>
            </w:r>
          </w:p>
        </w:tc>
        <w:tc>
          <w:tcPr>
            <w:tcW w:w="1640" w:type="dxa"/>
            <w:vAlign w:val="bottom"/>
            <w:tcBorders>
              <w:top w:val="single" w:sz="8" w:color="auto"/>
            </w:tcBorders>
            <w:shd w:val="clear" w:color="auto" w:fill="CCEEFF"/>
          </w:tcPr>
          <w:p>
            <w:pPr>
              <w:jc w:val="right"/>
              <w:ind w:right="84"/>
              <w:spacing w:after="0"/>
              <w:rPr>
                <w:sz w:val="20"/>
                <w:szCs w:val="20"/>
                <w:color w:val="auto"/>
              </w:rPr>
            </w:pPr>
            <w:r>
              <w:rPr>
                <w:rFonts w:ascii="Arial" w:cs="Arial" w:eastAsia="Arial" w:hAnsi="Arial"/>
                <w:sz w:val="15"/>
                <w:szCs w:val="15"/>
                <w:color w:val="auto"/>
              </w:rPr>
              <w:t>96,225</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w w:val="95"/>
              </w:rPr>
              <w:t>$</w:t>
            </w:r>
          </w:p>
        </w:tc>
        <w:tc>
          <w:tcPr>
            <w:tcW w:w="1640" w:type="dxa"/>
            <w:vAlign w:val="bottom"/>
            <w:tcBorders>
              <w:top w:val="single" w:sz="8" w:color="auto"/>
            </w:tcBorders>
            <w:shd w:val="clear" w:color="auto" w:fill="CCEEFF"/>
          </w:tcPr>
          <w:p>
            <w:pPr>
              <w:jc w:val="right"/>
              <w:ind w:right="64"/>
              <w:spacing w:after="0"/>
              <w:rPr>
                <w:sz w:val="20"/>
                <w:szCs w:val="20"/>
                <w:color w:val="auto"/>
              </w:rPr>
            </w:pPr>
            <w:r>
              <w:rPr>
                <w:rFonts w:ascii="Arial" w:cs="Arial" w:eastAsia="Arial" w:hAnsi="Arial"/>
                <w:sz w:val="15"/>
                <w:szCs w:val="15"/>
                <w:color w:val="auto"/>
              </w:rPr>
              <w:t>113,495</w:t>
            </w:r>
          </w:p>
        </w:tc>
      </w:tr>
      <w:tr>
        <w:trPr>
          <w:trHeight w:val="212"/>
        </w:trPr>
        <w:tc>
          <w:tcPr>
            <w:tcW w:w="7340" w:type="dxa"/>
            <w:vAlign w:val="bottom"/>
          </w:tcPr>
          <w:p>
            <w:pPr>
              <w:ind w:left="20"/>
              <w:spacing w:after="0"/>
              <w:rPr>
                <w:sz w:val="20"/>
                <w:szCs w:val="20"/>
                <w:color w:val="auto"/>
              </w:rPr>
            </w:pPr>
            <w:r>
              <w:rPr>
                <w:rFonts w:ascii="Arial" w:cs="Arial" w:eastAsia="Arial" w:hAnsi="Arial"/>
                <w:sz w:val="15"/>
                <w:szCs w:val="15"/>
                <w:color w:val="auto"/>
              </w:rPr>
              <w:t>Financed sale of manufactured homes</w:t>
            </w:r>
          </w:p>
        </w:tc>
        <w:tc>
          <w:tcPr>
            <w:tcW w:w="200" w:type="dxa"/>
            <w:vAlign w:val="bottom"/>
          </w:tcPr>
          <w:p>
            <w:pPr>
              <w:jc w:val="right"/>
              <w:ind w:right="24"/>
              <w:spacing w:after="0"/>
              <w:rPr>
                <w:sz w:val="20"/>
                <w:szCs w:val="20"/>
                <w:color w:val="auto"/>
              </w:rPr>
            </w:pPr>
            <w:r>
              <w:rPr>
                <w:rFonts w:ascii="Arial" w:cs="Arial" w:eastAsia="Arial" w:hAnsi="Arial"/>
                <w:sz w:val="15"/>
                <w:szCs w:val="15"/>
                <w:color w:val="auto"/>
                <w:w w:val="95"/>
              </w:rPr>
              <w:t>$</w:t>
            </w:r>
          </w:p>
        </w:tc>
        <w:tc>
          <w:tcPr>
            <w:tcW w:w="1640" w:type="dxa"/>
            <w:vAlign w:val="bottom"/>
          </w:tcPr>
          <w:p>
            <w:pPr>
              <w:jc w:val="right"/>
              <w:ind w:right="84"/>
              <w:spacing w:after="0"/>
              <w:rPr>
                <w:sz w:val="20"/>
                <w:szCs w:val="20"/>
                <w:color w:val="auto"/>
              </w:rPr>
            </w:pPr>
            <w:r>
              <w:rPr>
                <w:rFonts w:ascii="Arial" w:cs="Arial" w:eastAsia="Arial" w:hAnsi="Arial"/>
                <w:sz w:val="15"/>
                <w:szCs w:val="15"/>
                <w:color w:val="auto"/>
              </w:rPr>
              <w:t>1,036</w:t>
            </w:r>
          </w:p>
        </w:tc>
        <w:tc>
          <w:tcPr>
            <w:tcW w:w="220" w:type="dxa"/>
            <w:vAlign w:val="bottom"/>
          </w:tcPr>
          <w:p>
            <w:pPr>
              <w:spacing w:after="0"/>
              <w:rPr>
                <w:sz w:val="18"/>
                <w:szCs w:val="18"/>
                <w:color w:val="auto"/>
              </w:rPr>
            </w:pPr>
          </w:p>
        </w:tc>
        <w:tc>
          <w:tcPr>
            <w:tcW w:w="200" w:type="dxa"/>
            <w:vAlign w:val="bottom"/>
          </w:tcPr>
          <w:p>
            <w:pPr>
              <w:jc w:val="right"/>
              <w:ind w:right="24"/>
              <w:spacing w:after="0"/>
              <w:rPr>
                <w:sz w:val="20"/>
                <w:szCs w:val="20"/>
                <w:color w:val="auto"/>
              </w:rPr>
            </w:pPr>
            <w:r>
              <w:rPr>
                <w:rFonts w:ascii="Arial" w:cs="Arial" w:eastAsia="Arial" w:hAnsi="Arial"/>
                <w:sz w:val="15"/>
                <w:szCs w:val="15"/>
                <w:color w:val="auto"/>
                <w:w w:val="95"/>
              </w:rPr>
              <w:t>$</w:t>
            </w:r>
          </w:p>
        </w:tc>
        <w:tc>
          <w:tcPr>
            <w:tcW w:w="1640" w:type="dxa"/>
            <w:vAlign w:val="bottom"/>
          </w:tcPr>
          <w:p>
            <w:pPr>
              <w:jc w:val="right"/>
              <w:ind w:right="64"/>
              <w:spacing w:after="0"/>
              <w:rPr>
                <w:sz w:val="20"/>
                <w:szCs w:val="20"/>
                <w:color w:val="auto"/>
              </w:rPr>
            </w:pPr>
            <w:r>
              <w:rPr>
                <w:rFonts w:ascii="Arial" w:cs="Arial" w:eastAsia="Arial" w:hAnsi="Arial"/>
                <w:sz w:val="15"/>
                <w:szCs w:val="15"/>
                <w:color w:val="auto"/>
              </w:rPr>
              <w:t>341</w:t>
            </w:r>
          </w:p>
        </w:tc>
      </w:tr>
      <w:tr>
        <w:trPr>
          <w:trHeight w:val="220"/>
        </w:trPr>
        <w:tc>
          <w:tcPr>
            <w:tcW w:w="7340" w:type="dxa"/>
            <w:vAlign w:val="bottom"/>
            <w:shd w:val="clear" w:color="auto" w:fill="CCEEFF"/>
          </w:tcPr>
          <w:p>
            <w:pPr>
              <w:ind w:left="20"/>
              <w:spacing w:after="0"/>
              <w:rPr>
                <w:sz w:val="20"/>
                <w:szCs w:val="20"/>
                <w:color w:val="auto"/>
              </w:rPr>
            </w:pPr>
            <w:r>
              <w:rPr>
                <w:rFonts w:ascii="Arial" w:cs="Arial" w:eastAsia="Arial" w:hAnsi="Arial"/>
                <w:sz w:val="15"/>
                <w:szCs w:val="15"/>
                <w:color w:val="auto"/>
              </w:rPr>
              <w:t>Principal payments and payoffs from our customers</w:t>
            </w:r>
          </w:p>
        </w:tc>
        <w:tc>
          <w:tcPr>
            <w:tcW w:w="2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95"/>
              </w:rPr>
              <w:t>$</w:t>
            </w:r>
          </w:p>
        </w:tc>
        <w:tc>
          <w:tcPr>
            <w:tcW w:w="164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(4,058)</w:t>
            </w:r>
          </w:p>
        </w:tc>
        <w:tc>
          <w:tcPr>
            <w:tcW w:w="2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95"/>
              </w:rPr>
              <w:t>$</w:t>
            </w:r>
          </w:p>
        </w:tc>
        <w:tc>
          <w:tcPr>
            <w:tcW w:w="164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(8,710)</w:t>
            </w:r>
          </w:p>
        </w:tc>
      </w:tr>
      <w:tr>
        <w:trPr>
          <w:trHeight w:val="212"/>
        </w:trPr>
        <w:tc>
          <w:tcPr>
            <w:tcW w:w="734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Principal reduction from repossessed homes</w:t>
            </w:r>
          </w:p>
        </w:tc>
        <w:tc>
          <w:tcPr>
            <w:tcW w:w="20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w w:val="95"/>
              </w:rPr>
              <w:t>$</w:t>
            </w:r>
          </w:p>
        </w:tc>
        <w:tc>
          <w:tcPr>
            <w:tcW w:w="164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(2,281)</w:t>
            </w:r>
          </w:p>
        </w:tc>
        <w:tc>
          <w:tcPr>
            <w:tcW w:w="2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w w:val="95"/>
              </w:rPr>
              <w:t>$</w:t>
            </w:r>
          </w:p>
        </w:tc>
        <w:tc>
          <w:tcPr>
            <w:tcW w:w="164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(8,901)</w:t>
            </w:r>
          </w:p>
        </w:tc>
      </w:tr>
      <w:tr>
        <w:trPr>
          <w:trHeight w:val="214"/>
        </w:trPr>
        <w:tc>
          <w:tcPr>
            <w:tcW w:w="7340" w:type="dxa"/>
            <w:vAlign w:val="bottom"/>
            <w:shd w:val="clear" w:color="auto" w:fill="CCEEFF"/>
          </w:tcPr>
          <w:p>
            <w:pPr>
              <w:ind w:left="20"/>
              <w:spacing w:after="0"/>
              <w:rPr>
                <w:sz w:val="20"/>
                <w:szCs w:val="20"/>
                <w:color w:val="auto"/>
              </w:rPr>
            </w:pPr>
            <w:r>
              <w:rPr>
                <w:rFonts w:ascii="Arial" w:cs="Arial" w:eastAsia="Arial" w:hAnsi="Arial"/>
                <w:sz w:val="15"/>
                <w:szCs w:val="15"/>
                <w:color w:val="auto"/>
              </w:rPr>
              <w:t>Ending balance of gross installment notes receivable</w:t>
            </w:r>
          </w:p>
        </w:tc>
        <w:tc>
          <w:tcPr>
            <w:tcW w:w="2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95"/>
              </w:rPr>
              <w:t>$</w:t>
            </w:r>
          </w:p>
        </w:tc>
        <w:tc>
          <w:tcPr>
            <w:tcW w:w="164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rPr>
              <w:t>90,922</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95"/>
              </w:rPr>
              <w:t>$</w:t>
            </w:r>
          </w:p>
        </w:tc>
        <w:tc>
          <w:tcPr>
            <w:tcW w:w="164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96,225</w:t>
            </w:r>
          </w:p>
        </w:tc>
      </w:tr>
      <w:tr>
        <w:trPr>
          <w:trHeight w:val="256"/>
        </w:trPr>
        <w:tc>
          <w:tcPr>
            <w:tcW w:w="73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640" w:type="dxa"/>
            <w:vAlign w:val="bottom"/>
          </w:tcPr>
          <w:p>
            <w:pPr>
              <w:spacing w:after="0"/>
              <w:rPr>
                <w:sz w:val="22"/>
                <w:szCs w:val="22"/>
                <w:color w:val="auto"/>
              </w:rPr>
            </w:pPr>
          </w:p>
        </w:tc>
      </w:tr>
      <w:tr>
        <w:trPr>
          <w:trHeight w:val="216"/>
        </w:trPr>
        <w:tc>
          <w:tcPr>
            <w:tcW w:w="7340" w:type="dxa"/>
            <w:vAlign w:val="bottom"/>
            <w:shd w:val="clear" w:color="auto" w:fill="CCEEFF"/>
          </w:tcPr>
          <w:p>
            <w:pPr>
              <w:ind w:left="20"/>
              <w:spacing w:after="0"/>
              <w:rPr>
                <w:sz w:val="20"/>
                <w:szCs w:val="20"/>
                <w:color w:val="auto"/>
              </w:rPr>
            </w:pPr>
            <w:r>
              <w:rPr>
                <w:rFonts w:ascii="Arial" w:cs="Arial" w:eastAsia="Arial" w:hAnsi="Arial"/>
                <w:sz w:val="15"/>
                <w:szCs w:val="15"/>
                <w:color w:val="auto"/>
              </w:rPr>
              <w:t>Beginning balance of allowance for losses on installment notes receivables</w:t>
            </w:r>
          </w:p>
        </w:tc>
        <w:tc>
          <w:tcPr>
            <w:tcW w:w="2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95"/>
              </w:rPr>
              <w:t>$</w:t>
            </w:r>
          </w:p>
        </w:tc>
        <w:tc>
          <w:tcPr>
            <w:tcW w:w="164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(645)</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95"/>
              </w:rPr>
              <w:t>$</w:t>
            </w:r>
          </w:p>
        </w:tc>
        <w:tc>
          <w:tcPr>
            <w:tcW w:w="164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(697)</w:t>
            </w:r>
          </w:p>
        </w:tc>
      </w:tr>
      <w:tr>
        <w:trPr>
          <w:trHeight w:val="212"/>
        </w:trPr>
        <w:tc>
          <w:tcPr>
            <w:tcW w:w="7340" w:type="dxa"/>
            <w:vAlign w:val="bottom"/>
          </w:tcPr>
          <w:p>
            <w:pPr>
              <w:ind w:left="20"/>
              <w:spacing w:after="0"/>
              <w:rPr>
                <w:sz w:val="20"/>
                <w:szCs w:val="20"/>
                <w:color w:val="auto"/>
              </w:rPr>
            </w:pPr>
            <w:r>
              <w:rPr>
                <w:rFonts w:ascii="Arial" w:cs="Arial" w:eastAsia="Arial" w:hAnsi="Arial"/>
                <w:sz w:val="15"/>
                <w:szCs w:val="15"/>
                <w:color w:val="auto"/>
              </w:rPr>
              <w:t>Adjustment to allowance for losses</w:t>
            </w:r>
          </w:p>
        </w:tc>
        <w:tc>
          <w:tcPr>
            <w:tcW w:w="200" w:type="dxa"/>
            <w:vAlign w:val="bottom"/>
          </w:tcPr>
          <w:p>
            <w:pPr>
              <w:jc w:val="right"/>
              <w:ind w:right="24"/>
              <w:spacing w:after="0"/>
              <w:rPr>
                <w:sz w:val="20"/>
                <w:szCs w:val="20"/>
                <w:color w:val="auto"/>
              </w:rPr>
            </w:pPr>
            <w:r>
              <w:rPr>
                <w:rFonts w:ascii="Arial" w:cs="Arial" w:eastAsia="Arial" w:hAnsi="Arial"/>
                <w:sz w:val="15"/>
                <w:szCs w:val="15"/>
                <w:color w:val="auto"/>
                <w:w w:val="95"/>
              </w:rPr>
              <w:t>$</w:t>
            </w:r>
          </w:p>
        </w:tc>
        <w:tc>
          <w:tcPr>
            <w:tcW w:w="1860" w:type="dxa"/>
            <w:vAlign w:val="bottom"/>
            <w:gridSpan w:val="2"/>
          </w:tcPr>
          <w:p>
            <w:pPr>
              <w:jc w:val="right"/>
              <w:ind w:right="380"/>
              <w:spacing w:after="0"/>
              <w:rPr>
                <w:sz w:val="20"/>
                <w:szCs w:val="20"/>
                <w:color w:val="auto"/>
              </w:rPr>
            </w:pPr>
            <w:r>
              <w:rPr>
                <w:rFonts w:ascii="Arial" w:cs="Arial" w:eastAsia="Arial" w:hAnsi="Arial"/>
                <w:sz w:val="15"/>
                <w:szCs w:val="15"/>
                <w:color w:val="auto"/>
              </w:rPr>
              <w:t>—</w:t>
            </w:r>
          </w:p>
        </w:tc>
        <w:tc>
          <w:tcPr>
            <w:tcW w:w="200" w:type="dxa"/>
            <w:vAlign w:val="bottom"/>
          </w:tcPr>
          <w:p>
            <w:pPr>
              <w:jc w:val="right"/>
              <w:ind w:right="24"/>
              <w:spacing w:after="0"/>
              <w:rPr>
                <w:sz w:val="20"/>
                <w:szCs w:val="20"/>
                <w:color w:val="auto"/>
              </w:rPr>
            </w:pPr>
            <w:r>
              <w:rPr>
                <w:rFonts w:ascii="Arial" w:cs="Arial" w:eastAsia="Arial" w:hAnsi="Arial"/>
                <w:sz w:val="15"/>
                <w:szCs w:val="15"/>
                <w:color w:val="auto"/>
                <w:w w:val="95"/>
              </w:rPr>
              <w:t>$</w:t>
            </w:r>
          </w:p>
        </w:tc>
        <w:tc>
          <w:tcPr>
            <w:tcW w:w="1640" w:type="dxa"/>
            <w:vAlign w:val="bottom"/>
          </w:tcPr>
          <w:p>
            <w:pPr>
              <w:jc w:val="right"/>
              <w:ind w:right="64"/>
              <w:spacing w:after="0"/>
              <w:rPr>
                <w:sz w:val="20"/>
                <w:szCs w:val="20"/>
                <w:color w:val="auto"/>
              </w:rPr>
            </w:pPr>
            <w:r>
              <w:rPr>
                <w:rFonts w:ascii="Arial" w:cs="Arial" w:eastAsia="Arial" w:hAnsi="Arial"/>
                <w:sz w:val="15"/>
                <w:szCs w:val="15"/>
                <w:color w:val="auto"/>
              </w:rPr>
              <w:t>52</w:t>
            </w:r>
          </w:p>
        </w:tc>
      </w:tr>
      <w:tr>
        <w:trPr>
          <w:trHeight w:val="216"/>
        </w:trPr>
        <w:tc>
          <w:tcPr>
            <w:tcW w:w="7340" w:type="dxa"/>
            <w:vAlign w:val="bottom"/>
            <w:shd w:val="clear" w:color="auto" w:fill="CCEEFF"/>
          </w:tcPr>
          <w:p>
            <w:pPr>
              <w:ind w:left="20"/>
              <w:spacing w:after="0"/>
              <w:rPr>
                <w:sz w:val="20"/>
                <w:szCs w:val="20"/>
                <w:color w:val="auto"/>
              </w:rPr>
            </w:pPr>
            <w:r>
              <w:rPr>
                <w:rFonts w:ascii="Arial" w:cs="Arial" w:eastAsia="Arial" w:hAnsi="Arial"/>
                <w:sz w:val="15"/>
                <w:szCs w:val="15"/>
                <w:color w:val="auto"/>
              </w:rPr>
              <w:t>Initial fair value option adjustment (see Note 17)</w:t>
            </w:r>
          </w:p>
        </w:tc>
        <w:tc>
          <w:tcPr>
            <w:tcW w:w="20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w w:val="95"/>
              </w:rPr>
              <w:t>$</w:t>
            </w:r>
          </w:p>
        </w:tc>
        <w:tc>
          <w:tcPr>
            <w:tcW w:w="1640" w:type="dxa"/>
            <w:vAlign w:val="bottom"/>
            <w:tcBorders>
              <w:bottom w:val="single" w:sz="8" w:color="auto"/>
            </w:tcBorders>
            <w:shd w:val="clear" w:color="auto" w:fill="CCEEFF"/>
          </w:tcPr>
          <w:p>
            <w:pPr>
              <w:jc w:val="right"/>
              <w:ind w:right="84"/>
              <w:spacing w:after="0"/>
              <w:rPr>
                <w:sz w:val="20"/>
                <w:szCs w:val="20"/>
                <w:color w:val="auto"/>
              </w:rPr>
            </w:pPr>
            <w:r>
              <w:rPr>
                <w:rFonts w:ascii="Arial" w:cs="Arial" w:eastAsia="Arial" w:hAnsi="Arial"/>
                <w:sz w:val="15"/>
                <w:szCs w:val="15"/>
                <w:color w:val="auto"/>
              </w:rPr>
              <w:t>645</w:t>
            </w:r>
          </w:p>
        </w:tc>
        <w:tc>
          <w:tcPr>
            <w:tcW w:w="2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w w:val="95"/>
              </w:rPr>
              <w:t>$</w:t>
            </w:r>
          </w:p>
        </w:tc>
        <w:tc>
          <w:tcPr>
            <w:tcW w:w="1640" w:type="dxa"/>
            <w:vAlign w:val="bottom"/>
            <w:tcBorders>
              <w:bottom w:val="single" w:sz="8" w:color="auto"/>
            </w:tcBorders>
            <w:shd w:val="clear" w:color="auto" w:fill="CCEEFF"/>
          </w:tcPr>
          <w:p>
            <w:pPr>
              <w:jc w:val="right"/>
              <w:ind w:right="64"/>
              <w:spacing w:after="0"/>
              <w:rPr>
                <w:sz w:val="20"/>
                <w:szCs w:val="20"/>
                <w:color w:val="auto"/>
              </w:rPr>
            </w:pPr>
            <w:r>
              <w:rPr>
                <w:rFonts w:ascii="Arial" w:cs="Arial" w:eastAsia="Arial" w:hAnsi="Arial"/>
                <w:sz w:val="15"/>
                <w:szCs w:val="15"/>
                <w:color w:val="auto"/>
              </w:rPr>
              <w:t>—</w:t>
            </w:r>
          </w:p>
        </w:tc>
      </w:tr>
      <w:tr>
        <w:trPr>
          <w:trHeight w:val="210"/>
        </w:trPr>
        <w:tc>
          <w:tcPr>
            <w:tcW w:w="7340" w:type="dxa"/>
            <w:vAlign w:val="bottom"/>
          </w:tcPr>
          <w:p>
            <w:pPr>
              <w:ind w:left="20"/>
              <w:spacing w:after="0"/>
              <w:rPr>
                <w:sz w:val="20"/>
                <w:szCs w:val="20"/>
                <w:color w:val="auto"/>
              </w:rPr>
            </w:pPr>
            <w:r>
              <w:rPr>
                <w:rFonts w:ascii="Arial" w:cs="Arial" w:eastAsia="Arial" w:hAnsi="Arial"/>
                <w:sz w:val="15"/>
                <w:szCs w:val="15"/>
                <w:color w:val="auto"/>
              </w:rPr>
              <w:t>Ending balance of allowance for losses on installment notes receivables</w:t>
            </w:r>
          </w:p>
        </w:tc>
        <w:tc>
          <w:tcPr>
            <w:tcW w:w="200" w:type="dxa"/>
            <w:vAlign w:val="bottom"/>
          </w:tcPr>
          <w:p>
            <w:pPr>
              <w:jc w:val="right"/>
              <w:ind w:right="24"/>
              <w:spacing w:after="0"/>
              <w:rPr>
                <w:sz w:val="20"/>
                <w:szCs w:val="20"/>
                <w:color w:val="auto"/>
              </w:rPr>
            </w:pPr>
            <w:r>
              <w:rPr>
                <w:rFonts w:ascii="Arial" w:cs="Arial" w:eastAsia="Arial" w:hAnsi="Arial"/>
                <w:sz w:val="15"/>
                <w:szCs w:val="15"/>
                <w:color w:val="auto"/>
                <w:w w:val="95"/>
              </w:rPr>
              <w:t>$</w:t>
            </w:r>
          </w:p>
        </w:tc>
        <w:tc>
          <w:tcPr>
            <w:tcW w:w="1860" w:type="dxa"/>
            <w:vAlign w:val="bottom"/>
            <w:gridSpan w:val="2"/>
          </w:tcPr>
          <w:p>
            <w:pPr>
              <w:jc w:val="right"/>
              <w:ind w:right="380"/>
              <w:spacing w:after="0"/>
              <w:rPr>
                <w:sz w:val="20"/>
                <w:szCs w:val="20"/>
                <w:color w:val="auto"/>
              </w:rPr>
            </w:pPr>
            <w:r>
              <w:rPr>
                <w:rFonts w:ascii="Arial" w:cs="Arial" w:eastAsia="Arial" w:hAnsi="Arial"/>
                <w:sz w:val="15"/>
                <w:szCs w:val="15"/>
                <w:color w:val="auto"/>
              </w:rPr>
              <w:t>—</w:t>
            </w:r>
          </w:p>
        </w:tc>
        <w:tc>
          <w:tcPr>
            <w:tcW w:w="200" w:type="dxa"/>
            <w:vAlign w:val="bottom"/>
          </w:tcPr>
          <w:p>
            <w:pPr>
              <w:jc w:val="right"/>
              <w:ind w:right="24"/>
              <w:spacing w:after="0"/>
              <w:rPr>
                <w:sz w:val="20"/>
                <w:szCs w:val="20"/>
                <w:color w:val="auto"/>
              </w:rPr>
            </w:pPr>
            <w:r>
              <w:rPr>
                <w:rFonts w:ascii="Arial" w:cs="Arial" w:eastAsia="Arial" w:hAnsi="Arial"/>
                <w:sz w:val="15"/>
                <w:szCs w:val="15"/>
                <w:color w:val="auto"/>
                <w:w w:val="95"/>
              </w:rPr>
              <w:t>$</w:t>
            </w:r>
          </w:p>
        </w:tc>
        <w:tc>
          <w:tcPr>
            <w:tcW w:w="1640" w:type="dxa"/>
            <w:vAlign w:val="bottom"/>
          </w:tcPr>
          <w:p>
            <w:pPr>
              <w:jc w:val="right"/>
              <w:ind w:right="24"/>
              <w:spacing w:after="0"/>
              <w:rPr>
                <w:sz w:val="20"/>
                <w:szCs w:val="20"/>
                <w:color w:val="auto"/>
              </w:rPr>
            </w:pPr>
            <w:r>
              <w:rPr>
                <w:rFonts w:ascii="Arial" w:cs="Arial" w:eastAsia="Arial" w:hAnsi="Arial"/>
                <w:sz w:val="15"/>
                <w:szCs w:val="15"/>
                <w:color w:val="auto"/>
              </w:rPr>
              <w:t>(645)</w:t>
            </w:r>
          </w:p>
        </w:tc>
      </w:tr>
      <w:tr>
        <w:trPr>
          <w:trHeight w:val="260"/>
        </w:trPr>
        <w:tc>
          <w:tcPr>
            <w:tcW w:w="734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6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640" w:type="dxa"/>
            <w:vAlign w:val="bottom"/>
            <w:shd w:val="clear" w:color="auto" w:fill="CCEEFF"/>
          </w:tcPr>
          <w:p>
            <w:pPr>
              <w:spacing w:after="0"/>
              <w:rPr>
                <w:sz w:val="22"/>
                <w:szCs w:val="22"/>
                <w:color w:val="auto"/>
              </w:rPr>
            </w:pPr>
          </w:p>
        </w:tc>
      </w:tr>
      <w:tr>
        <w:trPr>
          <w:trHeight w:val="212"/>
        </w:trPr>
        <w:tc>
          <w:tcPr>
            <w:tcW w:w="7340" w:type="dxa"/>
            <w:vAlign w:val="bottom"/>
          </w:tcPr>
          <w:p>
            <w:pPr>
              <w:ind w:left="20"/>
              <w:spacing w:after="0"/>
              <w:rPr>
                <w:sz w:val="20"/>
                <w:szCs w:val="20"/>
                <w:color w:val="auto"/>
              </w:rPr>
            </w:pPr>
            <w:r>
              <w:rPr>
                <w:rFonts w:ascii="Arial" w:cs="Arial" w:eastAsia="Arial" w:hAnsi="Arial"/>
                <w:sz w:val="15"/>
                <w:szCs w:val="15"/>
                <w:color w:val="auto"/>
              </w:rPr>
              <w:t>Initial fair value option adjustment (see Note 17)</w:t>
            </w:r>
          </w:p>
        </w:tc>
        <w:tc>
          <w:tcPr>
            <w:tcW w:w="200" w:type="dxa"/>
            <w:vAlign w:val="bottom"/>
          </w:tcPr>
          <w:p>
            <w:pPr>
              <w:jc w:val="right"/>
              <w:ind w:right="24"/>
              <w:spacing w:after="0"/>
              <w:rPr>
                <w:sz w:val="20"/>
                <w:szCs w:val="20"/>
                <w:color w:val="auto"/>
              </w:rPr>
            </w:pPr>
            <w:r>
              <w:rPr>
                <w:rFonts w:ascii="Arial" w:cs="Arial" w:eastAsia="Arial" w:hAnsi="Arial"/>
                <w:sz w:val="15"/>
                <w:szCs w:val="15"/>
                <w:color w:val="auto"/>
                <w:w w:val="95"/>
              </w:rPr>
              <w:t>$</w:t>
            </w:r>
          </w:p>
        </w:tc>
        <w:tc>
          <w:tcPr>
            <w:tcW w:w="1640" w:type="dxa"/>
            <w:vAlign w:val="bottom"/>
          </w:tcPr>
          <w:p>
            <w:pPr>
              <w:jc w:val="right"/>
              <w:ind w:right="84"/>
              <w:spacing w:after="0"/>
              <w:rPr>
                <w:sz w:val="20"/>
                <w:szCs w:val="20"/>
                <w:color w:val="auto"/>
              </w:rPr>
            </w:pPr>
            <w:r>
              <w:rPr>
                <w:rFonts w:ascii="Arial" w:cs="Arial" w:eastAsia="Arial" w:hAnsi="Arial"/>
                <w:sz w:val="15"/>
                <w:szCs w:val="15"/>
                <w:color w:val="auto"/>
              </w:rPr>
              <w:t>991</w:t>
            </w:r>
          </w:p>
        </w:tc>
        <w:tc>
          <w:tcPr>
            <w:tcW w:w="220" w:type="dxa"/>
            <w:vAlign w:val="bottom"/>
          </w:tcPr>
          <w:p>
            <w:pPr>
              <w:spacing w:after="0"/>
              <w:rPr>
                <w:sz w:val="18"/>
                <w:szCs w:val="18"/>
                <w:color w:val="auto"/>
              </w:rPr>
            </w:pPr>
          </w:p>
        </w:tc>
        <w:tc>
          <w:tcPr>
            <w:tcW w:w="200" w:type="dxa"/>
            <w:vAlign w:val="bottom"/>
          </w:tcPr>
          <w:p>
            <w:pPr>
              <w:jc w:val="right"/>
              <w:ind w:right="24"/>
              <w:spacing w:after="0"/>
              <w:rPr>
                <w:sz w:val="20"/>
                <w:szCs w:val="20"/>
                <w:color w:val="auto"/>
              </w:rPr>
            </w:pPr>
            <w:r>
              <w:rPr>
                <w:rFonts w:ascii="Arial" w:cs="Arial" w:eastAsia="Arial" w:hAnsi="Arial"/>
                <w:sz w:val="15"/>
                <w:szCs w:val="15"/>
                <w:color w:val="auto"/>
                <w:w w:val="95"/>
              </w:rPr>
              <w:t>$</w:t>
            </w:r>
          </w:p>
        </w:tc>
        <w:tc>
          <w:tcPr>
            <w:tcW w:w="1640" w:type="dxa"/>
            <w:vAlign w:val="bottom"/>
          </w:tcPr>
          <w:p>
            <w:pPr>
              <w:jc w:val="right"/>
              <w:ind w:right="64"/>
              <w:spacing w:after="0"/>
              <w:rPr>
                <w:sz w:val="20"/>
                <w:szCs w:val="20"/>
                <w:color w:val="auto"/>
              </w:rPr>
            </w:pPr>
            <w:r>
              <w:rPr>
                <w:rFonts w:ascii="Arial" w:cs="Arial" w:eastAsia="Arial" w:hAnsi="Arial"/>
                <w:sz w:val="15"/>
                <w:szCs w:val="15"/>
                <w:color w:val="auto"/>
              </w:rPr>
              <w:t>—</w:t>
            </w:r>
          </w:p>
        </w:tc>
      </w:tr>
      <w:tr>
        <w:trPr>
          <w:trHeight w:val="216"/>
        </w:trPr>
        <w:tc>
          <w:tcPr>
            <w:tcW w:w="7340" w:type="dxa"/>
            <w:vAlign w:val="bottom"/>
            <w:shd w:val="clear" w:color="auto" w:fill="CCEEFF"/>
          </w:tcPr>
          <w:p>
            <w:pPr>
              <w:ind w:left="20"/>
              <w:spacing w:after="0"/>
              <w:rPr>
                <w:sz w:val="20"/>
                <w:szCs w:val="20"/>
                <w:color w:val="auto"/>
              </w:rPr>
            </w:pPr>
            <w:r>
              <w:rPr>
                <w:rFonts w:ascii="Arial" w:cs="Arial" w:eastAsia="Arial" w:hAnsi="Arial"/>
                <w:sz w:val="15"/>
                <w:szCs w:val="15"/>
                <w:color w:val="auto"/>
              </w:rPr>
              <w:t>Fair value adjustment</w:t>
            </w:r>
          </w:p>
        </w:tc>
        <w:tc>
          <w:tcPr>
            <w:tcW w:w="20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w w:val="95"/>
              </w:rPr>
              <w:t>$</w:t>
            </w:r>
          </w:p>
        </w:tc>
        <w:tc>
          <w:tcPr>
            <w:tcW w:w="164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rPr>
              <w:t>(1,866)</w:t>
            </w:r>
          </w:p>
        </w:tc>
        <w:tc>
          <w:tcPr>
            <w:tcW w:w="2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w w:val="95"/>
              </w:rPr>
              <w:t>$</w:t>
            </w:r>
          </w:p>
        </w:tc>
        <w:tc>
          <w:tcPr>
            <w:tcW w:w="1640" w:type="dxa"/>
            <w:vAlign w:val="bottom"/>
            <w:tcBorders>
              <w:bottom w:val="single" w:sz="8" w:color="auto"/>
            </w:tcBorders>
            <w:shd w:val="clear" w:color="auto" w:fill="CCEEFF"/>
          </w:tcPr>
          <w:p>
            <w:pPr>
              <w:jc w:val="right"/>
              <w:ind w:right="64"/>
              <w:spacing w:after="0"/>
              <w:rPr>
                <w:sz w:val="20"/>
                <w:szCs w:val="20"/>
                <w:color w:val="auto"/>
              </w:rPr>
            </w:pPr>
            <w:r>
              <w:rPr>
                <w:rFonts w:ascii="Arial" w:cs="Arial" w:eastAsia="Arial" w:hAnsi="Arial"/>
                <w:sz w:val="15"/>
                <w:szCs w:val="15"/>
                <w:color w:val="auto"/>
              </w:rPr>
              <w:t>—</w:t>
            </w:r>
          </w:p>
        </w:tc>
      </w:tr>
      <w:tr>
        <w:trPr>
          <w:trHeight w:val="209"/>
        </w:trPr>
        <w:tc>
          <w:tcPr>
            <w:tcW w:w="7340" w:type="dxa"/>
            <w:vAlign w:val="bottom"/>
          </w:tcPr>
          <w:p>
            <w:pPr>
              <w:ind w:left="20"/>
              <w:spacing w:after="0"/>
              <w:rPr>
                <w:sz w:val="20"/>
                <w:szCs w:val="20"/>
                <w:color w:val="auto"/>
              </w:rPr>
            </w:pPr>
            <w:r>
              <w:rPr>
                <w:rFonts w:ascii="Arial" w:cs="Arial" w:eastAsia="Arial" w:hAnsi="Arial"/>
                <w:sz w:val="15"/>
                <w:szCs w:val="15"/>
                <w:color w:val="auto"/>
              </w:rPr>
              <w:t>Fair value adjustments on gross installment notes receivable</w:t>
            </w:r>
          </w:p>
        </w:tc>
        <w:tc>
          <w:tcPr>
            <w:tcW w:w="200" w:type="dxa"/>
            <w:vAlign w:val="bottom"/>
          </w:tcPr>
          <w:p>
            <w:pPr>
              <w:jc w:val="right"/>
              <w:ind w:right="24"/>
              <w:spacing w:after="0"/>
              <w:rPr>
                <w:sz w:val="20"/>
                <w:szCs w:val="20"/>
                <w:color w:val="auto"/>
              </w:rPr>
            </w:pPr>
            <w:r>
              <w:rPr>
                <w:rFonts w:ascii="Arial" w:cs="Arial" w:eastAsia="Arial" w:hAnsi="Arial"/>
                <w:sz w:val="15"/>
                <w:szCs w:val="15"/>
                <w:color w:val="auto"/>
                <w:w w:val="95"/>
              </w:rPr>
              <w:t>$</w:t>
            </w:r>
          </w:p>
        </w:tc>
        <w:tc>
          <w:tcPr>
            <w:tcW w:w="1640" w:type="dxa"/>
            <w:vAlign w:val="bottom"/>
          </w:tcPr>
          <w:p>
            <w:pPr>
              <w:jc w:val="right"/>
              <w:ind w:right="44"/>
              <w:spacing w:after="0"/>
              <w:rPr>
                <w:sz w:val="20"/>
                <w:szCs w:val="20"/>
                <w:color w:val="auto"/>
              </w:rPr>
            </w:pPr>
            <w:r>
              <w:rPr>
                <w:rFonts w:ascii="Arial" w:cs="Arial" w:eastAsia="Arial" w:hAnsi="Arial"/>
                <w:sz w:val="15"/>
                <w:szCs w:val="15"/>
                <w:color w:val="auto"/>
              </w:rPr>
              <w:t>(875)</w:t>
            </w:r>
          </w:p>
        </w:tc>
        <w:tc>
          <w:tcPr>
            <w:tcW w:w="220" w:type="dxa"/>
            <w:vAlign w:val="bottom"/>
          </w:tcPr>
          <w:p>
            <w:pPr>
              <w:spacing w:after="0"/>
              <w:rPr>
                <w:sz w:val="18"/>
                <w:szCs w:val="18"/>
                <w:color w:val="auto"/>
              </w:rPr>
            </w:pPr>
          </w:p>
        </w:tc>
        <w:tc>
          <w:tcPr>
            <w:tcW w:w="200" w:type="dxa"/>
            <w:vAlign w:val="bottom"/>
          </w:tcPr>
          <w:p>
            <w:pPr>
              <w:jc w:val="right"/>
              <w:ind w:right="24"/>
              <w:spacing w:after="0"/>
              <w:rPr>
                <w:sz w:val="20"/>
                <w:szCs w:val="20"/>
                <w:color w:val="auto"/>
              </w:rPr>
            </w:pPr>
            <w:r>
              <w:rPr>
                <w:rFonts w:ascii="Arial" w:cs="Arial" w:eastAsia="Arial" w:hAnsi="Arial"/>
                <w:sz w:val="15"/>
                <w:szCs w:val="15"/>
                <w:color w:val="auto"/>
                <w:w w:val="95"/>
              </w:rPr>
              <w:t>$</w:t>
            </w:r>
          </w:p>
        </w:tc>
        <w:tc>
          <w:tcPr>
            <w:tcW w:w="1640" w:type="dxa"/>
            <w:vAlign w:val="bottom"/>
          </w:tcPr>
          <w:p>
            <w:pPr>
              <w:jc w:val="right"/>
              <w:ind w:right="64"/>
              <w:spacing w:after="0"/>
              <w:rPr>
                <w:sz w:val="20"/>
                <w:szCs w:val="20"/>
                <w:color w:val="auto"/>
              </w:rPr>
            </w:pPr>
            <w:r>
              <w:rPr>
                <w:rFonts w:ascii="Arial" w:cs="Arial" w:eastAsia="Arial" w:hAnsi="Arial"/>
                <w:sz w:val="15"/>
                <w:szCs w:val="15"/>
                <w:color w:val="auto"/>
              </w:rPr>
              <w:t>—</w:t>
            </w:r>
          </w:p>
        </w:tc>
      </w:tr>
      <w:tr>
        <w:trPr>
          <w:trHeight w:val="261"/>
        </w:trPr>
        <w:tc>
          <w:tcPr>
            <w:tcW w:w="734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640" w:type="dxa"/>
            <w:vAlign w:val="bottom"/>
            <w:tcBorders>
              <w:bottom w:val="single" w:sz="8" w:color="auto"/>
            </w:tcBorders>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640" w:type="dxa"/>
            <w:vAlign w:val="bottom"/>
            <w:tcBorders>
              <w:bottom w:val="single" w:sz="8" w:color="auto"/>
            </w:tcBorders>
            <w:shd w:val="clear" w:color="auto" w:fill="CCEEFF"/>
          </w:tcPr>
          <w:p>
            <w:pPr>
              <w:spacing w:after="0"/>
              <w:rPr>
                <w:sz w:val="22"/>
                <w:szCs w:val="22"/>
                <w:color w:val="auto"/>
              </w:rPr>
            </w:pPr>
          </w:p>
        </w:tc>
      </w:tr>
      <w:tr>
        <w:trPr>
          <w:trHeight w:val="209"/>
        </w:trPr>
        <w:tc>
          <w:tcPr>
            <w:tcW w:w="7340" w:type="dxa"/>
            <w:vAlign w:val="bottom"/>
          </w:tcPr>
          <w:p>
            <w:pPr>
              <w:ind w:left="20"/>
              <w:spacing w:after="0"/>
              <w:rPr>
                <w:sz w:val="20"/>
                <w:szCs w:val="20"/>
                <w:color w:val="auto"/>
              </w:rPr>
            </w:pPr>
            <w:r>
              <w:rPr>
                <w:rFonts w:ascii="Arial" w:cs="Arial" w:eastAsia="Arial" w:hAnsi="Arial"/>
                <w:sz w:val="15"/>
                <w:szCs w:val="15"/>
                <w:color w:val="auto"/>
              </w:rPr>
              <w:t>Ending balance of installment notes receivable, net</w:t>
            </w:r>
          </w:p>
        </w:tc>
        <w:tc>
          <w:tcPr>
            <w:tcW w:w="20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w w:val="95"/>
              </w:rPr>
              <w:t>$</w:t>
            </w:r>
          </w:p>
        </w:tc>
        <w:tc>
          <w:tcPr>
            <w:tcW w:w="164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color w:val="auto"/>
              </w:rPr>
              <w:t>90,047</w:t>
            </w:r>
          </w:p>
        </w:tc>
        <w:tc>
          <w:tcPr>
            <w:tcW w:w="220" w:type="dxa"/>
            <w:vAlign w:val="bottom"/>
          </w:tcPr>
          <w:p>
            <w:pPr>
              <w:spacing w:after="0"/>
              <w:rPr>
                <w:sz w:val="18"/>
                <w:szCs w:val="18"/>
                <w:color w:val="auto"/>
              </w:rPr>
            </w:pPr>
          </w:p>
        </w:tc>
        <w:tc>
          <w:tcPr>
            <w:tcW w:w="20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w w:val="95"/>
              </w:rPr>
              <w:t>$</w:t>
            </w:r>
          </w:p>
        </w:tc>
        <w:tc>
          <w:tcPr>
            <w:tcW w:w="164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color w:val="auto"/>
              </w:rPr>
              <w:t>95,580</w:t>
            </w:r>
          </w:p>
        </w:tc>
      </w:tr>
      <w:tr>
        <w:trPr>
          <w:trHeight w:val="20"/>
        </w:trPr>
        <w:tc>
          <w:tcPr>
            <w:tcW w:w="7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Notes Receivable from Real Estate Developers</w:t>
      </w:r>
    </w:p>
    <w:p>
      <w:pPr>
        <w:spacing w:after="0" w:line="25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As of June 30, 2020 and December 31, 2019, the notes receivable balances of $40.7 million and $19.0 million, respectively are, primarily comprised of long term construction loans provided to real estate developers. The carrying values of the notes generally approximate their fair market values either due to the nature of the loan and/or the note being secured by underlying collateral and/or personal guarantees. The notes receivable from real estate developers have a net weighted average interest rate and maturity of 6.1 percent and 1.8 years as of June 30, 2020, and 7.0 percent and 1.3 years as of December 31, 2019, respectively. As of June 30, 2020, real estate developers collectively have $11.0 million of undrawn funds on their loans. Refer to Note 14, “Fair Value of Financial Instruments,” and Note 17, “Recent Accounting Pronouncements,” for additional detail.</w:t>
      </w:r>
    </w:p>
    <w:p>
      <w:pPr>
        <w:sectPr>
          <w:pgSz w:w="11900" w:h="16838" w:orient="portrait"/>
          <w:cols w:equalWidth="0" w:num="1">
            <w:col w:w="11240"/>
          </w:cols>
          <w:pgMar w:left="320" w:top="12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type w:val="continuous"/>
        </w:sectPr>
      </w:pPr>
    </w:p>
    <w:bookmarkStart w:id="15" w:name="page16"/>
    <w:bookmarkEnd w:id="15"/>
    <w:p>
      <w:pPr>
        <w:jc w:val="center"/>
        <w:spacing w:after="0"/>
        <w:rPr>
          <w:sz w:val="20"/>
          <w:szCs w:val="20"/>
          <w:color w:val="auto"/>
        </w:rPr>
      </w:pPr>
      <w:r>
        <w:rPr>
          <w:rFonts w:ascii="Arial" w:cs="Arial" w:eastAsia="Arial" w:hAnsi="Arial"/>
          <w:sz w:val="16"/>
          <w:szCs w:val="16"/>
          <w:b w:val="1"/>
          <w:bCs w:val="1"/>
          <w:color w:val="auto"/>
        </w:rPr>
        <w:t>SUN COMMUNITIES, INC.</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 -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Receivables</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of June 30, 2020, other receivables were comprised of amounts due from: residents for rent, utility charges, fees and other pass through charges of $8.5 million (net of allowance of $5.1 million), home sale proceeds of $19.2 million, insurance receivables of $7.9 million, and other receivables of $14.0 million. As of December 31, 2019, other receivables were comprised of amounts due from: residents for rent, utility charges, fees and other pass through charges of $7.8 million (net of allowance of $2.2 million), home sale proceeds of $20.9 million, insurance and other receivables of $9.9 million, and other receivables of $4.8 million.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Intangible Assets</w:t>
      </w:r>
    </w:p>
    <w:p>
      <w:pPr>
        <w:spacing w:after="0" w:line="256"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Our intangible assets include in-place leases, franchise agreements and other intangible assets. These intangible assets are recorded in Other assets, net on the Consolidated Balance Sheets. In accordance with FASB ASC Topic 842, below market leases are now classified as a right of use asset.</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The gross carrying amounts, and accumulated amortization are as follows (in thousands):</w:t>
      </w: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38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820" w:type="dxa"/>
            <w:vAlign w:val="bottom"/>
            <w:tcBorders>
              <w:bottom w:val="single" w:sz="8" w:color="auto"/>
            </w:tcBorders>
            <w:gridSpan w:val="4"/>
          </w:tcPr>
          <w:p>
            <w:pPr>
              <w:jc w:val="right"/>
              <w:ind w:right="964"/>
              <w:spacing w:after="0"/>
              <w:rPr>
                <w:sz w:val="20"/>
                <w:szCs w:val="20"/>
                <w:color w:val="auto"/>
              </w:rPr>
            </w:pPr>
            <w:r>
              <w:rPr>
                <w:rFonts w:ascii="Arial" w:cs="Arial" w:eastAsia="Arial" w:hAnsi="Arial"/>
                <w:sz w:val="15"/>
                <w:szCs w:val="15"/>
                <w:b w:val="1"/>
                <w:bCs w:val="1"/>
                <w:color w:val="auto"/>
              </w:rPr>
              <w:t>June 30, 2020</w:t>
            </w:r>
          </w:p>
        </w:tc>
        <w:tc>
          <w:tcPr>
            <w:tcW w:w="24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820" w:type="dxa"/>
            <w:vAlign w:val="bottom"/>
            <w:tcBorders>
              <w:bottom w:val="single" w:sz="8" w:color="auto"/>
            </w:tcBorders>
            <w:gridSpan w:val="4"/>
          </w:tcPr>
          <w:p>
            <w:pPr>
              <w:jc w:val="right"/>
              <w:ind w:right="784"/>
              <w:spacing w:after="0"/>
              <w:rPr>
                <w:sz w:val="20"/>
                <w:szCs w:val="20"/>
                <w:color w:val="auto"/>
              </w:rPr>
            </w:pPr>
            <w:r>
              <w:rPr>
                <w:rFonts w:ascii="Arial" w:cs="Arial" w:eastAsia="Arial" w:hAnsi="Arial"/>
                <w:sz w:val="15"/>
                <w:szCs w:val="15"/>
                <w:b w:val="1"/>
                <w:bCs w:val="1"/>
                <w:color w:val="auto"/>
              </w:rPr>
              <w:t>December 31, 2019</w:t>
            </w:r>
          </w:p>
        </w:tc>
      </w:tr>
      <w:tr>
        <w:trPr>
          <w:trHeight w:val="169"/>
        </w:trPr>
        <w:tc>
          <w:tcPr>
            <w:tcW w:w="38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gridSpan w:val="2"/>
          </w:tcPr>
          <w:p>
            <w:pPr>
              <w:ind w:left="60"/>
              <w:spacing w:after="0" w:line="169" w:lineRule="exact"/>
              <w:rPr>
                <w:sz w:val="20"/>
                <w:szCs w:val="20"/>
                <w:color w:val="auto"/>
              </w:rPr>
            </w:pPr>
            <w:r>
              <w:rPr>
                <w:rFonts w:ascii="Arial" w:cs="Arial" w:eastAsia="Arial" w:hAnsi="Arial"/>
                <w:sz w:val="15"/>
                <w:szCs w:val="15"/>
                <w:b w:val="1"/>
                <w:bCs w:val="1"/>
                <w:color w:val="auto"/>
              </w:rPr>
              <w:t>Gross Carrying</w:t>
            </w:r>
          </w:p>
        </w:tc>
        <w:tc>
          <w:tcPr>
            <w:tcW w:w="180" w:type="dxa"/>
            <w:vAlign w:val="bottom"/>
          </w:tcPr>
          <w:p>
            <w:pPr>
              <w:spacing w:after="0"/>
              <w:rPr>
                <w:sz w:val="14"/>
                <w:szCs w:val="14"/>
                <w:color w:val="auto"/>
              </w:rPr>
            </w:pPr>
          </w:p>
        </w:tc>
        <w:tc>
          <w:tcPr>
            <w:tcW w:w="1480" w:type="dxa"/>
            <w:vAlign w:val="bottom"/>
            <w:gridSpan w:val="2"/>
          </w:tcPr>
          <w:p>
            <w:pPr>
              <w:ind w:left="100"/>
              <w:spacing w:after="0" w:line="169" w:lineRule="exact"/>
              <w:rPr>
                <w:sz w:val="20"/>
                <w:szCs w:val="20"/>
                <w:color w:val="auto"/>
              </w:rPr>
            </w:pPr>
            <w:r>
              <w:rPr>
                <w:rFonts w:ascii="Arial" w:cs="Arial" w:eastAsia="Arial" w:hAnsi="Arial"/>
                <w:sz w:val="15"/>
                <w:szCs w:val="15"/>
                <w:b w:val="1"/>
                <w:bCs w:val="1"/>
                <w:color w:val="auto"/>
              </w:rPr>
              <w:t>Accumulated</w:t>
            </w:r>
          </w:p>
        </w:tc>
        <w:tc>
          <w:tcPr>
            <w:tcW w:w="140" w:type="dxa"/>
            <w:vAlign w:val="bottom"/>
          </w:tcPr>
          <w:p>
            <w:pPr>
              <w:spacing w:after="0"/>
              <w:rPr>
                <w:sz w:val="14"/>
                <w:szCs w:val="14"/>
                <w:color w:val="auto"/>
              </w:rPr>
            </w:pPr>
          </w:p>
        </w:tc>
        <w:tc>
          <w:tcPr>
            <w:tcW w:w="1400" w:type="dxa"/>
            <w:vAlign w:val="bottom"/>
            <w:gridSpan w:val="2"/>
          </w:tcPr>
          <w:p>
            <w:pPr>
              <w:ind w:left="60"/>
              <w:spacing w:after="0" w:line="169" w:lineRule="exact"/>
              <w:rPr>
                <w:sz w:val="20"/>
                <w:szCs w:val="20"/>
                <w:color w:val="auto"/>
              </w:rPr>
            </w:pPr>
            <w:r>
              <w:rPr>
                <w:rFonts w:ascii="Arial" w:cs="Arial" w:eastAsia="Arial" w:hAnsi="Arial"/>
                <w:sz w:val="15"/>
                <w:szCs w:val="15"/>
                <w:b w:val="1"/>
                <w:bCs w:val="1"/>
                <w:color w:val="auto"/>
              </w:rPr>
              <w:t>Gross Carrying</w:t>
            </w:r>
          </w:p>
        </w:tc>
        <w:tc>
          <w:tcPr>
            <w:tcW w:w="180" w:type="dxa"/>
            <w:vAlign w:val="bottom"/>
          </w:tcPr>
          <w:p>
            <w:pPr>
              <w:spacing w:after="0"/>
              <w:rPr>
                <w:sz w:val="14"/>
                <w:szCs w:val="14"/>
                <w:color w:val="auto"/>
              </w:rPr>
            </w:pPr>
          </w:p>
        </w:tc>
        <w:tc>
          <w:tcPr>
            <w:tcW w:w="1240" w:type="dxa"/>
            <w:vAlign w:val="bottom"/>
          </w:tcPr>
          <w:p>
            <w:pPr>
              <w:jc w:val="right"/>
              <w:ind w:right="204"/>
              <w:spacing w:after="0" w:line="169" w:lineRule="exact"/>
              <w:rPr>
                <w:sz w:val="20"/>
                <w:szCs w:val="20"/>
                <w:color w:val="auto"/>
              </w:rPr>
            </w:pPr>
            <w:r>
              <w:rPr>
                <w:rFonts w:ascii="Arial" w:cs="Arial" w:eastAsia="Arial" w:hAnsi="Arial"/>
                <w:sz w:val="15"/>
                <w:szCs w:val="15"/>
                <w:b w:val="1"/>
                <w:bCs w:val="1"/>
                <w:color w:val="auto"/>
                <w:w w:val="99"/>
              </w:rPr>
              <w:t>Accumulated</w:t>
            </w:r>
          </w:p>
        </w:tc>
      </w:tr>
      <w:tr>
        <w:trPr>
          <w:trHeight w:val="202"/>
        </w:trPr>
        <w:tc>
          <w:tcPr>
            <w:tcW w:w="3860" w:type="dxa"/>
            <w:vAlign w:val="bottom"/>
            <w:tcBorders>
              <w:bottom w:val="single" w:sz="8" w:color="CCEEFF"/>
            </w:tcBorders>
          </w:tcPr>
          <w:p>
            <w:pPr>
              <w:ind w:left="20"/>
              <w:spacing w:after="0"/>
              <w:rPr>
                <w:sz w:val="20"/>
                <w:szCs w:val="20"/>
                <w:color w:val="auto"/>
              </w:rPr>
            </w:pPr>
            <w:r>
              <w:rPr>
                <w:rFonts w:ascii="Arial" w:cs="Arial" w:eastAsia="Arial" w:hAnsi="Arial"/>
                <w:sz w:val="15"/>
                <w:szCs w:val="15"/>
                <w:b w:val="1"/>
                <w:bCs w:val="1"/>
                <w:color w:val="auto"/>
              </w:rPr>
              <w:t>Intangible Asset</w:t>
            </w: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3"/>
              </w:rPr>
              <w:t>Useful Life</w:t>
            </w:r>
          </w:p>
        </w:tc>
        <w:tc>
          <w:tcPr>
            <w:tcW w:w="24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364"/>
              <w:spacing w:after="0"/>
              <w:rPr>
                <w:sz w:val="20"/>
                <w:szCs w:val="20"/>
                <w:color w:val="auto"/>
              </w:rPr>
            </w:pPr>
            <w:r>
              <w:rPr>
                <w:rFonts w:ascii="Arial" w:cs="Arial" w:eastAsia="Arial" w:hAnsi="Arial"/>
                <w:sz w:val="15"/>
                <w:szCs w:val="15"/>
                <w:b w:val="1"/>
                <w:bCs w:val="1"/>
                <w:color w:val="auto"/>
              </w:rPr>
              <w:t>Amount</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ind w:left="100"/>
              <w:spacing w:after="0"/>
              <w:rPr>
                <w:sz w:val="20"/>
                <w:szCs w:val="20"/>
                <w:color w:val="auto"/>
              </w:rPr>
            </w:pPr>
            <w:r>
              <w:rPr>
                <w:rFonts w:ascii="Arial" w:cs="Arial" w:eastAsia="Arial" w:hAnsi="Arial"/>
                <w:sz w:val="15"/>
                <w:szCs w:val="15"/>
                <w:b w:val="1"/>
                <w:bCs w:val="1"/>
                <w:color w:val="auto"/>
              </w:rPr>
              <w:t>Amortization</w:t>
            </w:r>
          </w:p>
        </w:tc>
        <w:tc>
          <w:tcPr>
            <w:tcW w:w="24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364"/>
              <w:spacing w:after="0"/>
              <w:rPr>
                <w:sz w:val="20"/>
                <w:szCs w:val="20"/>
                <w:color w:val="auto"/>
              </w:rPr>
            </w:pPr>
            <w:r>
              <w:rPr>
                <w:rFonts w:ascii="Arial" w:cs="Arial" w:eastAsia="Arial" w:hAnsi="Arial"/>
                <w:sz w:val="15"/>
                <w:szCs w:val="15"/>
                <w:b w:val="1"/>
                <w:bCs w:val="1"/>
                <w:color w:val="auto"/>
              </w:rPr>
              <w:t>Amount</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204"/>
              <w:spacing w:after="0"/>
              <w:rPr>
                <w:sz w:val="20"/>
                <w:szCs w:val="20"/>
                <w:color w:val="auto"/>
              </w:rPr>
            </w:pPr>
            <w:r>
              <w:rPr>
                <w:rFonts w:ascii="Arial" w:cs="Arial" w:eastAsia="Arial" w:hAnsi="Arial"/>
                <w:sz w:val="15"/>
                <w:szCs w:val="15"/>
                <w:b w:val="1"/>
                <w:bCs w:val="1"/>
                <w:color w:val="auto"/>
              </w:rPr>
              <w:t>Amortization</w:t>
            </w:r>
          </w:p>
        </w:tc>
      </w:tr>
      <w:tr>
        <w:trPr>
          <w:trHeight w:val="214"/>
        </w:trPr>
        <w:tc>
          <w:tcPr>
            <w:tcW w:w="3860" w:type="dxa"/>
            <w:vAlign w:val="bottom"/>
            <w:shd w:val="clear" w:color="auto" w:fill="CCEEFF"/>
          </w:tcPr>
          <w:p>
            <w:pPr>
              <w:ind w:left="120"/>
              <w:spacing w:after="0"/>
              <w:rPr>
                <w:sz w:val="20"/>
                <w:szCs w:val="20"/>
                <w:color w:val="auto"/>
              </w:rPr>
            </w:pPr>
            <w:r>
              <w:rPr>
                <w:rFonts w:ascii="Arial" w:cs="Arial" w:eastAsia="Arial" w:hAnsi="Arial"/>
                <w:sz w:val="15"/>
                <w:szCs w:val="15"/>
                <w:color w:val="auto"/>
              </w:rPr>
              <w:t>In-place leases</w:t>
            </w:r>
          </w:p>
        </w:tc>
        <w:tc>
          <w:tcPr>
            <w:tcW w:w="1160" w:type="dxa"/>
            <w:vAlign w:val="bottom"/>
            <w:gridSpan w:val="2"/>
            <w:shd w:val="clear" w:color="auto" w:fill="CCEEFF"/>
          </w:tcPr>
          <w:p>
            <w:pPr>
              <w:jc w:val="center"/>
              <w:ind w:right="240"/>
              <w:spacing w:after="0"/>
              <w:rPr>
                <w:sz w:val="20"/>
                <w:szCs w:val="20"/>
                <w:color w:val="auto"/>
              </w:rPr>
            </w:pPr>
            <w:r>
              <w:rPr>
                <w:rFonts w:ascii="Arial" w:cs="Arial" w:eastAsia="Arial" w:hAnsi="Arial"/>
                <w:sz w:val="15"/>
                <w:szCs w:val="15"/>
                <w:color w:val="auto"/>
                <w:w w:val="89"/>
              </w:rPr>
              <w:t>7 years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28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129,283</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95"/>
              </w:rPr>
              <w:t>$</w:t>
            </w:r>
          </w:p>
        </w:tc>
        <w:tc>
          <w:tcPr>
            <w:tcW w:w="124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(81,579)</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28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127,313</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(74,548)</w:t>
            </w:r>
          </w:p>
        </w:tc>
      </w:tr>
      <w:tr>
        <w:trPr>
          <w:trHeight w:val="212"/>
        </w:trPr>
        <w:tc>
          <w:tcPr>
            <w:tcW w:w="3860" w:type="dxa"/>
            <w:vAlign w:val="bottom"/>
            <w:tcBorders>
              <w:bottom w:val="single" w:sz="8" w:color="CCEEFF"/>
            </w:tcBorders>
          </w:tcPr>
          <w:p>
            <w:pPr>
              <w:ind w:left="120"/>
              <w:spacing w:after="0"/>
              <w:rPr>
                <w:sz w:val="20"/>
                <w:szCs w:val="20"/>
                <w:color w:val="auto"/>
              </w:rPr>
            </w:pPr>
            <w:r>
              <w:rPr>
                <w:rFonts w:ascii="Arial" w:cs="Arial" w:eastAsia="Arial" w:hAnsi="Arial"/>
                <w:sz w:val="15"/>
                <w:szCs w:val="15"/>
                <w:color w:val="auto"/>
              </w:rPr>
              <w:t>Franchise agreements and other intangible assets</w:t>
            </w:r>
          </w:p>
        </w:tc>
        <w:tc>
          <w:tcPr>
            <w:tcW w:w="1160" w:type="dxa"/>
            <w:vAlign w:val="bottom"/>
            <w:tcBorders>
              <w:bottom w:val="single" w:sz="8" w:color="CCEEFF"/>
            </w:tcBorders>
            <w:gridSpan w:val="2"/>
          </w:tcPr>
          <w:p>
            <w:pPr>
              <w:jc w:val="center"/>
              <w:ind w:right="240"/>
              <w:spacing w:after="0"/>
              <w:rPr>
                <w:sz w:val="20"/>
                <w:szCs w:val="20"/>
                <w:color w:val="auto"/>
              </w:rPr>
            </w:pPr>
            <w:r>
              <w:rPr>
                <w:rFonts w:ascii="Arial" w:cs="Arial" w:eastAsia="Arial" w:hAnsi="Arial"/>
                <w:sz w:val="15"/>
                <w:szCs w:val="15"/>
                <w:color w:val="auto"/>
                <w:w w:val="90"/>
              </w:rPr>
              <w:t>7 - 20 years</w:t>
            </w: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color w:val="auto"/>
              </w:rPr>
              <w:t>16,944</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(3,169)</w:t>
            </w:r>
          </w:p>
        </w:tc>
        <w:tc>
          <w:tcPr>
            <w:tcW w:w="2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color w:val="auto"/>
              </w:rPr>
              <w:t>16,943</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(2,760)</w:t>
            </w:r>
          </w:p>
        </w:tc>
      </w:tr>
      <w:tr>
        <w:trPr>
          <w:trHeight w:val="238"/>
        </w:trPr>
        <w:tc>
          <w:tcPr>
            <w:tcW w:w="38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5"/>
                <w:szCs w:val="15"/>
                <w:b w:val="1"/>
                <w:bCs w:val="1"/>
                <w:color w:val="auto"/>
              </w:rPr>
              <w:t>Total</w:t>
            </w:r>
          </w:p>
        </w:tc>
        <w:tc>
          <w:tcPr>
            <w:tcW w:w="9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280" w:type="dxa"/>
            <w:vAlign w:val="bottom"/>
            <w:tcBorders>
              <w:bottom w:val="single" w:sz="8" w:color="auto"/>
            </w:tcBorders>
            <w:shd w:val="clear" w:color="auto" w:fill="CCEEFF"/>
          </w:tcPr>
          <w:p>
            <w:pPr>
              <w:jc w:val="right"/>
              <w:ind w:right="64"/>
              <w:spacing w:after="0"/>
              <w:rPr>
                <w:sz w:val="20"/>
                <w:szCs w:val="20"/>
                <w:color w:val="auto"/>
              </w:rPr>
            </w:pPr>
            <w:r>
              <w:rPr>
                <w:rFonts w:ascii="Arial" w:cs="Arial" w:eastAsia="Arial" w:hAnsi="Arial"/>
                <w:sz w:val="15"/>
                <w:szCs w:val="15"/>
                <w:color w:val="auto"/>
              </w:rPr>
              <w:t>146,227</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w w:val="95"/>
              </w:rPr>
              <w:t>$</w:t>
            </w:r>
          </w:p>
        </w:tc>
        <w:tc>
          <w:tcPr>
            <w:tcW w:w="124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rPr>
              <w:t>(84,748)</w:t>
            </w:r>
          </w:p>
        </w:tc>
        <w:tc>
          <w:tcPr>
            <w:tcW w:w="2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280" w:type="dxa"/>
            <w:vAlign w:val="bottom"/>
            <w:tcBorders>
              <w:bottom w:val="single" w:sz="8" w:color="auto"/>
            </w:tcBorders>
            <w:shd w:val="clear" w:color="auto" w:fill="CCEEFF"/>
          </w:tcPr>
          <w:p>
            <w:pPr>
              <w:jc w:val="right"/>
              <w:ind w:right="64"/>
              <w:spacing w:after="0"/>
              <w:rPr>
                <w:sz w:val="20"/>
                <w:szCs w:val="20"/>
                <w:color w:val="auto"/>
              </w:rPr>
            </w:pPr>
            <w:r>
              <w:rPr>
                <w:rFonts w:ascii="Arial" w:cs="Arial" w:eastAsia="Arial" w:hAnsi="Arial"/>
                <w:sz w:val="15"/>
                <w:szCs w:val="15"/>
                <w:color w:val="auto"/>
              </w:rPr>
              <w:t>144,256</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rPr>
              <w:t>(77,308)</w:t>
            </w:r>
          </w:p>
        </w:tc>
      </w:tr>
      <w:tr>
        <w:trPr>
          <w:trHeight w:val="20"/>
        </w:trPr>
        <w:tc>
          <w:tcPr>
            <w:tcW w:w="386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Total amortization expense related to the intangible assets are as follows (in thousands):</w:t>
      </w: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44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3080" w:type="dxa"/>
            <w:vAlign w:val="bottom"/>
            <w:tcBorders>
              <w:bottom w:val="single" w:sz="8" w:color="auto"/>
            </w:tcBorders>
            <w:gridSpan w:val="4"/>
          </w:tcPr>
          <w:p>
            <w:pPr>
              <w:jc w:val="right"/>
              <w:ind w:right="884"/>
              <w:spacing w:after="0"/>
              <w:rPr>
                <w:sz w:val="20"/>
                <w:szCs w:val="20"/>
                <w:color w:val="auto"/>
              </w:rPr>
            </w:pPr>
            <w:r>
              <w:rPr>
                <w:rFonts w:ascii="Arial" w:cs="Arial" w:eastAsia="Arial" w:hAnsi="Arial"/>
                <w:sz w:val="15"/>
                <w:szCs w:val="15"/>
                <w:b w:val="1"/>
                <w:bCs w:val="1"/>
                <w:color w:val="auto"/>
              </w:rPr>
              <w:t>Three Months Ended</w:t>
            </w:r>
          </w:p>
        </w:tc>
        <w:tc>
          <w:tcPr>
            <w:tcW w:w="2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3080" w:type="dxa"/>
            <w:vAlign w:val="bottom"/>
            <w:tcBorders>
              <w:bottom w:val="single" w:sz="8" w:color="auto"/>
            </w:tcBorders>
            <w:gridSpan w:val="4"/>
          </w:tcPr>
          <w:p>
            <w:pPr>
              <w:jc w:val="right"/>
              <w:ind w:right="964"/>
              <w:spacing w:after="0"/>
              <w:rPr>
                <w:sz w:val="20"/>
                <w:szCs w:val="20"/>
                <w:color w:val="auto"/>
              </w:rPr>
            </w:pPr>
            <w:r>
              <w:rPr>
                <w:rFonts w:ascii="Arial" w:cs="Arial" w:eastAsia="Arial" w:hAnsi="Arial"/>
                <w:sz w:val="15"/>
                <w:szCs w:val="15"/>
                <w:b w:val="1"/>
                <w:bCs w:val="1"/>
                <w:color w:val="auto"/>
              </w:rPr>
              <w:t>Six Months Ended</w:t>
            </w:r>
          </w:p>
        </w:tc>
      </w:tr>
      <w:tr>
        <w:trPr>
          <w:trHeight w:val="210"/>
        </w:trPr>
        <w:tc>
          <w:tcPr>
            <w:tcW w:w="4420" w:type="dxa"/>
            <w:vAlign w:val="bottom"/>
          </w:tcPr>
          <w:p>
            <w:pPr>
              <w:ind w:left="20"/>
              <w:spacing w:after="0"/>
              <w:rPr>
                <w:sz w:val="20"/>
                <w:szCs w:val="20"/>
                <w:color w:val="auto"/>
              </w:rPr>
            </w:pPr>
            <w:r>
              <w:rPr>
                <w:rFonts w:ascii="Arial" w:cs="Arial" w:eastAsia="Arial" w:hAnsi="Arial"/>
                <w:sz w:val="15"/>
                <w:szCs w:val="15"/>
                <w:b w:val="1"/>
                <w:bCs w:val="1"/>
                <w:color w:val="auto"/>
              </w:rPr>
              <w:t>Intangible Asset Amortization Expense</w:t>
            </w:r>
          </w:p>
        </w:tc>
        <w:tc>
          <w:tcPr>
            <w:tcW w:w="220" w:type="dxa"/>
            <w:vAlign w:val="bottom"/>
          </w:tcPr>
          <w:p>
            <w:pPr>
              <w:spacing w:after="0"/>
              <w:rPr>
                <w:sz w:val="18"/>
                <w:szCs w:val="18"/>
                <w:color w:val="auto"/>
              </w:rPr>
            </w:pPr>
          </w:p>
        </w:tc>
        <w:tc>
          <w:tcPr>
            <w:tcW w:w="1480" w:type="dxa"/>
            <w:vAlign w:val="bottom"/>
            <w:gridSpan w:val="2"/>
          </w:tcPr>
          <w:p>
            <w:pPr>
              <w:ind w:left="140"/>
              <w:spacing w:after="0"/>
              <w:rPr>
                <w:sz w:val="20"/>
                <w:szCs w:val="20"/>
                <w:color w:val="auto"/>
              </w:rPr>
            </w:pPr>
            <w:r>
              <w:rPr>
                <w:rFonts w:ascii="Arial" w:cs="Arial" w:eastAsia="Arial" w:hAnsi="Arial"/>
                <w:sz w:val="15"/>
                <w:szCs w:val="15"/>
                <w:b w:val="1"/>
                <w:bCs w:val="1"/>
                <w:color w:val="auto"/>
              </w:rPr>
              <w:t>June 30, 2020</w:t>
            </w:r>
          </w:p>
        </w:tc>
        <w:tc>
          <w:tcPr>
            <w:tcW w:w="220" w:type="dxa"/>
            <w:vAlign w:val="bottom"/>
          </w:tcPr>
          <w:p>
            <w:pPr>
              <w:spacing w:after="0"/>
              <w:rPr>
                <w:sz w:val="18"/>
                <w:szCs w:val="18"/>
                <w:color w:val="auto"/>
              </w:rPr>
            </w:pPr>
          </w:p>
        </w:tc>
        <w:tc>
          <w:tcPr>
            <w:tcW w:w="1600" w:type="dxa"/>
            <w:vAlign w:val="bottom"/>
            <w:gridSpan w:val="2"/>
          </w:tcPr>
          <w:p>
            <w:pPr>
              <w:ind w:left="140"/>
              <w:spacing w:after="0"/>
              <w:rPr>
                <w:sz w:val="20"/>
                <w:szCs w:val="20"/>
                <w:color w:val="auto"/>
              </w:rPr>
            </w:pPr>
            <w:r>
              <w:rPr>
                <w:rFonts w:ascii="Arial" w:cs="Arial" w:eastAsia="Arial" w:hAnsi="Arial"/>
                <w:sz w:val="15"/>
                <w:szCs w:val="15"/>
                <w:b w:val="1"/>
                <w:bCs w:val="1"/>
                <w:color w:val="auto"/>
              </w:rPr>
              <w:t>June 30, 2019</w:t>
            </w:r>
          </w:p>
        </w:tc>
        <w:tc>
          <w:tcPr>
            <w:tcW w:w="220" w:type="dxa"/>
            <w:vAlign w:val="bottom"/>
          </w:tcPr>
          <w:p>
            <w:pPr>
              <w:spacing w:after="0"/>
              <w:rPr>
                <w:sz w:val="18"/>
                <w:szCs w:val="18"/>
                <w:color w:val="auto"/>
              </w:rPr>
            </w:pPr>
          </w:p>
        </w:tc>
        <w:tc>
          <w:tcPr>
            <w:tcW w:w="1480" w:type="dxa"/>
            <w:vAlign w:val="bottom"/>
            <w:gridSpan w:val="2"/>
          </w:tcPr>
          <w:p>
            <w:pPr>
              <w:ind w:left="140"/>
              <w:spacing w:after="0"/>
              <w:rPr>
                <w:sz w:val="20"/>
                <w:szCs w:val="20"/>
                <w:color w:val="auto"/>
              </w:rPr>
            </w:pPr>
            <w:r>
              <w:rPr>
                <w:rFonts w:ascii="Arial" w:cs="Arial" w:eastAsia="Arial" w:hAnsi="Arial"/>
                <w:sz w:val="15"/>
                <w:szCs w:val="15"/>
                <w:b w:val="1"/>
                <w:bCs w:val="1"/>
                <w:color w:val="auto"/>
              </w:rPr>
              <w:t>June 30, 2020</w:t>
            </w:r>
          </w:p>
        </w:tc>
        <w:tc>
          <w:tcPr>
            <w:tcW w:w="240" w:type="dxa"/>
            <w:vAlign w:val="bottom"/>
          </w:tcPr>
          <w:p>
            <w:pPr>
              <w:spacing w:after="0"/>
              <w:rPr>
                <w:sz w:val="18"/>
                <w:szCs w:val="18"/>
                <w:color w:val="auto"/>
              </w:rPr>
            </w:pPr>
          </w:p>
        </w:tc>
        <w:tc>
          <w:tcPr>
            <w:tcW w:w="1360" w:type="dxa"/>
            <w:vAlign w:val="bottom"/>
          </w:tcPr>
          <w:p>
            <w:pPr>
              <w:jc w:val="right"/>
              <w:ind w:right="284"/>
              <w:spacing w:after="0"/>
              <w:rPr>
                <w:sz w:val="20"/>
                <w:szCs w:val="20"/>
                <w:color w:val="auto"/>
              </w:rPr>
            </w:pPr>
            <w:r>
              <w:rPr>
                <w:rFonts w:ascii="Arial" w:cs="Arial" w:eastAsia="Arial" w:hAnsi="Arial"/>
                <w:sz w:val="15"/>
                <w:szCs w:val="15"/>
                <w:b w:val="1"/>
                <w:bCs w:val="1"/>
                <w:color w:val="auto"/>
              </w:rPr>
              <w:t>June 30, 2019</w:t>
            </w:r>
          </w:p>
        </w:tc>
      </w:tr>
      <w:tr>
        <w:trPr>
          <w:trHeight w:val="213"/>
        </w:trPr>
        <w:tc>
          <w:tcPr>
            <w:tcW w:w="4420" w:type="dxa"/>
            <w:vAlign w:val="bottom"/>
            <w:tcBorders>
              <w:top w:val="single" w:sz="8" w:color="CCEEFF"/>
            </w:tcBorders>
            <w:shd w:val="clear" w:color="auto" w:fill="CCEEFF"/>
          </w:tcPr>
          <w:p>
            <w:pPr>
              <w:ind w:left="120"/>
              <w:spacing w:after="0"/>
              <w:rPr>
                <w:sz w:val="20"/>
                <w:szCs w:val="20"/>
                <w:color w:val="auto"/>
              </w:rPr>
            </w:pPr>
            <w:r>
              <w:rPr>
                <w:rFonts w:ascii="Arial" w:cs="Arial" w:eastAsia="Arial" w:hAnsi="Arial"/>
                <w:sz w:val="15"/>
                <w:szCs w:val="15"/>
                <w:color w:val="auto"/>
              </w:rPr>
              <w:t>In-place leases</w:t>
            </w:r>
          </w:p>
        </w:tc>
        <w:tc>
          <w:tcPr>
            <w:tcW w:w="220" w:type="dxa"/>
            <w:vAlign w:val="bottom"/>
            <w:tcBorders>
              <w:top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w w:val="95"/>
              </w:rPr>
              <w:t>$</w:t>
            </w:r>
          </w:p>
        </w:tc>
        <w:tc>
          <w:tcPr>
            <w:tcW w:w="1380" w:type="dxa"/>
            <w:vAlign w:val="bottom"/>
            <w:tcBorders>
              <w:top w:val="single" w:sz="8" w:color="auto"/>
            </w:tcBorders>
            <w:shd w:val="clear" w:color="auto" w:fill="CCEEFF"/>
          </w:tcPr>
          <w:p>
            <w:pPr>
              <w:jc w:val="right"/>
              <w:ind w:right="84"/>
              <w:spacing w:after="0"/>
              <w:rPr>
                <w:sz w:val="20"/>
                <w:szCs w:val="20"/>
                <w:color w:val="auto"/>
              </w:rPr>
            </w:pPr>
            <w:r>
              <w:rPr>
                <w:rFonts w:ascii="Arial" w:cs="Arial" w:eastAsia="Arial" w:hAnsi="Arial"/>
                <w:sz w:val="15"/>
                <w:szCs w:val="15"/>
                <w:color w:val="auto"/>
              </w:rPr>
              <w:t>3,580</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w w:val="95"/>
              </w:rPr>
              <w:t>$</w:t>
            </w:r>
          </w:p>
        </w:tc>
        <w:tc>
          <w:tcPr>
            <w:tcW w:w="1380" w:type="dxa"/>
            <w:vAlign w:val="bottom"/>
            <w:tcBorders>
              <w:top w:val="single" w:sz="8" w:color="auto"/>
            </w:tcBorders>
            <w:shd w:val="clear" w:color="auto" w:fill="CCEEFF"/>
          </w:tcPr>
          <w:p>
            <w:pPr>
              <w:jc w:val="right"/>
              <w:ind w:right="64"/>
              <w:spacing w:after="0"/>
              <w:rPr>
                <w:sz w:val="20"/>
                <w:szCs w:val="20"/>
                <w:color w:val="auto"/>
              </w:rPr>
            </w:pPr>
            <w:r>
              <w:rPr>
                <w:rFonts w:ascii="Arial" w:cs="Arial" w:eastAsia="Arial" w:hAnsi="Arial"/>
                <w:sz w:val="15"/>
                <w:szCs w:val="15"/>
                <w:color w:val="auto"/>
              </w:rPr>
              <w:t>3,800</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w w:val="95"/>
              </w:rPr>
              <w:t>$</w:t>
            </w:r>
          </w:p>
        </w:tc>
        <w:tc>
          <w:tcPr>
            <w:tcW w:w="1380" w:type="dxa"/>
            <w:vAlign w:val="bottom"/>
            <w:tcBorders>
              <w:top w:val="single" w:sz="8" w:color="auto"/>
            </w:tcBorders>
            <w:shd w:val="clear" w:color="auto" w:fill="CCEEFF"/>
          </w:tcPr>
          <w:p>
            <w:pPr>
              <w:jc w:val="right"/>
              <w:ind w:right="64"/>
              <w:spacing w:after="0"/>
              <w:rPr>
                <w:sz w:val="20"/>
                <w:szCs w:val="20"/>
                <w:color w:val="auto"/>
              </w:rPr>
            </w:pPr>
            <w:r>
              <w:rPr>
                <w:rFonts w:ascii="Arial" w:cs="Arial" w:eastAsia="Arial" w:hAnsi="Arial"/>
                <w:sz w:val="15"/>
                <w:szCs w:val="15"/>
                <w:color w:val="auto"/>
              </w:rPr>
              <w:t>7,031</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64"/>
              <w:spacing w:after="0"/>
              <w:rPr>
                <w:sz w:val="20"/>
                <w:szCs w:val="20"/>
                <w:color w:val="auto"/>
              </w:rPr>
            </w:pPr>
            <w:r>
              <w:rPr>
                <w:rFonts w:ascii="Arial" w:cs="Arial" w:eastAsia="Arial" w:hAnsi="Arial"/>
                <w:sz w:val="15"/>
                <w:szCs w:val="15"/>
                <w:color w:val="auto"/>
                <w:w w:val="95"/>
              </w:rPr>
              <w:t>$</w:t>
            </w:r>
          </w:p>
        </w:tc>
        <w:tc>
          <w:tcPr>
            <w:tcW w:w="1360" w:type="dxa"/>
            <w:vAlign w:val="bottom"/>
            <w:tcBorders>
              <w:top w:val="single" w:sz="8" w:color="auto"/>
            </w:tcBorders>
            <w:shd w:val="clear" w:color="auto" w:fill="CCEEFF"/>
          </w:tcPr>
          <w:p>
            <w:pPr>
              <w:jc w:val="right"/>
              <w:ind w:right="64"/>
              <w:spacing w:after="0"/>
              <w:rPr>
                <w:sz w:val="20"/>
                <w:szCs w:val="20"/>
                <w:color w:val="auto"/>
              </w:rPr>
            </w:pPr>
            <w:r>
              <w:rPr>
                <w:rFonts w:ascii="Arial" w:cs="Arial" w:eastAsia="Arial" w:hAnsi="Arial"/>
                <w:sz w:val="15"/>
                <w:szCs w:val="15"/>
                <w:color w:val="auto"/>
              </w:rPr>
              <w:t>7,472</w:t>
            </w:r>
          </w:p>
        </w:tc>
      </w:tr>
      <w:tr>
        <w:trPr>
          <w:trHeight w:val="212"/>
        </w:trPr>
        <w:tc>
          <w:tcPr>
            <w:tcW w:w="4420" w:type="dxa"/>
            <w:vAlign w:val="bottom"/>
            <w:tcBorders>
              <w:bottom w:val="single" w:sz="8" w:color="CCEEFF"/>
            </w:tcBorders>
          </w:tcPr>
          <w:p>
            <w:pPr>
              <w:ind w:left="120"/>
              <w:spacing w:after="0"/>
              <w:rPr>
                <w:sz w:val="20"/>
                <w:szCs w:val="20"/>
                <w:color w:val="auto"/>
              </w:rPr>
            </w:pPr>
            <w:r>
              <w:rPr>
                <w:rFonts w:ascii="Arial" w:cs="Arial" w:eastAsia="Arial" w:hAnsi="Arial"/>
                <w:sz w:val="15"/>
                <w:szCs w:val="15"/>
                <w:color w:val="auto"/>
              </w:rPr>
              <w:t>Franchise fees and other intangible assets</w:t>
            </w:r>
          </w:p>
        </w:tc>
        <w:tc>
          <w:tcPr>
            <w:tcW w:w="2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color w:val="auto"/>
              </w:rPr>
              <w:t>204</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color w:val="auto"/>
              </w:rPr>
              <w:t>205</w:t>
            </w:r>
          </w:p>
        </w:tc>
        <w:tc>
          <w:tcPr>
            <w:tcW w:w="2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color w:val="auto"/>
              </w:rPr>
              <w:t>409</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color w:val="auto"/>
              </w:rPr>
              <w:t>409</w:t>
            </w:r>
          </w:p>
        </w:tc>
      </w:tr>
      <w:tr>
        <w:trPr>
          <w:trHeight w:val="239"/>
        </w:trPr>
        <w:tc>
          <w:tcPr>
            <w:tcW w:w="44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5"/>
                <w:szCs w:val="15"/>
                <w:b w:val="1"/>
                <w:bCs w:val="1"/>
                <w:color w:val="auto"/>
              </w:rPr>
              <w:t>Total</w:t>
            </w:r>
          </w:p>
        </w:tc>
        <w:tc>
          <w:tcPr>
            <w:tcW w:w="22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w w:val="95"/>
              </w:rPr>
              <w:t>$</w:t>
            </w:r>
          </w:p>
        </w:tc>
        <w:tc>
          <w:tcPr>
            <w:tcW w:w="1380" w:type="dxa"/>
            <w:vAlign w:val="bottom"/>
            <w:tcBorders>
              <w:bottom w:val="single" w:sz="8" w:color="auto"/>
            </w:tcBorders>
            <w:shd w:val="clear" w:color="auto" w:fill="CCEEFF"/>
          </w:tcPr>
          <w:p>
            <w:pPr>
              <w:jc w:val="right"/>
              <w:ind w:right="84"/>
              <w:spacing w:after="0"/>
              <w:rPr>
                <w:sz w:val="20"/>
                <w:szCs w:val="20"/>
                <w:color w:val="auto"/>
              </w:rPr>
            </w:pPr>
            <w:r>
              <w:rPr>
                <w:rFonts w:ascii="Arial" w:cs="Arial" w:eastAsia="Arial" w:hAnsi="Arial"/>
                <w:sz w:val="15"/>
                <w:szCs w:val="15"/>
                <w:color w:val="auto"/>
              </w:rPr>
              <w:t>3,784</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w w:val="95"/>
              </w:rPr>
              <w:t>$</w:t>
            </w:r>
          </w:p>
        </w:tc>
        <w:tc>
          <w:tcPr>
            <w:tcW w:w="1380" w:type="dxa"/>
            <w:vAlign w:val="bottom"/>
            <w:tcBorders>
              <w:bottom w:val="single" w:sz="8" w:color="auto"/>
            </w:tcBorders>
            <w:shd w:val="clear" w:color="auto" w:fill="CCEEFF"/>
          </w:tcPr>
          <w:p>
            <w:pPr>
              <w:jc w:val="right"/>
              <w:ind w:right="64"/>
              <w:spacing w:after="0"/>
              <w:rPr>
                <w:sz w:val="20"/>
                <w:szCs w:val="20"/>
                <w:color w:val="auto"/>
              </w:rPr>
            </w:pPr>
            <w:r>
              <w:rPr>
                <w:rFonts w:ascii="Arial" w:cs="Arial" w:eastAsia="Arial" w:hAnsi="Arial"/>
                <w:sz w:val="15"/>
                <w:szCs w:val="15"/>
                <w:color w:val="auto"/>
              </w:rPr>
              <w:t>4,005</w:t>
            </w:r>
          </w:p>
        </w:tc>
        <w:tc>
          <w:tcPr>
            <w:tcW w:w="2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w w:val="95"/>
              </w:rPr>
              <w:t>$</w:t>
            </w:r>
          </w:p>
        </w:tc>
        <w:tc>
          <w:tcPr>
            <w:tcW w:w="1380" w:type="dxa"/>
            <w:vAlign w:val="bottom"/>
            <w:tcBorders>
              <w:bottom w:val="single" w:sz="8" w:color="auto"/>
            </w:tcBorders>
            <w:shd w:val="clear" w:color="auto" w:fill="CCEEFF"/>
          </w:tcPr>
          <w:p>
            <w:pPr>
              <w:jc w:val="right"/>
              <w:ind w:right="64"/>
              <w:spacing w:after="0"/>
              <w:rPr>
                <w:sz w:val="20"/>
                <w:szCs w:val="20"/>
                <w:color w:val="auto"/>
              </w:rPr>
            </w:pPr>
            <w:r>
              <w:rPr>
                <w:rFonts w:ascii="Arial" w:cs="Arial" w:eastAsia="Arial" w:hAnsi="Arial"/>
                <w:sz w:val="15"/>
                <w:szCs w:val="15"/>
                <w:color w:val="auto"/>
              </w:rPr>
              <w:t>7,440</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64"/>
              <w:spacing w:after="0"/>
              <w:rPr>
                <w:sz w:val="20"/>
                <w:szCs w:val="20"/>
                <w:color w:val="auto"/>
              </w:rPr>
            </w:pPr>
            <w:r>
              <w:rPr>
                <w:rFonts w:ascii="Arial" w:cs="Arial" w:eastAsia="Arial" w:hAnsi="Arial"/>
                <w:sz w:val="15"/>
                <w:szCs w:val="15"/>
                <w:color w:val="auto"/>
                <w:w w:val="95"/>
              </w:rPr>
              <w:t>$</w:t>
            </w:r>
          </w:p>
        </w:tc>
        <w:tc>
          <w:tcPr>
            <w:tcW w:w="1360" w:type="dxa"/>
            <w:vAlign w:val="bottom"/>
            <w:tcBorders>
              <w:bottom w:val="single" w:sz="8" w:color="auto"/>
            </w:tcBorders>
            <w:shd w:val="clear" w:color="auto" w:fill="CCEEFF"/>
          </w:tcPr>
          <w:p>
            <w:pPr>
              <w:jc w:val="right"/>
              <w:ind w:right="64"/>
              <w:spacing w:after="0"/>
              <w:rPr>
                <w:sz w:val="20"/>
                <w:szCs w:val="20"/>
                <w:color w:val="auto"/>
              </w:rPr>
            </w:pPr>
            <w:r>
              <w:rPr>
                <w:rFonts w:ascii="Arial" w:cs="Arial" w:eastAsia="Arial" w:hAnsi="Arial"/>
                <w:sz w:val="15"/>
                <w:szCs w:val="15"/>
                <w:color w:val="auto"/>
              </w:rPr>
              <w:t>7,881</w:t>
            </w:r>
          </w:p>
        </w:tc>
      </w:tr>
      <w:tr>
        <w:trPr>
          <w:trHeight w:val="20"/>
        </w:trPr>
        <w:tc>
          <w:tcPr>
            <w:tcW w:w="44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We anticipate amortization expense for our intangible assets to be as follows for the next five years (in thousands):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25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gridSpan w:val="2"/>
          </w:tcPr>
          <w:p>
            <w:pPr>
              <w:ind w:left="300"/>
              <w:spacing w:after="0"/>
              <w:rPr>
                <w:sz w:val="20"/>
                <w:szCs w:val="20"/>
                <w:color w:val="auto"/>
              </w:rPr>
            </w:pPr>
            <w:r>
              <w:rPr>
                <w:rFonts w:ascii="Arial" w:cs="Arial" w:eastAsia="Arial" w:hAnsi="Arial"/>
                <w:sz w:val="15"/>
                <w:szCs w:val="15"/>
                <w:b w:val="1"/>
                <w:bCs w:val="1"/>
                <w:color w:val="auto"/>
              </w:rPr>
              <w:t>Year</w:t>
            </w:r>
          </w:p>
        </w:tc>
        <w:tc>
          <w:tcPr>
            <w:tcW w:w="3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spacing w:after="0"/>
              <w:rPr>
                <w:sz w:val="17"/>
                <w:szCs w:val="17"/>
                <w:color w:val="auto"/>
              </w:rPr>
            </w:pPr>
          </w:p>
        </w:tc>
      </w:tr>
      <w:tr>
        <w:trPr>
          <w:trHeight w:val="210"/>
        </w:trPr>
        <w:tc>
          <w:tcPr>
            <w:tcW w:w="2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gridSpan w:val="2"/>
          </w:tcPr>
          <w:p>
            <w:pPr>
              <w:ind w:left="100"/>
              <w:spacing w:after="0"/>
              <w:rPr>
                <w:sz w:val="20"/>
                <w:szCs w:val="20"/>
                <w:color w:val="auto"/>
              </w:rPr>
            </w:pPr>
            <w:r>
              <w:rPr>
                <w:rFonts w:ascii="Arial" w:cs="Arial" w:eastAsia="Arial" w:hAnsi="Arial"/>
                <w:sz w:val="15"/>
                <w:szCs w:val="15"/>
                <w:b w:val="1"/>
                <w:bCs w:val="1"/>
                <w:color w:val="auto"/>
              </w:rPr>
              <w:t>Remainder 2020</w:t>
            </w:r>
          </w:p>
        </w:tc>
        <w:tc>
          <w:tcPr>
            <w:tcW w:w="380" w:type="dxa"/>
            <w:vAlign w:val="bottom"/>
          </w:tcPr>
          <w:p>
            <w:pPr>
              <w:spacing w:after="0"/>
              <w:rPr>
                <w:sz w:val="18"/>
                <w:szCs w:val="18"/>
                <w:color w:val="auto"/>
              </w:rPr>
            </w:pPr>
          </w:p>
        </w:tc>
        <w:tc>
          <w:tcPr>
            <w:tcW w:w="1260" w:type="dxa"/>
            <w:vAlign w:val="bottom"/>
          </w:tcPr>
          <w:p>
            <w:pPr>
              <w:jc w:val="right"/>
              <w:ind w:right="584"/>
              <w:spacing w:after="0"/>
              <w:rPr>
                <w:sz w:val="20"/>
                <w:szCs w:val="20"/>
                <w:color w:val="auto"/>
              </w:rPr>
            </w:pPr>
            <w:r>
              <w:rPr>
                <w:rFonts w:ascii="Arial" w:cs="Arial" w:eastAsia="Arial" w:hAnsi="Arial"/>
                <w:sz w:val="15"/>
                <w:szCs w:val="15"/>
                <w:b w:val="1"/>
                <w:bCs w:val="1"/>
                <w:color w:val="auto"/>
              </w:rPr>
              <w:t>2021</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ind w:left="280"/>
              <w:spacing w:after="0"/>
              <w:rPr>
                <w:sz w:val="20"/>
                <w:szCs w:val="20"/>
                <w:color w:val="auto"/>
              </w:rPr>
            </w:pPr>
            <w:r>
              <w:rPr>
                <w:rFonts w:ascii="Arial" w:cs="Arial" w:eastAsia="Arial" w:hAnsi="Arial"/>
                <w:sz w:val="15"/>
                <w:szCs w:val="15"/>
                <w:b w:val="1"/>
                <w:bCs w:val="1"/>
                <w:color w:val="auto"/>
              </w:rPr>
              <w:t>2022</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ind w:right="604"/>
              <w:spacing w:after="0"/>
              <w:rPr>
                <w:sz w:val="20"/>
                <w:szCs w:val="20"/>
                <w:color w:val="auto"/>
              </w:rPr>
            </w:pPr>
            <w:r>
              <w:rPr>
                <w:rFonts w:ascii="Arial" w:cs="Arial" w:eastAsia="Arial" w:hAnsi="Arial"/>
                <w:sz w:val="15"/>
                <w:szCs w:val="15"/>
                <w:b w:val="1"/>
                <w:bCs w:val="1"/>
                <w:color w:val="auto"/>
              </w:rPr>
              <w:t>2023</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ind w:right="604"/>
              <w:spacing w:after="0"/>
              <w:rPr>
                <w:sz w:val="20"/>
                <w:szCs w:val="20"/>
                <w:color w:val="auto"/>
              </w:rPr>
            </w:pPr>
            <w:r>
              <w:rPr>
                <w:rFonts w:ascii="Arial" w:cs="Arial" w:eastAsia="Arial" w:hAnsi="Arial"/>
                <w:sz w:val="15"/>
                <w:szCs w:val="15"/>
                <w:b w:val="1"/>
                <w:bCs w:val="1"/>
                <w:color w:val="auto"/>
              </w:rPr>
              <w:t>2024</w:t>
            </w:r>
          </w:p>
        </w:tc>
      </w:tr>
      <w:tr>
        <w:trPr>
          <w:trHeight w:val="213"/>
        </w:trPr>
        <w:tc>
          <w:tcPr>
            <w:tcW w:w="25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Estimated expense</w:t>
            </w:r>
          </w:p>
        </w:tc>
        <w:tc>
          <w:tcPr>
            <w:tcW w:w="180" w:type="dxa"/>
            <w:vAlign w:val="bottom"/>
            <w:tcBorders>
              <w:top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1480" w:type="dxa"/>
            <w:vAlign w:val="bottom"/>
            <w:tcBorders>
              <w:top w:val="single" w:sz="8" w:color="auto"/>
            </w:tcBorders>
            <w:shd w:val="clear" w:color="auto" w:fill="CCEEFF"/>
          </w:tcPr>
          <w:p>
            <w:pPr>
              <w:jc w:val="right"/>
              <w:ind w:right="84"/>
              <w:spacing w:after="0"/>
              <w:rPr>
                <w:sz w:val="20"/>
                <w:szCs w:val="20"/>
                <w:color w:val="auto"/>
              </w:rPr>
            </w:pPr>
            <w:r>
              <w:rPr>
                <w:rFonts w:ascii="Arial" w:cs="Arial" w:eastAsia="Arial" w:hAnsi="Arial"/>
                <w:sz w:val="15"/>
                <w:szCs w:val="15"/>
                <w:color w:val="auto"/>
              </w:rPr>
              <w:t>7,854</w:t>
            </w:r>
          </w:p>
        </w:tc>
        <w:tc>
          <w:tcPr>
            <w:tcW w:w="1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ind w:right="204"/>
              <w:spacing w:after="0"/>
              <w:rPr>
                <w:sz w:val="20"/>
                <w:szCs w:val="20"/>
                <w:color w:val="auto"/>
              </w:rPr>
            </w:pPr>
            <w:r>
              <w:rPr>
                <w:rFonts w:ascii="Arial" w:cs="Arial" w:eastAsia="Arial" w:hAnsi="Arial"/>
                <w:sz w:val="15"/>
                <w:szCs w:val="15"/>
                <w:color w:val="auto"/>
                <w:w w:val="95"/>
              </w:rPr>
              <w:t>$</w:t>
            </w:r>
          </w:p>
        </w:tc>
        <w:tc>
          <w:tcPr>
            <w:tcW w:w="1260" w:type="dxa"/>
            <w:vAlign w:val="bottom"/>
            <w:tcBorders>
              <w:top w:val="single" w:sz="8" w:color="auto"/>
            </w:tcBorders>
            <w:shd w:val="clear" w:color="auto" w:fill="CCEEFF"/>
          </w:tcPr>
          <w:p>
            <w:pPr>
              <w:jc w:val="right"/>
              <w:ind w:right="64"/>
              <w:spacing w:after="0"/>
              <w:rPr>
                <w:sz w:val="20"/>
                <w:szCs w:val="20"/>
                <w:color w:val="auto"/>
              </w:rPr>
            </w:pPr>
            <w:r>
              <w:rPr>
                <w:rFonts w:ascii="Arial" w:cs="Arial" w:eastAsia="Arial" w:hAnsi="Arial"/>
                <w:sz w:val="15"/>
                <w:szCs w:val="15"/>
                <w:color w:val="auto"/>
              </w:rPr>
              <w:t>15,472</w:t>
            </w:r>
          </w:p>
        </w:tc>
        <w:tc>
          <w:tcPr>
            <w:tcW w:w="1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ind w:right="204"/>
              <w:spacing w:after="0"/>
              <w:rPr>
                <w:sz w:val="20"/>
                <w:szCs w:val="20"/>
                <w:color w:val="auto"/>
              </w:rPr>
            </w:pPr>
            <w:r>
              <w:rPr>
                <w:rFonts w:ascii="Arial" w:cs="Arial" w:eastAsia="Arial" w:hAnsi="Arial"/>
                <w:sz w:val="15"/>
                <w:szCs w:val="15"/>
                <w:color w:val="auto"/>
                <w:w w:val="95"/>
              </w:rPr>
              <w:t>$</w:t>
            </w:r>
          </w:p>
        </w:tc>
        <w:tc>
          <w:tcPr>
            <w:tcW w:w="1260" w:type="dxa"/>
            <w:vAlign w:val="bottom"/>
            <w:tcBorders>
              <w:top w:val="single" w:sz="8" w:color="auto"/>
            </w:tcBorders>
            <w:shd w:val="clear" w:color="auto" w:fill="CCEEFF"/>
          </w:tcPr>
          <w:p>
            <w:pPr>
              <w:jc w:val="right"/>
              <w:ind w:right="64"/>
              <w:spacing w:after="0"/>
              <w:rPr>
                <w:sz w:val="20"/>
                <w:szCs w:val="20"/>
                <w:color w:val="auto"/>
              </w:rPr>
            </w:pPr>
            <w:r>
              <w:rPr>
                <w:rFonts w:ascii="Arial" w:cs="Arial" w:eastAsia="Arial" w:hAnsi="Arial"/>
                <w:sz w:val="15"/>
                <w:szCs w:val="15"/>
                <w:color w:val="auto"/>
              </w:rPr>
              <w:t>10,871</w:t>
            </w:r>
          </w:p>
        </w:tc>
        <w:tc>
          <w:tcPr>
            <w:tcW w:w="1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ind w:right="224"/>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tcBorders>
            <w:shd w:val="clear" w:color="auto" w:fill="CCEEFF"/>
          </w:tcPr>
          <w:p>
            <w:pPr>
              <w:jc w:val="right"/>
              <w:ind w:right="84"/>
              <w:spacing w:after="0"/>
              <w:rPr>
                <w:sz w:val="20"/>
                <w:szCs w:val="20"/>
                <w:color w:val="auto"/>
              </w:rPr>
            </w:pPr>
            <w:r>
              <w:rPr>
                <w:rFonts w:ascii="Arial" w:cs="Arial" w:eastAsia="Arial" w:hAnsi="Arial"/>
                <w:sz w:val="15"/>
                <w:szCs w:val="15"/>
                <w:color w:val="auto"/>
              </w:rPr>
              <w:t>7,496</w:t>
            </w:r>
          </w:p>
        </w:tc>
        <w:tc>
          <w:tcPr>
            <w:tcW w:w="1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ind w:right="204"/>
              <w:spacing w:after="0"/>
              <w:rPr>
                <w:sz w:val="20"/>
                <w:szCs w:val="20"/>
                <w:color w:val="auto"/>
              </w:rPr>
            </w:pPr>
            <w:r>
              <w:rPr>
                <w:rFonts w:ascii="Arial" w:cs="Arial" w:eastAsia="Arial" w:hAnsi="Arial"/>
                <w:sz w:val="15"/>
                <w:szCs w:val="15"/>
                <w:color w:val="auto"/>
                <w:w w:val="95"/>
              </w:rPr>
              <w:t>$</w:t>
            </w:r>
          </w:p>
        </w:tc>
        <w:tc>
          <w:tcPr>
            <w:tcW w:w="1280" w:type="dxa"/>
            <w:vAlign w:val="bottom"/>
            <w:tcBorders>
              <w:top w:val="single" w:sz="8" w:color="auto"/>
            </w:tcBorders>
            <w:shd w:val="clear" w:color="auto" w:fill="CCEEFF"/>
          </w:tcPr>
          <w:p>
            <w:pPr>
              <w:jc w:val="right"/>
              <w:ind w:right="64"/>
              <w:spacing w:after="0"/>
              <w:rPr>
                <w:sz w:val="20"/>
                <w:szCs w:val="20"/>
                <w:color w:val="auto"/>
              </w:rPr>
            </w:pPr>
            <w:r>
              <w:rPr>
                <w:rFonts w:ascii="Arial" w:cs="Arial" w:eastAsia="Arial" w:hAnsi="Arial"/>
                <w:sz w:val="15"/>
                <w:szCs w:val="15"/>
                <w:color w:val="auto"/>
              </w:rPr>
              <w:t>5,133</w:t>
            </w:r>
          </w:p>
        </w:tc>
      </w:tr>
    </w:tbl>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6" w:name="page17"/>
    <w:bookmarkEnd w:id="16"/>
    <w:p>
      <w:pPr>
        <w:jc w:val="center"/>
        <w:spacing w:after="0"/>
        <w:rPr>
          <w:sz w:val="20"/>
          <w:szCs w:val="20"/>
          <w:color w:val="auto"/>
        </w:rPr>
      </w:pPr>
      <w:r>
        <w:rPr>
          <w:rFonts w:ascii="Arial" w:cs="Arial" w:eastAsia="Arial" w:hAnsi="Arial"/>
          <w:sz w:val="16"/>
          <w:szCs w:val="16"/>
          <w:b w:val="1"/>
          <w:bCs w:val="1"/>
          <w:color w:val="auto"/>
        </w:rPr>
        <w:t>SUN COMMUNITIES, INC.</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 -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269" w:lineRule="exact"/>
        <w:rPr>
          <w:sz w:val="20"/>
          <w:szCs w:val="20"/>
          <w:color w:val="auto"/>
        </w:rPr>
      </w:pPr>
    </w:p>
    <w:p>
      <w:pPr>
        <w:ind w:left="420" w:hanging="412"/>
        <w:spacing w:after="0"/>
        <w:tabs>
          <w:tab w:leader="none" w:pos="42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 in Nonconsolidated Affiliates</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Investments in joint ventures that are not consolidated, nor recorded at cost, are accounted for using the equity method of accounting as prescribed in FASB ASC Topic 323, </w:t>
      </w:r>
      <w:r>
        <w:rPr>
          <w:rFonts w:ascii="Arial" w:cs="Arial" w:eastAsia="Arial" w:hAnsi="Arial"/>
          <w:sz w:val="18"/>
          <w:szCs w:val="18"/>
          <w:i w:val="1"/>
          <w:iCs w:val="1"/>
          <w:color w:val="auto"/>
        </w:rPr>
        <w:t>“Investments - Equity Method and Joint Ventures.”</w:t>
      </w:r>
      <w:r>
        <w:rPr>
          <w:rFonts w:ascii="Arial" w:cs="Arial" w:eastAsia="Arial" w:hAnsi="Arial"/>
          <w:sz w:val="18"/>
          <w:szCs w:val="18"/>
          <w:color w:val="auto"/>
        </w:rPr>
        <w:t xml:space="preserve"> Investments in nonconsolidated affiliates are recorded within Other assets, net on the Consolidated Balance Sheets. Equity income and loss are recorded in the Income / (loss) from nonconsolidated affiliates on the Consolidated Statements of Operations.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RezPlot Systems LLC (“Rezplot”)</w:t>
      </w:r>
    </w:p>
    <w:p>
      <w:pPr>
        <w:spacing w:after="0" w:line="23"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At June 30, 2020 and December 31, 2019, we had a 50 percent ownership interest in RezPlot, a RV reservation software technology company, acquired in January 2019.</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Sungenia JV</w:t>
      </w:r>
    </w:p>
    <w:p>
      <w:pPr>
        <w:spacing w:after="0" w:line="23" w:lineRule="exact"/>
        <w:rPr>
          <w:sz w:val="20"/>
          <w:szCs w:val="20"/>
          <w:color w:val="auto"/>
        </w:rPr>
      </w:pPr>
    </w:p>
    <w:p>
      <w:pPr>
        <w:jc w:val="both"/>
        <w:spacing w:after="0" w:line="290" w:lineRule="auto"/>
        <w:rPr>
          <w:sz w:val="20"/>
          <w:szCs w:val="20"/>
          <w:color w:val="auto"/>
        </w:rPr>
      </w:pPr>
      <w:r>
        <w:rPr>
          <w:rFonts w:ascii="Arial" w:cs="Arial" w:eastAsia="Arial" w:hAnsi="Arial"/>
          <w:sz w:val="17"/>
          <w:szCs w:val="17"/>
          <w:color w:val="auto"/>
        </w:rPr>
        <w:t>At June 30, 2020 and December 31, 2019, we had a 50 percent interest in Sungenia JV, a joint venture (“JV”) formed between us and Ingenia Communities Group in November 2018, to establish and grow a manufactured housing community development program in Australia.</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GTSC LLC </w:t>
      </w:r>
      <w:r>
        <w:rPr>
          <w:rFonts w:ascii="Arial" w:cs="Arial" w:eastAsia="Arial" w:hAnsi="Arial"/>
          <w:sz w:val="18"/>
          <w:szCs w:val="18"/>
          <w:color w:val="auto"/>
        </w:rPr>
        <w:t>(</w:t>
      </w:r>
      <w:r>
        <w:rPr>
          <w:rFonts w:ascii="Arial" w:cs="Arial" w:eastAsia="Arial" w:hAnsi="Arial"/>
          <w:sz w:val="18"/>
          <w:szCs w:val="18"/>
          <w:i w:val="1"/>
          <w:iCs w:val="1"/>
          <w:color w:val="auto"/>
        </w:rPr>
        <w:t>“GTSC”</w:t>
      </w:r>
      <w:r>
        <w:rPr>
          <w:rFonts w:ascii="Arial" w:cs="Arial" w:eastAsia="Arial" w:hAnsi="Arial"/>
          <w:sz w:val="18"/>
          <w:szCs w:val="18"/>
          <w:color w:val="auto"/>
        </w:rPr>
        <w:t>)</w:t>
      </w:r>
    </w:p>
    <w:p>
      <w:pPr>
        <w:spacing w:after="0" w:line="23"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At June 30, 2020 and December 31, 2019, we had a 40 percent ownership interest in GTSC, which engages in acquiring, holding and selling loans secured, directly or indirectly, by manufactured homes located in our communities.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Origen Financial Services, LLC (“OFS LLC”)</w:t>
      </w:r>
    </w:p>
    <w:p>
      <w:pPr>
        <w:spacing w:after="0" w:line="23"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At June 30, 2020 and December 31, 2019, we had a 22.9 percent ownership interest in OFS LLC, an end-to-end online resident screening and document management suite.</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SV Lift, LLC (“SV Lift”)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At June 30, 2020 and December 31, 2019, we had a 50 percent ownership interest in SV Lift, which owns, operates and leases an aircraft.</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The investment balance in each nonconsolidated affiliate is as follows (in thousands):</w:t>
      </w:r>
    </w:p>
    <w:p>
      <w:pPr>
        <w:spacing w:after="0" w:line="303" w:lineRule="exact"/>
        <w:rPr>
          <w:sz w:val="20"/>
          <w:szCs w:val="20"/>
          <w:color w:val="auto"/>
        </w:rPr>
      </w:pPr>
    </w:p>
    <w:tbl>
      <w:tblPr>
        <w:tblLayout w:type="fixed"/>
        <w:tblInd w:w="20" w:type="dxa"/>
        <w:tblCellMar>
          <w:top w:w="0" w:type="dxa"/>
          <w:left w:w="0" w:type="dxa"/>
          <w:bottom w:w="0" w:type="dxa"/>
          <w:right w:w="0" w:type="dxa"/>
        </w:tblCellMar>
      </w:tblPr>
      <w:tr>
        <w:trPr>
          <w:trHeight w:val="202"/>
        </w:trPr>
        <w:tc>
          <w:tcPr>
            <w:tcW w:w="6280" w:type="dxa"/>
            <w:vAlign w:val="bottom"/>
            <w:tcBorders>
              <w:bottom w:val="single" w:sz="8" w:color="auto"/>
            </w:tcBorders>
          </w:tcPr>
          <w:p>
            <w:pPr>
              <w:ind w:left="20"/>
              <w:spacing w:after="0"/>
              <w:rPr>
                <w:sz w:val="20"/>
                <w:szCs w:val="20"/>
                <w:color w:val="auto"/>
              </w:rPr>
            </w:pPr>
            <w:r>
              <w:rPr>
                <w:rFonts w:ascii="Arial" w:cs="Arial" w:eastAsia="Arial" w:hAnsi="Arial"/>
                <w:sz w:val="15"/>
                <w:szCs w:val="15"/>
                <w:b w:val="1"/>
                <w:bCs w:val="1"/>
                <w:color w:val="auto"/>
              </w:rPr>
              <w:t>Investment</w:t>
            </w:r>
          </w:p>
        </w:tc>
        <w:tc>
          <w:tcPr>
            <w:tcW w:w="1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900" w:type="dxa"/>
            <w:vAlign w:val="bottom"/>
            <w:tcBorders>
              <w:bottom w:val="single" w:sz="8" w:color="auto"/>
            </w:tcBorders>
          </w:tcPr>
          <w:p>
            <w:pPr>
              <w:jc w:val="right"/>
              <w:ind w:right="624"/>
              <w:spacing w:after="0"/>
              <w:rPr>
                <w:sz w:val="20"/>
                <w:szCs w:val="20"/>
                <w:color w:val="auto"/>
              </w:rPr>
            </w:pPr>
            <w:r>
              <w:rPr>
                <w:rFonts w:ascii="Arial" w:cs="Arial" w:eastAsia="Arial" w:hAnsi="Arial"/>
                <w:sz w:val="15"/>
                <w:szCs w:val="15"/>
                <w:b w:val="1"/>
                <w:bCs w:val="1"/>
                <w:color w:val="auto"/>
              </w:rPr>
              <w:t>June 30, 2020</w:t>
            </w:r>
          </w:p>
        </w:tc>
        <w:tc>
          <w:tcPr>
            <w:tcW w:w="24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980" w:type="dxa"/>
            <w:vAlign w:val="bottom"/>
            <w:tcBorders>
              <w:bottom w:val="single" w:sz="8" w:color="auto"/>
            </w:tcBorders>
          </w:tcPr>
          <w:p>
            <w:pPr>
              <w:jc w:val="right"/>
              <w:ind w:right="444"/>
              <w:spacing w:after="0"/>
              <w:rPr>
                <w:sz w:val="20"/>
                <w:szCs w:val="20"/>
                <w:color w:val="auto"/>
              </w:rPr>
            </w:pPr>
            <w:r>
              <w:rPr>
                <w:rFonts w:ascii="Arial" w:cs="Arial" w:eastAsia="Arial" w:hAnsi="Arial"/>
                <w:sz w:val="15"/>
                <w:szCs w:val="15"/>
                <w:b w:val="1"/>
                <w:bCs w:val="1"/>
                <w:color w:val="auto"/>
              </w:rPr>
              <w:t>December 31, 2019</w:t>
            </w:r>
          </w:p>
        </w:tc>
      </w:tr>
      <w:tr>
        <w:trPr>
          <w:trHeight w:val="214"/>
        </w:trPr>
        <w:tc>
          <w:tcPr>
            <w:tcW w:w="638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Investment in RezPlot</w:t>
            </w:r>
          </w:p>
        </w:tc>
        <w:tc>
          <w:tcPr>
            <w:tcW w:w="400" w:type="dxa"/>
            <w:vAlign w:val="bottom"/>
            <w:shd w:val="clear" w:color="auto" w:fill="CCEEFF"/>
          </w:tcPr>
          <w:p>
            <w:pPr>
              <w:jc w:val="right"/>
              <w:ind w:right="224"/>
              <w:spacing w:after="0"/>
              <w:rPr>
                <w:sz w:val="20"/>
                <w:szCs w:val="20"/>
                <w:color w:val="auto"/>
              </w:rPr>
            </w:pPr>
            <w:r>
              <w:rPr>
                <w:rFonts w:ascii="Arial" w:cs="Arial" w:eastAsia="Arial" w:hAnsi="Arial"/>
                <w:sz w:val="15"/>
                <w:szCs w:val="15"/>
                <w:color w:val="auto"/>
                <w:w w:val="95"/>
              </w:rPr>
              <w:t>$</w:t>
            </w:r>
          </w:p>
        </w:tc>
        <w:tc>
          <w:tcPr>
            <w:tcW w:w="190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3,030</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4"/>
              <w:spacing w:after="0"/>
              <w:rPr>
                <w:sz w:val="20"/>
                <w:szCs w:val="20"/>
                <w:color w:val="auto"/>
              </w:rPr>
            </w:pPr>
            <w:r>
              <w:rPr>
                <w:rFonts w:ascii="Arial" w:cs="Arial" w:eastAsia="Arial" w:hAnsi="Arial"/>
                <w:sz w:val="15"/>
                <w:szCs w:val="15"/>
                <w:color w:val="auto"/>
                <w:w w:val="71"/>
              </w:rPr>
              <w:t>$</w:t>
            </w:r>
          </w:p>
        </w:tc>
        <w:tc>
          <w:tcPr>
            <w:tcW w:w="198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4,184</w:t>
            </w:r>
          </w:p>
        </w:tc>
      </w:tr>
      <w:tr>
        <w:trPr>
          <w:trHeight w:val="212"/>
        </w:trPr>
        <w:tc>
          <w:tcPr>
            <w:tcW w:w="6380" w:type="dxa"/>
            <w:vAlign w:val="bottom"/>
            <w:gridSpan w:val="2"/>
          </w:tcPr>
          <w:p>
            <w:pPr>
              <w:ind w:left="20"/>
              <w:spacing w:after="0"/>
              <w:rPr>
                <w:sz w:val="20"/>
                <w:szCs w:val="20"/>
                <w:color w:val="auto"/>
              </w:rPr>
            </w:pPr>
            <w:r>
              <w:rPr>
                <w:rFonts w:ascii="Arial" w:cs="Arial" w:eastAsia="Arial" w:hAnsi="Arial"/>
                <w:sz w:val="15"/>
                <w:szCs w:val="15"/>
                <w:color w:val="auto"/>
              </w:rPr>
              <w:t>Investment in Sungenia JV</w:t>
            </w:r>
          </w:p>
        </w:tc>
        <w:tc>
          <w:tcPr>
            <w:tcW w:w="400" w:type="dxa"/>
            <w:vAlign w:val="bottom"/>
          </w:tcPr>
          <w:p>
            <w:pPr>
              <w:spacing w:after="0"/>
              <w:rPr>
                <w:sz w:val="18"/>
                <w:szCs w:val="18"/>
                <w:color w:val="auto"/>
              </w:rPr>
            </w:pPr>
          </w:p>
        </w:tc>
        <w:tc>
          <w:tcPr>
            <w:tcW w:w="1900" w:type="dxa"/>
            <w:vAlign w:val="bottom"/>
          </w:tcPr>
          <w:p>
            <w:pPr>
              <w:jc w:val="right"/>
              <w:ind w:right="64"/>
              <w:spacing w:after="0"/>
              <w:rPr>
                <w:sz w:val="20"/>
                <w:szCs w:val="20"/>
                <w:color w:val="auto"/>
              </w:rPr>
            </w:pPr>
            <w:r>
              <w:rPr>
                <w:rFonts w:ascii="Arial" w:cs="Arial" w:eastAsia="Arial" w:hAnsi="Arial"/>
                <w:sz w:val="15"/>
                <w:szCs w:val="15"/>
                <w:color w:val="auto"/>
              </w:rPr>
              <w:t>13,013</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980" w:type="dxa"/>
            <w:vAlign w:val="bottom"/>
          </w:tcPr>
          <w:p>
            <w:pPr>
              <w:jc w:val="right"/>
              <w:ind w:right="64"/>
              <w:spacing w:after="0"/>
              <w:rPr>
                <w:sz w:val="20"/>
                <w:szCs w:val="20"/>
                <w:color w:val="auto"/>
              </w:rPr>
            </w:pPr>
            <w:r>
              <w:rPr>
                <w:rFonts w:ascii="Arial" w:cs="Arial" w:eastAsia="Arial" w:hAnsi="Arial"/>
                <w:sz w:val="15"/>
                <w:szCs w:val="15"/>
                <w:color w:val="auto"/>
              </w:rPr>
              <w:t>11,995</w:t>
            </w:r>
          </w:p>
        </w:tc>
      </w:tr>
      <w:tr>
        <w:trPr>
          <w:trHeight w:val="220"/>
        </w:trPr>
        <w:tc>
          <w:tcPr>
            <w:tcW w:w="638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Investment in GTSC</w:t>
            </w:r>
          </w:p>
        </w:tc>
        <w:tc>
          <w:tcPr>
            <w:tcW w:w="400" w:type="dxa"/>
            <w:vAlign w:val="bottom"/>
            <w:shd w:val="clear" w:color="auto" w:fill="CCEEFF"/>
          </w:tcPr>
          <w:p>
            <w:pPr>
              <w:spacing w:after="0"/>
              <w:rPr>
                <w:sz w:val="19"/>
                <w:szCs w:val="19"/>
                <w:color w:val="auto"/>
              </w:rPr>
            </w:pPr>
          </w:p>
        </w:tc>
        <w:tc>
          <w:tcPr>
            <w:tcW w:w="190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23,588</w:t>
            </w:r>
          </w:p>
        </w:tc>
        <w:tc>
          <w:tcPr>
            <w:tcW w:w="2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98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18,488</w:t>
            </w:r>
          </w:p>
        </w:tc>
      </w:tr>
      <w:tr>
        <w:trPr>
          <w:trHeight w:val="212"/>
        </w:trPr>
        <w:tc>
          <w:tcPr>
            <w:tcW w:w="6380" w:type="dxa"/>
            <w:vAlign w:val="bottom"/>
            <w:gridSpan w:val="2"/>
          </w:tcPr>
          <w:p>
            <w:pPr>
              <w:ind w:left="20"/>
              <w:spacing w:after="0"/>
              <w:rPr>
                <w:sz w:val="20"/>
                <w:szCs w:val="20"/>
                <w:color w:val="auto"/>
              </w:rPr>
            </w:pPr>
            <w:r>
              <w:rPr>
                <w:rFonts w:ascii="Arial" w:cs="Arial" w:eastAsia="Arial" w:hAnsi="Arial"/>
                <w:sz w:val="15"/>
                <w:szCs w:val="15"/>
                <w:color w:val="auto"/>
              </w:rPr>
              <w:t>Investment in OFS LLC</w:t>
            </w:r>
          </w:p>
        </w:tc>
        <w:tc>
          <w:tcPr>
            <w:tcW w:w="400" w:type="dxa"/>
            <w:vAlign w:val="bottom"/>
          </w:tcPr>
          <w:p>
            <w:pPr>
              <w:spacing w:after="0"/>
              <w:rPr>
                <w:sz w:val="18"/>
                <w:szCs w:val="18"/>
                <w:color w:val="auto"/>
              </w:rPr>
            </w:pPr>
          </w:p>
        </w:tc>
        <w:tc>
          <w:tcPr>
            <w:tcW w:w="1900" w:type="dxa"/>
            <w:vAlign w:val="bottom"/>
          </w:tcPr>
          <w:p>
            <w:pPr>
              <w:jc w:val="right"/>
              <w:ind w:right="64"/>
              <w:spacing w:after="0"/>
              <w:rPr>
                <w:sz w:val="20"/>
                <w:szCs w:val="20"/>
                <w:color w:val="auto"/>
              </w:rPr>
            </w:pPr>
            <w:r>
              <w:rPr>
                <w:rFonts w:ascii="Arial" w:cs="Arial" w:eastAsia="Arial" w:hAnsi="Arial"/>
                <w:sz w:val="15"/>
                <w:szCs w:val="15"/>
                <w:color w:val="auto"/>
              </w:rPr>
              <w:t>228</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980" w:type="dxa"/>
            <w:vAlign w:val="bottom"/>
          </w:tcPr>
          <w:p>
            <w:pPr>
              <w:jc w:val="right"/>
              <w:ind w:right="64"/>
              <w:spacing w:after="0"/>
              <w:rPr>
                <w:sz w:val="20"/>
                <w:szCs w:val="20"/>
                <w:color w:val="auto"/>
              </w:rPr>
            </w:pPr>
            <w:r>
              <w:rPr>
                <w:rFonts w:ascii="Arial" w:cs="Arial" w:eastAsia="Arial" w:hAnsi="Arial"/>
                <w:sz w:val="15"/>
                <w:szCs w:val="15"/>
                <w:color w:val="auto"/>
              </w:rPr>
              <w:t>148</w:t>
            </w:r>
          </w:p>
        </w:tc>
      </w:tr>
      <w:tr>
        <w:trPr>
          <w:trHeight w:val="216"/>
        </w:trPr>
        <w:tc>
          <w:tcPr>
            <w:tcW w:w="638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Investment in SV Lift</w:t>
            </w:r>
          </w:p>
        </w:tc>
        <w:tc>
          <w:tcPr>
            <w:tcW w:w="400" w:type="dxa"/>
            <w:vAlign w:val="bottom"/>
            <w:tcBorders>
              <w:bottom w:val="single" w:sz="8" w:color="auto"/>
            </w:tcBorders>
            <w:shd w:val="clear" w:color="auto" w:fill="CCEEFF"/>
          </w:tcPr>
          <w:p>
            <w:pPr>
              <w:spacing w:after="0"/>
              <w:rPr>
                <w:sz w:val="18"/>
                <w:szCs w:val="18"/>
                <w:color w:val="auto"/>
              </w:rPr>
            </w:pPr>
          </w:p>
        </w:tc>
        <w:tc>
          <w:tcPr>
            <w:tcW w:w="1900" w:type="dxa"/>
            <w:vAlign w:val="bottom"/>
            <w:tcBorders>
              <w:bottom w:val="single" w:sz="8" w:color="auto"/>
            </w:tcBorders>
            <w:shd w:val="clear" w:color="auto" w:fill="CCEEFF"/>
          </w:tcPr>
          <w:p>
            <w:pPr>
              <w:jc w:val="right"/>
              <w:ind w:right="64"/>
              <w:spacing w:after="0"/>
              <w:rPr>
                <w:sz w:val="20"/>
                <w:szCs w:val="20"/>
                <w:color w:val="auto"/>
              </w:rPr>
            </w:pPr>
            <w:r>
              <w:rPr>
                <w:rFonts w:ascii="Arial" w:cs="Arial" w:eastAsia="Arial" w:hAnsi="Arial"/>
                <w:sz w:val="15"/>
                <w:szCs w:val="15"/>
                <w:color w:val="auto"/>
              </w:rPr>
              <w:t>3,759</w:t>
            </w:r>
          </w:p>
        </w:tc>
        <w:tc>
          <w:tcPr>
            <w:tcW w:w="24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980" w:type="dxa"/>
            <w:vAlign w:val="bottom"/>
            <w:tcBorders>
              <w:bottom w:val="single" w:sz="8" w:color="auto"/>
            </w:tcBorders>
            <w:shd w:val="clear" w:color="auto" w:fill="CCEEFF"/>
          </w:tcPr>
          <w:p>
            <w:pPr>
              <w:jc w:val="right"/>
              <w:ind w:right="64"/>
              <w:spacing w:after="0"/>
              <w:rPr>
                <w:sz w:val="20"/>
                <w:szCs w:val="20"/>
                <w:color w:val="auto"/>
              </w:rPr>
            </w:pPr>
            <w:r>
              <w:rPr>
                <w:rFonts w:ascii="Arial" w:cs="Arial" w:eastAsia="Arial" w:hAnsi="Arial"/>
                <w:sz w:val="15"/>
                <w:szCs w:val="15"/>
                <w:color w:val="auto"/>
              </w:rPr>
              <w:t>2,961</w:t>
            </w:r>
          </w:p>
        </w:tc>
      </w:tr>
      <w:tr>
        <w:trPr>
          <w:trHeight w:val="214"/>
        </w:trPr>
        <w:tc>
          <w:tcPr>
            <w:tcW w:w="6380" w:type="dxa"/>
            <w:vAlign w:val="bottom"/>
            <w:gridSpan w:val="2"/>
          </w:tcPr>
          <w:p>
            <w:pPr>
              <w:ind w:left="200"/>
              <w:spacing w:after="0"/>
              <w:rPr>
                <w:sz w:val="20"/>
                <w:szCs w:val="20"/>
                <w:color w:val="auto"/>
              </w:rPr>
            </w:pPr>
            <w:r>
              <w:rPr>
                <w:rFonts w:ascii="Arial" w:cs="Arial" w:eastAsia="Arial" w:hAnsi="Arial"/>
                <w:sz w:val="15"/>
                <w:szCs w:val="15"/>
                <w:b w:val="1"/>
                <w:bCs w:val="1"/>
                <w:color w:val="auto"/>
              </w:rPr>
              <w:t>Total</w:t>
            </w:r>
          </w:p>
        </w:tc>
        <w:tc>
          <w:tcPr>
            <w:tcW w:w="400" w:type="dxa"/>
            <w:vAlign w:val="bottom"/>
            <w:tcBorders>
              <w:bottom w:val="single" w:sz="8" w:color="auto"/>
            </w:tcBorders>
          </w:tcPr>
          <w:p>
            <w:pPr>
              <w:jc w:val="right"/>
              <w:ind w:right="224"/>
              <w:spacing w:after="0"/>
              <w:rPr>
                <w:sz w:val="20"/>
                <w:szCs w:val="20"/>
                <w:color w:val="auto"/>
              </w:rPr>
            </w:pPr>
            <w:r>
              <w:rPr>
                <w:rFonts w:ascii="Arial" w:cs="Arial" w:eastAsia="Arial" w:hAnsi="Arial"/>
                <w:sz w:val="15"/>
                <w:szCs w:val="15"/>
                <w:color w:val="auto"/>
                <w:w w:val="95"/>
              </w:rPr>
              <w:t>$</w:t>
            </w:r>
          </w:p>
        </w:tc>
        <w:tc>
          <w:tcPr>
            <w:tcW w:w="190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color w:val="auto"/>
              </w:rPr>
              <w:t>43,619</w:t>
            </w:r>
          </w:p>
        </w:tc>
        <w:tc>
          <w:tcPr>
            <w:tcW w:w="240" w:type="dxa"/>
            <w:vAlign w:val="bottom"/>
          </w:tcPr>
          <w:p>
            <w:pPr>
              <w:spacing w:after="0"/>
              <w:rPr>
                <w:sz w:val="18"/>
                <w:szCs w:val="18"/>
                <w:color w:val="auto"/>
              </w:rPr>
            </w:pPr>
          </w:p>
        </w:tc>
        <w:tc>
          <w:tcPr>
            <w:tcW w:w="300" w:type="dxa"/>
            <w:vAlign w:val="bottom"/>
            <w:tcBorders>
              <w:bottom w:val="single" w:sz="8" w:color="auto"/>
            </w:tcBorders>
          </w:tcPr>
          <w:p>
            <w:pPr>
              <w:jc w:val="right"/>
              <w:ind w:right="144"/>
              <w:spacing w:after="0"/>
              <w:rPr>
                <w:sz w:val="20"/>
                <w:szCs w:val="20"/>
                <w:color w:val="auto"/>
              </w:rPr>
            </w:pPr>
            <w:r>
              <w:rPr>
                <w:rFonts w:ascii="Arial" w:cs="Arial" w:eastAsia="Arial" w:hAnsi="Arial"/>
                <w:sz w:val="15"/>
                <w:szCs w:val="15"/>
                <w:color w:val="auto"/>
                <w:w w:val="71"/>
              </w:rPr>
              <w:t>$</w:t>
            </w:r>
          </w:p>
        </w:tc>
        <w:tc>
          <w:tcPr>
            <w:tcW w:w="198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color w:val="auto"/>
              </w:rPr>
              <w:t>37,776</w:t>
            </w:r>
          </w:p>
        </w:tc>
      </w:tr>
      <w:tr>
        <w:trPr>
          <w:trHeight w:val="20"/>
        </w:trPr>
        <w:tc>
          <w:tcPr>
            <w:tcW w:w="6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The income / (loss) from each nonconsolidated affiliate is as follows (in thousands):</w:t>
      </w: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4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3080" w:type="dxa"/>
            <w:vAlign w:val="bottom"/>
            <w:tcBorders>
              <w:bottom w:val="single" w:sz="8" w:color="auto"/>
            </w:tcBorders>
            <w:gridSpan w:val="4"/>
          </w:tcPr>
          <w:p>
            <w:pPr>
              <w:jc w:val="right"/>
              <w:ind w:right="884"/>
              <w:spacing w:after="0"/>
              <w:rPr>
                <w:sz w:val="20"/>
                <w:szCs w:val="20"/>
                <w:color w:val="auto"/>
              </w:rPr>
            </w:pPr>
            <w:r>
              <w:rPr>
                <w:rFonts w:ascii="Arial" w:cs="Arial" w:eastAsia="Arial" w:hAnsi="Arial"/>
                <w:sz w:val="15"/>
                <w:szCs w:val="15"/>
                <w:b w:val="1"/>
                <w:bCs w:val="1"/>
                <w:color w:val="auto"/>
              </w:rPr>
              <w:t>Three Months Ended</w:t>
            </w:r>
          </w:p>
        </w:tc>
        <w:tc>
          <w:tcPr>
            <w:tcW w:w="2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3080" w:type="dxa"/>
            <w:vAlign w:val="bottom"/>
            <w:tcBorders>
              <w:bottom w:val="single" w:sz="8" w:color="auto"/>
            </w:tcBorders>
            <w:gridSpan w:val="4"/>
          </w:tcPr>
          <w:p>
            <w:pPr>
              <w:jc w:val="right"/>
              <w:ind w:right="964"/>
              <w:spacing w:after="0"/>
              <w:rPr>
                <w:sz w:val="20"/>
                <w:szCs w:val="20"/>
                <w:color w:val="auto"/>
              </w:rPr>
            </w:pPr>
            <w:r>
              <w:rPr>
                <w:rFonts w:ascii="Arial" w:cs="Arial" w:eastAsia="Arial" w:hAnsi="Arial"/>
                <w:sz w:val="15"/>
                <w:szCs w:val="15"/>
                <w:b w:val="1"/>
                <w:bCs w:val="1"/>
                <w:color w:val="auto"/>
              </w:rPr>
              <w:t>Six Months Ended</w:t>
            </w:r>
          </w:p>
        </w:tc>
      </w:tr>
      <w:tr>
        <w:trPr>
          <w:trHeight w:val="210"/>
        </w:trPr>
        <w:tc>
          <w:tcPr>
            <w:tcW w:w="4320" w:type="dxa"/>
            <w:vAlign w:val="bottom"/>
            <w:tcBorders>
              <w:bottom w:val="single" w:sz="8" w:color="auto"/>
            </w:tcBorders>
          </w:tcPr>
          <w:p>
            <w:pPr>
              <w:ind w:left="20"/>
              <w:spacing w:after="0"/>
              <w:rPr>
                <w:sz w:val="20"/>
                <w:szCs w:val="20"/>
                <w:color w:val="auto"/>
              </w:rPr>
            </w:pPr>
            <w:r>
              <w:rPr>
                <w:rFonts w:ascii="Arial" w:cs="Arial" w:eastAsia="Arial" w:hAnsi="Arial"/>
                <w:sz w:val="15"/>
                <w:szCs w:val="15"/>
                <w:b w:val="1"/>
                <w:bCs w:val="1"/>
                <w:color w:val="auto"/>
              </w:rPr>
              <w:t>Income / (Loss) from Nonconsolidated Affiliates</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284"/>
              <w:spacing w:after="0"/>
              <w:rPr>
                <w:sz w:val="20"/>
                <w:szCs w:val="20"/>
                <w:color w:val="auto"/>
              </w:rPr>
            </w:pPr>
            <w:r>
              <w:rPr>
                <w:rFonts w:ascii="Arial" w:cs="Arial" w:eastAsia="Arial" w:hAnsi="Arial"/>
                <w:sz w:val="15"/>
                <w:szCs w:val="15"/>
                <w:b w:val="1"/>
                <w:bCs w:val="1"/>
                <w:color w:val="auto"/>
              </w:rPr>
              <w:t>June 30, 2020</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284"/>
              <w:spacing w:after="0"/>
              <w:rPr>
                <w:sz w:val="20"/>
                <w:szCs w:val="20"/>
                <w:color w:val="auto"/>
              </w:rPr>
            </w:pPr>
            <w:r>
              <w:rPr>
                <w:rFonts w:ascii="Arial" w:cs="Arial" w:eastAsia="Arial" w:hAnsi="Arial"/>
                <w:sz w:val="15"/>
                <w:szCs w:val="15"/>
                <w:b w:val="1"/>
                <w:bCs w:val="1"/>
                <w:color w:val="auto"/>
              </w:rPr>
              <w:t>June 30, 2019</w:t>
            </w:r>
          </w:p>
        </w:tc>
        <w:tc>
          <w:tcPr>
            <w:tcW w:w="2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284"/>
              <w:spacing w:after="0"/>
              <w:rPr>
                <w:sz w:val="20"/>
                <w:szCs w:val="20"/>
                <w:color w:val="auto"/>
              </w:rPr>
            </w:pPr>
            <w:r>
              <w:rPr>
                <w:rFonts w:ascii="Arial" w:cs="Arial" w:eastAsia="Arial" w:hAnsi="Arial"/>
                <w:sz w:val="15"/>
                <w:szCs w:val="15"/>
                <w:b w:val="1"/>
                <w:bCs w:val="1"/>
                <w:color w:val="auto"/>
              </w:rPr>
              <w:t>June 30, 2020</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284"/>
              <w:spacing w:after="0"/>
              <w:rPr>
                <w:sz w:val="20"/>
                <w:szCs w:val="20"/>
                <w:color w:val="auto"/>
              </w:rPr>
            </w:pPr>
            <w:r>
              <w:rPr>
                <w:rFonts w:ascii="Arial" w:cs="Arial" w:eastAsia="Arial" w:hAnsi="Arial"/>
                <w:sz w:val="15"/>
                <w:szCs w:val="15"/>
                <w:b w:val="1"/>
                <w:bCs w:val="1"/>
                <w:color w:val="auto"/>
              </w:rPr>
              <w:t>June 30, 2019</w:t>
            </w:r>
          </w:p>
        </w:tc>
      </w:tr>
      <w:tr>
        <w:trPr>
          <w:trHeight w:val="213"/>
        </w:trPr>
        <w:tc>
          <w:tcPr>
            <w:tcW w:w="442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RezPlot equity loss</w:t>
            </w:r>
          </w:p>
        </w:tc>
        <w:tc>
          <w:tcPr>
            <w:tcW w:w="22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w w:val="95"/>
              </w:rPr>
              <w:t>$</w:t>
            </w:r>
          </w:p>
        </w:tc>
        <w:tc>
          <w:tcPr>
            <w:tcW w:w="138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(654)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w w:val="95"/>
              </w:rPr>
              <w:t>$</w:t>
            </w:r>
          </w:p>
        </w:tc>
        <w:tc>
          <w:tcPr>
            <w:tcW w:w="138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(260)</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w w:val="95"/>
              </w:rPr>
              <w:t>$</w:t>
            </w:r>
          </w:p>
        </w:tc>
        <w:tc>
          <w:tcPr>
            <w:tcW w:w="13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(1,154)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w w:val="95"/>
              </w:rPr>
              <w:t>$</w:t>
            </w:r>
          </w:p>
        </w:tc>
        <w:tc>
          <w:tcPr>
            <w:tcW w:w="136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(449)</w:t>
            </w:r>
          </w:p>
        </w:tc>
      </w:tr>
      <w:tr>
        <w:trPr>
          <w:trHeight w:val="212"/>
        </w:trPr>
        <w:tc>
          <w:tcPr>
            <w:tcW w:w="4420" w:type="dxa"/>
            <w:vAlign w:val="bottom"/>
            <w:gridSpan w:val="2"/>
          </w:tcPr>
          <w:p>
            <w:pPr>
              <w:ind w:left="20"/>
              <w:spacing w:after="0"/>
              <w:rPr>
                <w:sz w:val="20"/>
                <w:szCs w:val="20"/>
                <w:color w:val="auto"/>
              </w:rPr>
            </w:pPr>
            <w:r>
              <w:rPr>
                <w:rFonts w:ascii="Arial" w:cs="Arial" w:eastAsia="Arial" w:hAnsi="Arial"/>
                <w:sz w:val="15"/>
                <w:szCs w:val="15"/>
                <w:color w:val="auto"/>
              </w:rPr>
              <w:t>Sungenia JV equity income / (loss)</w:t>
            </w:r>
          </w:p>
        </w:tc>
        <w:tc>
          <w:tcPr>
            <w:tcW w:w="220" w:type="dxa"/>
            <w:vAlign w:val="bottom"/>
          </w:tcPr>
          <w:p>
            <w:pPr>
              <w:spacing w:after="0"/>
              <w:rPr>
                <w:sz w:val="18"/>
                <w:szCs w:val="18"/>
                <w:color w:val="auto"/>
              </w:rPr>
            </w:pPr>
          </w:p>
        </w:tc>
        <w:tc>
          <w:tcPr>
            <w:tcW w:w="1380" w:type="dxa"/>
            <w:vAlign w:val="bottom"/>
          </w:tcPr>
          <w:p>
            <w:pPr>
              <w:jc w:val="right"/>
              <w:ind w:right="84"/>
              <w:spacing w:after="0"/>
              <w:rPr>
                <w:sz w:val="20"/>
                <w:szCs w:val="20"/>
                <w:color w:val="auto"/>
              </w:rPr>
            </w:pPr>
            <w:r>
              <w:rPr>
                <w:rFonts w:ascii="Arial" w:cs="Arial" w:eastAsia="Arial" w:hAnsi="Arial"/>
                <w:sz w:val="15"/>
                <w:szCs w:val="15"/>
                <w:color w:val="auto"/>
              </w:rPr>
              <w:t>262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jc w:val="right"/>
              <w:ind w:right="44"/>
              <w:spacing w:after="0"/>
              <w:rPr>
                <w:sz w:val="20"/>
                <w:szCs w:val="20"/>
                <w:color w:val="auto"/>
              </w:rPr>
            </w:pPr>
            <w:r>
              <w:rPr>
                <w:rFonts w:ascii="Arial" w:cs="Arial" w:eastAsia="Arial" w:hAnsi="Arial"/>
                <w:sz w:val="15"/>
                <w:szCs w:val="15"/>
                <w:color w:val="auto"/>
              </w:rPr>
              <w:t>(18)</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jc w:val="right"/>
              <w:ind w:right="64"/>
              <w:spacing w:after="0"/>
              <w:rPr>
                <w:sz w:val="20"/>
                <w:szCs w:val="20"/>
                <w:color w:val="auto"/>
              </w:rPr>
            </w:pPr>
            <w:r>
              <w:rPr>
                <w:rFonts w:ascii="Arial" w:cs="Arial" w:eastAsia="Arial" w:hAnsi="Arial"/>
                <w:sz w:val="15"/>
                <w:szCs w:val="15"/>
                <w:color w:val="auto"/>
              </w:rPr>
              <w:t>147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jc w:val="right"/>
              <w:ind w:right="24"/>
              <w:spacing w:after="0"/>
              <w:rPr>
                <w:sz w:val="20"/>
                <w:szCs w:val="20"/>
                <w:color w:val="auto"/>
              </w:rPr>
            </w:pPr>
            <w:r>
              <w:rPr>
                <w:rFonts w:ascii="Arial" w:cs="Arial" w:eastAsia="Arial" w:hAnsi="Arial"/>
                <w:sz w:val="15"/>
                <w:szCs w:val="15"/>
                <w:color w:val="auto"/>
              </w:rPr>
              <w:t>(58)</w:t>
            </w:r>
          </w:p>
        </w:tc>
      </w:tr>
      <w:tr>
        <w:trPr>
          <w:trHeight w:val="220"/>
        </w:trPr>
        <w:tc>
          <w:tcPr>
            <w:tcW w:w="442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GTSC equity income</w:t>
            </w: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rPr>
              <w:t>700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690</w:t>
            </w: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1,460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1,265</w:t>
            </w:r>
          </w:p>
        </w:tc>
      </w:tr>
      <w:tr>
        <w:trPr>
          <w:trHeight w:val="212"/>
        </w:trPr>
        <w:tc>
          <w:tcPr>
            <w:tcW w:w="4420" w:type="dxa"/>
            <w:vAlign w:val="bottom"/>
            <w:gridSpan w:val="2"/>
          </w:tcPr>
          <w:p>
            <w:pPr>
              <w:ind w:left="20"/>
              <w:spacing w:after="0"/>
              <w:rPr>
                <w:sz w:val="20"/>
                <w:szCs w:val="20"/>
                <w:color w:val="auto"/>
              </w:rPr>
            </w:pPr>
            <w:r>
              <w:rPr>
                <w:rFonts w:ascii="Arial" w:cs="Arial" w:eastAsia="Arial" w:hAnsi="Arial"/>
                <w:sz w:val="15"/>
                <w:szCs w:val="15"/>
                <w:color w:val="auto"/>
              </w:rPr>
              <w:t>OFS LLC equity income</w:t>
            </w:r>
          </w:p>
        </w:tc>
        <w:tc>
          <w:tcPr>
            <w:tcW w:w="220" w:type="dxa"/>
            <w:vAlign w:val="bottom"/>
          </w:tcPr>
          <w:p>
            <w:pPr>
              <w:spacing w:after="0"/>
              <w:rPr>
                <w:sz w:val="18"/>
                <w:szCs w:val="18"/>
                <w:color w:val="auto"/>
              </w:rPr>
            </w:pPr>
          </w:p>
        </w:tc>
        <w:tc>
          <w:tcPr>
            <w:tcW w:w="1380" w:type="dxa"/>
            <w:vAlign w:val="bottom"/>
          </w:tcPr>
          <w:p>
            <w:pPr>
              <w:jc w:val="right"/>
              <w:ind w:right="84"/>
              <w:spacing w:after="0"/>
              <w:rPr>
                <w:sz w:val="20"/>
                <w:szCs w:val="20"/>
                <w:color w:val="auto"/>
              </w:rPr>
            </w:pPr>
            <w:r>
              <w:rPr>
                <w:rFonts w:ascii="Arial" w:cs="Arial" w:eastAsia="Arial" w:hAnsi="Arial"/>
                <w:sz w:val="15"/>
                <w:szCs w:val="15"/>
                <w:color w:val="auto"/>
              </w:rPr>
              <w:t>42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jc w:val="right"/>
              <w:ind w:right="64"/>
              <w:spacing w:after="0"/>
              <w:rPr>
                <w:sz w:val="20"/>
                <w:szCs w:val="20"/>
                <w:color w:val="auto"/>
              </w:rPr>
            </w:pPr>
            <w:r>
              <w:rPr>
                <w:rFonts w:ascii="Arial" w:cs="Arial" w:eastAsia="Arial" w:hAnsi="Arial"/>
                <w:sz w:val="15"/>
                <w:szCs w:val="15"/>
                <w:color w:val="auto"/>
              </w:rPr>
              <w:t>67</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jc w:val="right"/>
              <w:ind w:right="64"/>
              <w:spacing w:after="0"/>
              <w:rPr>
                <w:sz w:val="20"/>
                <w:szCs w:val="20"/>
                <w:color w:val="auto"/>
              </w:rPr>
            </w:pPr>
            <w:r>
              <w:rPr>
                <w:rFonts w:ascii="Arial" w:cs="Arial" w:eastAsia="Arial" w:hAnsi="Arial"/>
                <w:sz w:val="15"/>
                <w:szCs w:val="15"/>
                <w:color w:val="auto"/>
              </w:rPr>
              <w:t>80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jc w:val="right"/>
              <w:ind w:right="64"/>
              <w:spacing w:after="0"/>
              <w:rPr>
                <w:sz w:val="20"/>
                <w:szCs w:val="20"/>
                <w:color w:val="auto"/>
              </w:rPr>
            </w:pPr>
            <w:r>
              <w:rPr>
                <w:rFonts w:ascii="Arial" w:cs="Arial" w:eastAsia="Arial" w:hAnsi="Arial"/>
                <w:sz w:val="15"/>
                <w:szCs w:val="15"/>
                <w:color w:val="auto"/>
              </w:rPr>
              <w:t>109</w:t>
            </w:r>
          </w:p>
        </w:tc>
      </w:tr>
      <w:tr>
        <w:trPr>
          <w:trHeight w:val="216"/>
        </w:trPr>
        <w:tc>
          <w:tcPr>
            <w:tcW w:w="442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SV Lift equity loss</w:t>
            </w:r>
          </w:p>
        </w:tc>
        <w:tc>
          <w:tcPr>
            <w:tcW w:w="22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(258)</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360"/>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(389)</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w:t>
            </w:r>
          </w:p>
        </w:tc>
      </w:tr>
      <w:tr>
        <w:trPr>
          <w:trHeight w:val="213"/>
        </w:trPr>
        <w:tc>
          <w:tcPr>
            <w:tcW w:w="4420" w:type="dxa"/>
            <w:vAlign w:val="bottom"/>
            <w:gridSpan w:val="2"/>
          </w:tcPr>
          <w:p>
            <w:pPr>
              <w:ind w:left="220"/>
              <w:spacing w:after="0"/>
              <w:rPr>
                <w:sz w:val="20"/>
                <w:szCs w:val="20"/>
                <w:color w:val="auto"/>
              </w:rPr>
            </w:pPr>
            <w:r>
              <w:rPr>
                <w:rFonts w:ascii="Arial" w:cs="Arial" w:eastAsia="Arial" w:hAnsi="Arial"/>
                <w:sz w:val="15"/>
                <w:szCs w:val="15"/>
                <w:b w:val="1"/>
                <w:bCs w:val="1"/>
                <w:color w:val="auto"/>
              </w:rPr>
              <w:t>Total Income from Nonconsolidated Affiliates</w:t>
            </w:r>
          </w:p>
        </w:tc>
        <w:tc>
          <w:tcPr>
            <w:tcW w:w="220" w:type="dxa"/>
            <w:vAlign w:val="bottom"/>
            <w:tcBorders>
              <w:top w:val="single" w:sz="8" w:color="auto"/>
              <w:bottom w:val="single" w:sz="8" w:color="auto"/>
            </w:tcBorders>
          </w:tcPr>
          <w:p>
            <w:pPr>
              <w:jc w:val="right"/>
              <w:ind w:right="44"/>
              <w:spacing w:after="0"/>
              <w:rPr>
                <w:sz w:val="20"/>
                <w:szCs w:val="20"/>
                <w:color w:val="auto"/>
              </w:rPr>
            </w:pPr>
            <w:r>
              <w:rPr>
                <w:rFonts w:ascii="Arial" w:cs="Arial" w:eastAsia="Arial" w:hAnsi="Arial"/>
                <w:sz w:val="15"/>
                <w:szCs w:val="15"/>
                <w:color w:val="auto"/>
                <w:w w:val="95"/>
              </w:rPr>
              <w:t>$</w:t>
            </w:r>
          </w:p>
        </w:tc>
        <w:tc>
          <w:tcPr>
            <w:tcW w:w="1380" w:type="dxa"/>
            <w:vAlign w:val="bottom"/>
            <w:tcBorders>
              <w:top w:val="single" w:sz="8" w:color="auto"/>
              <w:bottom w:val="single" w:sz="8" w:color="auto"/>
            </w:tcBorders>
          </w:tcPr>
          <w:p>
            <w:pPr>
              <w:jc w:val="right"/>
              <w:ind w:right="84"/>
              <w:spacing w:after="0"/>
              <w:rPr>
                <w:sz w:val="20"/>
                <w:szCs w:val="20"/>
                <w:color w:val="auto"/>
              </w:rPr>
            </w:pPr>
            <w:r>
              <w:rPr>
                <w:rFonts w:ascii="Arial" w:cs="Arial" w:eastAsia="Arial" w:hAnsi="Arial"/>
                <w:sz w:val="15"/>
                <w:szCs w:val="15"/>
                <w:color w:val="auto"/>
              </w:rPr>
              <w:t>92</w:t>
            </w:r>
          </w:p>
        </w:tc>
        <w:tc>
          <w:tcPr>
            <w:tcW w:w="10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44"/>
              <w:spacing w:after="0"/>
              <w:rPr>
                <w:sz w:val="20"/>
                <w:szCs w:val="20"/>
                <w:color w:val="auto"/>
              </w:rPr>
            </w:pPr>
            <w:r>
              <w:rPr>
                <w:rFonts w:ascii="Arial" w:cs="Arial" w:eastAsia="Arial" w:hAnsi="Arial"/>
                <w:sz w:val="15"/>
                <w:szCs w:val="15"/>
                <w:color w:val="auto"/>
                <w:w w:val="95"/>
              </w:rPr>
              <w:t>$</w:t>
            </w:r>
          </w:p>
        </w:tc>
        <w:tc>
          <w:tcPr>
            <w:tcW w:w="1380" w:type="dxa"/>
            <w:vAlign w:val="bottom"/>
            <w:tcBorders>
              <w:top w:val="single" w:sz="8" w:color="auto"/>
              <w:bottom w:val="single" w:sz="8" w:color="auto"/>
            </w:tcBorders>
          </w:tcPr>
          <w:p>
            <w:pPr>
              <w:jc w:val="right"/>
              <w:ind w:right="64"/>
              <w:spacing w:after="0"/>
              <w:rPr>
                <w:sz w:val="20"/>
                <w:szCs w:val="20"/>
                <w:color w:val="auto"/>
              </w:rPr>
            </w:pPr>
            <w:r>
              <w:rPr>
                <w:rFonts w:ascii="Arial" w:cs="Arial" w:eastAsia="Arial" w:hAnsi="Arial"/>
                <w:sz w:val="15"/>
                <w:szCs w:val="15"/>
                <w:color w:val="auto"/>
              </w:rPr>
              <w:t>479</w:t>
            </w:r>
          </w:p>
        </w:tc>
        <w:tc>
          <w:tcPr>
            <w:tcW w:w="22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44"/>
              <w:spacing w:after="0"/>
              <w:rPr>
                <w:sz w:val="20"/>
                <w:szCs w:val="20"/>
                <w:color w:val="auto"/>
              </w:rPr>
            </w:pPr>
            <w:r>
              <w:rPr>
                <w:rFonts w:ascii="Arial" w:cs="Arial" w:eastAsia="Arial" w:hAnsi="Arial"/>
                <w:sz w:val="15"/>
                <w:szCs w:val="15"/>
                <w:color w:val="auto"/>
                <w:w w:val="95"/>
              </w:rPr>
              <w:t>$</w:t>
            </w:r>
          </w:p>
        </w:tc>
        <w:tc>
          <w:tcPr>
            <w:tcW w:w="1380" w:type="dxa"/>
            <w:vAlign w:val="bottom"/>
            <w:tcBorders>
              <w:top w:val="single" w:sz="8" w:color="auto"/>
              <w:bottom w:val="single" w:sz="8" w:color="auto"/>
            </w:tcBorders>
          </w:tcPr>
          <w:p>
            <w:pPr>
              <w:jc w:val="right"/>
              <w:ind w:right="64"/>
              <w:spacing w:after="0"/>
              <w:rPr>
                <w:sz w:val="20"/>
                <w:szCs w:val="20"/>
                <w:color w:val="auto"/>
              </w:rPr>
            </w:pPr>
            <w:r>
              <w:rPr>
                <w:rFonts w:ascii="Arial" w:cs="Arial" w:eastAsia="Arial" w:hAnsi="Arial"/>
                <w:sz w:val="15"/>
                <w:szCs w:val="15"/>
                <w:color w:val="auto"/>
              </w:rPr>
              <w:t>144</w:t>
            </w:r>
          </w:p>
        </w:tc>
        <w:tc>
          <w:tcPr>
            <w:tcW w:w="10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64"/>
              <w:spacing w:after="0"/>
              <w:rPr>
                <w:sz w:val="20"/>
                <w:szCs w:val="20"/>
                <w:color w:val="auto"/>
              </w:rPr>
            </w:pPr>
            <w:r>
              <w:rPr>
                <w:rFonts w:ascii="Arial" w:cs="Arial" w:eastAsia="Arial" w:hAnsi="Arial"/>
                <w:sz w:val="15"/>
                <w:szCs w:val="15"/>
                <w:color w:val="auto"/>
                <w:w w:val="95"/>
              </w:rPr>
              <w:t>$</w:t>
            </w:r>
          </w:p>
        </w:tc>
        <w:tc>
          <w:tcPr>
            <w:tcW w:w="1360" w:type="dxa"/>
            <w:vAlign w:val="bottom"/>
            <w:tcBorders>
              <w:top w:val="single" w:sz="8" w:color="auto"/>
              <w:bottom w:val="single" w:sz="8" w:color="auto"/>
            </w:tcBorders>
          </w:tcPr>
          <w:p>
            <w:pPr>
              <w:jc w:val="right"/>
              <w:ind w:right="64"/>
              <w:spacing w:after="0"/>
              <w:rPr>
                <w:sz w:val="20"/>
                <w:szCs w:val="20"/>
                <w:color w:val="auto"/>
              </w:rPr>
            </w:pPr>
            <w:r>
              <w:rPr>
                <w:rFonts w:ascii="Arial" w:cs="Arial" w:eastAsia="Arial" w:hAnsi="Arial"/>
                <w:sz w:val="15"/>
                <w:szCs w:val="15"/>
                <w:color w:val="auto"/>
              </w:rPr>
              <w:t>867</w:t>
            </w:r>
          </w:p>
        </w:tc>
      </w:tr>
      <w:tr>
        <w:trPr>
          <w:trHeight w:val="21"/>
        </w:trPr>
        <w:tc>
          <w:tcPr>
            <w:tcW w:w="4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7" w:name="page18"/>
    <w:bookmarkEnd w:id="17"/>
    <w:p>
      <w:pPr>
        <w:jc w:val="center"/>
        <w:spacing w:after="0"/>
        <w:rPr>
          <w:sz w:val="20"/>
          <w:szCs w:val="20"/>
          <w:color w:val="auto"/>
        </w:rPr>
      </w:pPr>
      <w:r>
        <w:rPr>
          <w:rFonts w:ascii="Arial" w:cs="Arial" w:eastAsia="Arial" w:hAnsi="Arial"/>
          <w:sz w:val="16"/>
          <w:szCs w:val="16"/>
          <w:b w:val="1"/>
          <w:bCs w:val="1"/>
          <w:color w:val="auto"/>
        </w:rPr>
        <w:t>SUN COMMUNITIES, INC.</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 -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color w:val="auto"/>
        </w:rPr>
        <w:t>The change in the GTSC investment balance is as follows (in thousands):</w:t>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6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120" w:type="dxa"/>
            <w:vAlign w:val="bottom"/>
            <w:gridSpan w:val="2"/>
          </w:tcPr>
          <w:p>
            <w:pPr>
              <w:jc w:val="center"/>
              <w:ind w:right="520"/>
              <w:spacing w:after="0"/>
              <w:rPr>
                <w:sz w:val="20"/>
                <w:szCs w:val="20"/>
                <w:color w:val="auto"/>
              </w:rPr>
            </w:pPr>
            <w:r>
              <w:rPr>
                <w:rFonts w:ascii="Arial" w:cs="Arial" w:eastAsia="Arial" w:hAnsi="Arial"/>
                <w:sz w:val="15"/>
                <w:szCs w:val="15"/>
                <w:b w:val="1"/>
                <w:bCs w:val="1"/>
                <w:color w:val="auto"/>
                <w:w w:val="92"/>
              </w:rPr>
              <w:t>Six Months Ended</w:t>
            </w:r>
          </w:p>
        </w:tc>
        <w:tc>
          <w:tcPr>
            <w:tcW w:w="280" w:type="dxa"/>
            <w:vAlign w:val="bottom"/>
          </w:tcPr>
          <w:p>
            <w:pPr>
              <w:spacing w:after="0"/>
              <w:rPr>
                <w:sz w:val="17"/>
                <w:szCs w:val="17"/>
                <w:color w:val="auto"/>
              </w:rPr>
            </w:pPr>
          </w:p>
        </w:tc>
        <w:tc>
          <w:tcPr>
            <w:tcW w:w="1900" w:type="dxa"/>
            <w:vAlign w:val="bottom"/>
          </w:tcPr>
          <w:p>
            <w:pPr>
              <w:jc w:val="right"/>
              <w:ind w:right="624"/>
              <w:spacing w:after="0"/>
              <w:rPr>
                <w:sz w:val="20"/>
                <w:szCs w:val="20"/>
                <w:color w:val="auto"/>
              </w:rPr>
            </w:pPr>
            <w:r>
              <w:rPr>
                <w:rFonts w:ascii="Arial" w:cs="Arial" w:eastAsia="Arial" w:hAnsi="Arial"/>
                <w:sz w:val="15"/>
                <w:szCs w:val="15"/>
                <w:b w:val="1"/>
                <w:bCs w:val="1"/>
                <w:color w:val="auto"/>
              </w:rPr>
              <w:t>Year Ended</w:t>
            </w:r>
          </w:p>
        </w:tc>
      </w:tr>
      <w:tr>
        <w:trPr>
          <w:trHeight w:val="220"/>
        </w:trPr>
        <w:tc>
          <w:tcPr>
            <w:tcW w:w="6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120" w:type="dxa"/>
            <w:vAlign w:val="bottom"/>
            <w:gridSpan w:val="2"/>
          </w:tcPr>
          <w:p>
            <w:pPr>
              <w:jc w:val="center"/>
              <w:ind w:right="520"/>
              <w:spacing w:after="0"/>
              <w:rPr>
                <w:sz w:val="20"/>
                <w:szCs w:val="20"/>
                <w:color w:val="auto"/>
              </w:rPr>
            </w:pPr>
            <w:r>
              <w:rPr>
                <w:rFonts w:ascii="Arial" w:cs="Arial" w:eastAsia="Arial" w:hAnsi="Arial"/>
                <w:sz w:val="15"/>
                <w:szCs w:val="15"/>
                <w:b w:val="1"/>
                <w:bCs w:val="1"/>
                <w:color w:val="auto"/>
                <w:w w:val="90"/>
              </w:rPr>
              <w:t>June 30, 2020</w:t>
            </w:r>
          </w:p>
        </w:tc>
        <w:tc>
          <w:tcPr>
            <w:tcW w:w="280" w:type="dxa"/>
            <w:vAlign w:val="bottom"/>
          </w:tcPr>
          <w:p>
            <w:pPr>
              <w:spacing w:after="0"/>
              <w:rPr>
                <w:sz w:val="19"/>
                <w:szCs w:val="19"/>
                <w:color w:val="auto"/>
              </w:rPr>
            </w:pPr>
          </w:p>
        </w:tc>
        <w:tc>
          <w:tcPr>
            <w:tcW w:w="1900" w:type="dxa"/>
            <w:vAlign w:val="bottom"/>
          </w:tcPr>
          <w:p>
            <w:pPr>
              <w:jc w:val="right"/>
              <w:ind w:right="404"/>
              <w:spacing w:after="0"/>
              <w:rPr>
                <w:sz w:val="20"/>
                <w:szCs w:val="20"/>
                <w:color w:val="auto"/>
              </w:rPr>
            </w:pPr>
            <w:r>
              <w:rPr>
                <w:rFonts w:ascii="Arial" w:cs="Arial" w:eastAsia="Arial" w:hAnsi="Arial"/>
                <w:sz w:val="15"/>
                <w:szCs w:val="15"/>
                <w:b w:val="1"/>
                <w:bCs w:val="1"/>
                <w:color w:val="auto"/>
              </w:rPr>
              <w:t>December 31, 2019</w:t>
            </w:r>
          </w:p>
        </w:tc>
      </w:tr>
      <w:tr>
        <w:trPr>
          <w:trHeight w:val="213"/>
        </w:trPr>
        <w:tc>
          <w:tcPr>
            <w:tcW w:w="66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Beginning balance</w:t>
            </w:r>
          </w:p>
        </w:tc>
        <w:tc>
          <w:tcPr>
            <w:tcW w:w="280" w:type="dxa"/>
            <w:vAlign w:val="bottom"/>
            <w:tcBorders>
              <w:top w:val="single" w:sz="8" w:color="auto"/>
            </w:tcBorders>
            <w:shd w:val="clear" w:color="auto" w:fill="CCEEFF"/>
          </w:tcPr>
          <w:p>
            <w:pPr>
              <w:jc w:val="right"/>
              <w:ind w:right="104"/>
              <w:spacing w:after="0"/>
              <w:rPr>
                <w:sz w:val="20"/>
                <w:szCs w:val="20"/>
                <w:color w:val="auto"/>
              </w:rPr>
            </w:pPr>
            <w:r>
              <w:rPr>
                <w:rFonts w:ascii="Arial" w:cs="Arial" w:eastAsia="Arial" w:hAnsi="Arial"/>
                <w:sz w:val="15"/>
                <w:szCs w:val="15"/>
                <w:color w:val="auto"/>
                <w:w w:val="95"/>
              </w:rPr>
              <w:t>$</w:t>
            </w:r>
          </w:p>
        </w:tc>
        <w:tc>
          <w:tcPr>
            <w:tcW w:w="1880" w:type="dxa"/>
            <w:vAlign w:val="bottom"/>
            <w:tcBorders>
              <w:top w:val="single" w:sz="8" w:color="auto"/>
            </w:tcBorders>
            <w:shd w:val="clear" w:color="auto" w:fill="CCEEFF"/>
          </w:tcPr>
          <w:p>
            <w:pPr>
              <w:jc w:val="right"/>
              <w:ind w:right="64"/>
              <w:spacing w:after="0"/>
              <w:rPr>
                <w:sz w:val="20"/>
                <w:szCs w:val="20"/>
                <w:color w:val="auto"/>
              </w:rPr>
            </w:pPr>
            <w:r>
              <w:rPr>
                <w:rFonts w:ascii="Arial" w:cs="Arial" w:eastAsia="Arial" w:hAnsi="Arial"/>
                <w:sz w:val="15"/>
                <w:szCs w:val="15"/>
                <w:color w:val="auto"/>
              </w:rPr>
              <w:t>18,488</w:t>
            </w:r>
          </w:p>
        </w:tc>
        <w:tc>
          <w:tcPr>
            <w:tcW w:w="2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104"/>
              <w:spacing w:after="0"/>
              <w:rPr>
                <w:sz w:val="20"/>
                <w:szCs w:val="20"/>
                <w:color w:val="auto"/>
              </w:rPr>
            </w:pPr>
            <w:r>
              <w:rPr>
                <w:rFonts w:ascii="Arial" w:cs="Arial" w:eastAsia="Arial" w:hAnsi="Arial"/>
                <w:sz w:val="15"/>
                <w:szCs w:val="15"/>
                <w:color w:val="auto"/>
                <w:w w:val="95"/>
              </w:rPr>
              <w:t>$</w:t>
            </w:r>
          </w:p>
        </w:tc>
        <w:tc>
          <w:tcPr>
            <w:tcW w:w="1900" w:type="dxa"/>
            <w:vAlign w:val="bottom"/>
            <w:tcBorders>
              <w:top w:val="single" w:sz="8" w:color="auto"/>
            </w:tcBorders>
            <w:shd w:val="clear" w:color="auto" w:fill="CCEEFF"/>
          </w:tcPr>
          <w:p>
            <w:pPr>
              <w:jc w:val="right"/>
              <w:ind w:right="84"/>
              <w:spacing w:after="0"/>
              <w:rPr>
                <w:sz w:val="20"/>
                <w:szCs w:val="20"/>
                <w:color w:val="auto"/>
              </w:rPr>
            </w:pPr>
            <w:r>
              <w:rPr>
                <w:rFonts w:ascii="Arial" w:cs="Arial" w:eastAsia="Arial" w:hAnsi="Arial"/>
                <w:sz w:val="15"/>
                <w:szCs w:val="15"/>
                <w:color w:val="auto"/>
              </w:rPr>
              <w:t>29,780</w:t>
            </w:r>
          </w:p>
        </w:tc>
      </w:tr>
      <w:tr>
        <w:trPr>
          <w:trHeight w:val="212"/>
        </w:trPr>
        <w:tc>
          <w:tcPr>
            <w:tcW w:w="6640" w:type="dxa"/>
            <w:vAlign w:val="bottom"/>
          </w:tcPr>
          <w:p>
            <w:pPr>
              <w:ind w:left="20"/>
              <w:spacing w:after="0"/>
              <w:rPr>
                <w:sz w:val="20"/>
                <w:szCs w:val="20"/>
                <w:color w:val="auto"/>
              </w:rPr>
            </w:pPr>
            <w:r>
              <w:rPr>
                <w:rFonts w:ascii="Arial" w:cs="Arial" w:eastAsia="Arial" w:hAnsi="Arial"/>
                <w:sz w:val="15"/>
                <w:szCs w:val="15"/>
                <w:color w:val="auto"/>
              </w:rPr>
              <w:t>Adjustment of allowance for losses</w:t>
            </w:r>
          </w:p>
        </w:tc>
        <w:tc>
          <w:tcPr>
            <w:tcW w:w="280" w:type="dxa"/>
            <w:vAlign w:val="bottom"/>
          </w:tcPr>
          <w:p>
            <w:pPr>
              <w:spacing w:after="0"/>
              <w:rPr>
                <w:sz w:val="18"/>
                <w:szCs w:val="18"/>
                <w:color w:val="auto"/>
              </w:rPr>
            </w:pPr>
          </w:p>
        </w:tc>
        <w:tc>
          <w:tcPr>
            <w:tcW w:w="2120" w:type="dxa"/>
            <w:vAlign w:val="bottom"/>
            <w:gridSpan w:val="2"/>
          </w:tcPr>
          <w:p>
            <w:pPr>
              <w:jc w:val="right"/>
              <w:ind w:right="380"/>
              <w:spacing w:after="0"/>
              <w:rPr>
                <w:sz w:val="20"/>
                <w:szCs w:val="20"/>
                <w:color w:val="auto"/>
              </w:rPr>
            </w:pPr>
            <w:r>
              <w:rPr>
                <w:rFonts w:ascii="Arial" w:cs="Arial" w:eastAsia="Arial" w:hAnsi="Arial"/>
                <w:sz w:val="15"/>
                <w:szCs w:val="15"/>
                <w:color w:val="auto"/>
              </w:rPr>
              <w:t>—</w:t>
            </w:r>
          </w:p>
        </w:tc>
        <w:tc>
          <w:tcPr>
            <w:tcW w:w="280" w:type="dxa"/>
            <w:vAlign w:val="bottom"/>
          </w:tcPr>
          <w:p>
            <w:pPr>
              <w:spacing w:after="0"/>
              <w:rPr>
                <w:sz w:val="18"/>
                <w:szCs w:val="18"/>
                <w:color w:val="auto"/>
              </w:rPr>
            </w:pPr>
          </w:p>
        </w:tc>
        <w:tc>
          <w:tcPr>
            <w:tcW w:w="1900" w:type="dxa"/>
            <w:vAlign w:val="bottom"/>
          </w:tcPr>
          <w:p>
            <w:pPr>
              <w:jc w:val="right"/>
              <w:ind w:right="84"/>
              <w:spacing w:after="0"/>
              <w:rPr>
                <w:sz w:val="20"/>
                <w:szCs w:val="20"/>
                <w:color w:val="auto"/>
              </w:rPr>
            </w:pPr>
            <w:r>
              <w:rPr>
                <w:rFonts w:ascii="Arial" w:cs="Arial" w:eastAsia="Arial" w:hAnsi="Arial"/>
                <w:sz w:val="15"/>
                <w:szCs w:val="15"/>
                <w:color w:val="auto"/>
              </w:rPr>
              <w:t>144</w:t>
            </w:r>
          </w:p>
        </w:tc>
      </w:tr>
      <w:tr>
        <w:trPr>
          <w:trHeight w:val="220"/>
        </w:trPr>
        <w:tc>
          <w:tcPr>
            <w:tcW w:w="6640" w:type="dxa"/>
            <w:vAlign w:val="bottom"/>
            <w:shd w:val="clear" w:color="auto" w:fill="CCEEFF"/>
          </w:tcPr>
          <w:p>
            <w:pPr>
              <w:ind w:left="20"/>
              <w:spacing w:after="0"/>
              <w:rPr>
                <w:sz w:val="20"/>
                <w:szCs w:val="20"/>
                <w:color w:val="auto"/>
              </w:rPr>
            </w:pPr>
            <w:r>
              <w:rPr>
                <w:rFonts w:ascii="Arial" w:cs="Arial" w:eastAsia="Arial" w:hAnsi="Arial"/>
                <w:sz w:val="15"/>
                <w:szCs w:val="15"/>
                <w:color w:val="auto"/>
              </w:rPr>
              <w:t>Initial fair value option adjustment (see Note 17)</w:t>
            </w:r>
          </w:p>
        </w:tc>
        <w:tc>
          <w:tcPr>
            <w:tcW w:w="280" w:type="dxa"/>
            <w:vAlign w:val="bottom"/>
            <w:shd w:val="clear" w:color="auto" w:fill="CCEEFF"/>
          </w:tcPr>
          <w:p>
            <w:pPr>
              <w:spacing w:after="0"/>
              <w:rPr>
                <w:sz w:val="19"/>
                <w:szCs w:val="19"/>
                <w:color w:val="auto"/>
              </w:rPr>
            </w:pPr>
          </w:p>
        </w:tc>
        <w:tc>
          <w:tcPr>
            <w:tcW w:w="188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317</w:t>
            </w:r>
          </w:p>
        </w:tc>
        <w:tc>
          <w:tcPr>
            <w:tcW w:w="2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90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rPr>
              <w:t>—</w:t>
            </w:r>
          </w:p>
        </w:tc>
      </w:tr>
      <w:tr>
        <w:trPr>
          <w:trHeight w:val="212"/>
        </w:trPr>
        <w:tc>
          <w:tcPr>
            <w:tcW w:w="6640" w:type="dxa"/>
            <w:vAlign w:val="bottom"/>
          </w:tcPr>
          <w:p>
            <w:pPr>
              <w:ind w:left="20"/>
              <w:spacing w:after="0"/>
              <w:rPr>
                <w:sz w:val="20"/>
                <w:szCs w:val="20"/>
                <w:color w:val="auto"/>
              </w:rPr>
            </w:pPr>
            <w:r>
              <w:rPr>
                <w:rFonts w:ascii="Arial" w:cs="Arial" w:eastAsia="Arial" w:hAnsi="Arial"/>
                <w:sz w:val="15"/>
                <w:szCs w:val="15"/>
                <w:color w:val="auto"/>
              </w:rPr>
              <w:t>Cash contributions</w:t>
            </w:r>
          </w:p>
        </w:tc>
        <w:tc>
          <w:tcPr>
            <w:tcW w:w="280" w:type="dxa"/>
            <w:vAlign w:val="bottom"/>
          </w:tcPr>
          <w:p>
            <w:pPr>
              <w:spacing w:after="0"/>
              <w:rPr>
                <w:sz w:val="18"/>
                <w:szCs w:val="18"/>
                <w:color w:val="auto"/>
              </w:rPr>
            </w:pPr>
          </w:p>
        </w:tc>
        <w:tc>
          <w:tcPr>
            <w:tcW w:w="1880" w:type="dxa"/>
            <w:vAlign w:val="bottom"/>
          </w:tcPr>
          <w:p>
            <w:pPr>
              <w:jc w:val="right"/>
              <w:ind w:right="64"/>
              <w:spacing w:after="0"/>
              <w:rPr>
                <w:sz w:val="20"/>
                <w:szCs w:val="20"/>
                <w:color w:val="auto"/>
              </w:rPr>
            </w:pPr>
            <w:r>
              <w:rPr>
                <w:rFonts w:ascii="Arial" w:cs="Arial" w:eastAsia="Arial" w:hAnsi="Arial"/>
                <w:sz w:val="15"/>
                <w:szCs w:val="15"/>
                <w:color w:val="auto"/>
              </w:rPr>
              <w:t>7,912</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00" w:type="dxa"/>
            <w:vAlign w:val="bottom"/>
          </w:tcPr>
          <w:p>
            <w:pPr>
              <w:jc w:val="right"/>
              <w:ind w:right="84"/>
              <w:spacing w:after="0"/>
              <w:rPr>
                <w:sz w:val="20"/>
                <w:szCs w:val="20"/>
                <w:color w:val="auto"/>
              </w:rPr>
            </w:pPr>
            <w:r>
              <w:rPr>
                <w:rFonts w:ascii="Arial" w:cs="Arial" w:eastAsia="Arial" w:hAnsi="Arial"/>
                <w:sz w:val="15"/>
                <w:szCs w:val="15"/>
                <w:color w:val="auto"/>
              </w:rPr>
              <w:t>33,143</w:t>
            </w:r>
          </w:p>
        </w:tc>
      </w:tr>
      <w:tr>
        <w:trPr>
          <w:trHeight w:val="220"/>
        </w:trPr>
        <w:tc>
          <w:tcPr>
            <w:tcW w:w="6640" w:type="dxa"/>
            <w:vAlign w:val="bottom"/>
            <w:shd w:val="clear" w:color="auto" w:fill="CCEEFF"/>
          </w:tcPr>
          <w:p>
            <w:pPr>
              <w:ind w:left="20"/>
              <w:spacing w:after="0"/>
              <w:rPr>
                <w:sz w:val="20"/>
                <w:szCs w:val="20"/>
                <w:color w:val="auto"/>
              </w:rPr>
            </w:pPr>
            <w:r>
              <w:rPr>
                <w:rFonts w:ascii="Arial" w:cs="Arial" w:eastAsia="Arial" w:hAnsi="Arial"/>
                <w:sz w:val="15"/>
                <w:szCs w:val="15"/>
                <w:color w:val="auto"/>
              </w:rPr>
              <w:t>Distributions</w:t>
            </w:r>
          </w:p>
        </w:tc>
        <w:tc>
          <w:tcPr>
            <w:tcW w:w="280" w:type="dxa"/>
            <w:vAlign w:val="bottom"/>
            <w:shd w:val="clear" w:color="auto" w:fill="CCEEFF"/>
          </w:tcPr>
          <w:p>
            <w:pPr>
              <w:spacing w:after="0"/>
              <w:rPr>
                <w:sz w:val="19"/>
                <w:szCs w:val="19"/>
                <w:color w:val="auto"/>
              </w:rPr>
            </w:pPr>
          </w:p>
        </w:tc>
        <w:tc>
          <w:tcPr>
            <w:tcW w:w="18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(3,530)</w:t>
            </w:r>
          </w:p>
        </w:tc>
        <w:tc>
          <w:tcPr>
            <w:tcW w:w="2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9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(47,382)</w:t>
            </w:r>
          </w:p>
        </w:tc>
      </w:tr>
      <w:tr>
        <w:trPr>
          <w:trHeight w:val="212"/>
        </w:trPr>
        <w:tc>
          <w:tcPr>
            <w:tcW w:w="6640" w:type="dxa"/>
            <w:vAlign w:val="bottom"/>
          </w:tcPr>
          <w:p>
            <w:pPr>
              <w:ind w:left="20"/>
              <w:spacing w:after="0"/>
              <w:rPr>
                <w:sz w:val="20"/>
                <w:szCs w:val="20"/>
                <w:color w:val="auto"/>
              </w:rPr>
            </w:pPr>
            <w:r>
              <w:rPr>
                <w:rFonts w:ascii="Arial" w:cs="Arial" w:eastAsia="Arial" w:hAnsi="Arial"/>
                <w:sz w:val="15"/>
                <w:szCs w:val="15"/>
                <w:color w:val="auto"/>
              </w:rPr>
              <w:t>Equity earnings</w:t>
            </w:r>
          </w:p>
        </w:tc>
        <w:tc>
          <w:tcPr>
            <w:tcW w:w="280" w:type="dxa"/>
            <w:vAlign w:val="bottom"/>
          </w:tcPr>
          <w:p>
            <w:pPr>
              <w:spacing w:after="0"/>
              <w:rPr>
                <w:sz w:val="18"/>
                <w:szCs w:val="18"/>
                <w:color w:val="auto"/>
              </w:rPr>
            </w:pPr>
          </w:p>
        </w:tc>
        <w:tc>
          <w:tcPr>
            <w:tcW w:w="1880" w:type="dxa"/>
            <w:vAlign w:val="bottom"/>
          </w:tcPr>
          <w:p>
            <w:pPr>
              <w:jc w:val="right"/>
              <w:ind w:right="64"/>
              <w:spacing w:after="0"/>
              <w:rPr>
                <w:sz w:val="20"/>
                <w:szCs w:val="20"/>
                <w:color w:val="auto"/>
              </w:rPr>
            </w:pPr>
            <w:r>
              <w:rPr>
                <w:rFonts w:ascii="Arial" w:cs="Arial" w:eastAsia="Arial" w:hAnsi="Arial"/>
                <w:sz w:val="15"/>
                <w:szCs w:val="15"/>
                <w:color w:val="auto"/>
              </w:rPr>
              <w:t>1,460</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00" w:type="dxa"/>
            <w:vAlign w:val="bottom"/>
          </w:tcPr>
          <w:p>
            <w:pPr>
              <w:jc w:val="right"/>
              <w:ind w:right="84"/>
              <w:spacing w:after="0"/>
              <w:rPr>
                <w:sz w:val="20"/>
                <w:szCs w:val="20"/>
                <w:color w:val="auto"/>
              </w:rPr>
            </w:pPr>
            <w:r>
              <w:rPr>
                <w:rFonts w:ascii="Arial" w:cs="Arial" w:eastAsia="Arial" w:hAnsi="Arial"/>
                <w:sz w:val="15"/>
                <w:szCs w:val="15"/>
                <w:color w:val="auto"/>
              </w:rPr>
              <w:t>2,803</w:t>
            </w:r>
          </w:p>
        </w:tc>
      </w:tr>
      <w:tr>
        <w:trPr>
          <w:trHeight w:val="216"/>
        </w:trPr>
        <w:tc>
          <w:tcPr>
            <w:tcW w:w="6640" w:type="dxa"/>
            <w:vAlign w:val="bottom"/>
            <w:shd w:val="clear" w:color="auto" w:fill="CCEEFF"/>
          </w:tcPr>
          <w:p>
            <w:pPr>
              <w:ind w:left="20"/>
              <w:spacing w:after="0"/>
              <w:rPr>
                <w:sz w:val="20"/>
                <w:szCs w:val="20"/>
                <w:color w:val="auto"/>
              </w:rPr>
            </w:pPr>
            <w:r>
              <w:rPr>
                <w:rFonts w:ascii="Arial" w:cs="Arial" w:eastAsia="Arial" w:hAnsi="Arial"/>
                <w:sz w:val="15"/>
                <w:szCs w:val="15"/>
                <w:color w:val="auto"/>
              </w:rPr>
              <w:t>Fair value adjustment</w:t>
            </w:r>
          </w:p>
        </w:tc>
        <w:tc>
          <w:tcPr>
            <w:tcW w:w="280" w:type="dxa"/>
            <w:vAlign w:val="bottom"/>
            <w:tcBorders>
              <w:bottom w:val="single" w:sz="8" w:color="auto"/>
            </w:tcBorders>
            <w:shd w:val="clear" w:color="auto" w:fill="CCEEFF"/>
          </w:tcPr>
          <w:p>
            <w:pPr>
              <w:spacing w:after="0"/>
              <w:rPr>
                <w:sz w:val="18"/>
                <w:szCs w:val="18"/>
                <w:color w:val="auto"/>
              </w:rPr>
            </w:pPr>
          </w:p>
        </w:tc>
        <w:tc>
          <w:tcPr>
            <w:tcW w:w="188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rPr>
              <w:t>(1,059)</w:t>
            </w:r>
          </w:p>
        </w:tc>
        <w:tc>
          <w:tcPr>
            <w:tcW w:w="24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900" w:type="dxa"/>
            <w:vAlign w:val="bottom"/>
            <w:tcBorders>
              <w:bottom w:val="single" w:sz="8" w:color="auto"/>
            </w:tcBorders>
            <w:shd w:val="clear" w:color="auto" w:fill="CCEEFF"/>
          </w:tcPr>
          <w:p>
            <w:pPr>
              <w:jc w:val="right"/>
              <w:ind w:right="84"/>
              <w:spacing w:after="0"/>
              <w:rPr>
                <w:sz w:val="20"/>
                <w:szCs w:val="20"/>
                <w:color w:val="auto"/>
              </w:rPr>
            </w:pPr>
            <w:r>
              <w:rPr>
                <w:rFonts w:ascii="Arial" w:cs="Arial" w:eastAsia="Arial" w:hAnsi="Arial"/>
                <w:sz w:val="15"/>
                <w:szCs w:val="15"/>
                <w:color w:val="auto"/>
              </w:rPr>
              <w:t>—</w:t>
            </w:r>
          </w:p>
        </w:tc>
      </w:tr>
      <w:tr>
        <w:trPr>
          <w:trHeight w:val="213"/>
        </w:trPr>
        <w:tc>
          <w:tcPr>
            <w:tcW w:w="6640" w:type="dxa"/>
            <w:vAlign w:val="bottom"/>
          </w:tcPr>
          <w:p>
            <w:pPr>
              <w:ind w:left="220"/>
              <w:spacing w:after="0"/>
              <w:rPr>
                <w:sz w:val="20"/>
                <w:szCs w:val="20"/>
                <w:color w:val="auto"/>
              </w:rPr>
            </w:pPr>
            <w:r>
              <w:rPr>
                <w:rFonts w:ascii="Arial" w:cs="Arial" w:eastAsia="Arial" w:hAnsi="Arial"/>
                <w:sz w:val="15"/>
                <w:szCs w:val="15"/>
                <w:b w:val="1"/>
                <w:bCs w:val="1"/>
                <w:color w:val="auto"/>
              </w:rPr>
              <w:t>Ending Balance</w:t>
            </w:r>
          </w:p>
        </w:tc>
        <w:tc>
          <w:tcPr>
            <w:tcW w:w="280" w:type="dxa"/>
            <w:vAlign w:val="bottom"/>
            <w:tcBorders>
              <w:bottom w:val="single" w:sz="8" w:color="auto"/>
            </w:tcBorders>
          </w:tcPr>
          <w:p>
            <w:pPr>
              <w:jc w:val="right"/>
              <w:ind w:right="104"/>
              <w:spacing w:after="0"/>
              <w:rPr>
                <w:sz w:val="20"/>
                <w:szCs w:val="20"/>
                <w:color w:val="auto"/>
              </w:rPr>
            </w:pPr>
            <w:r>
              <w:rPr>
                <w:rFonts w:ascii="Arial" w:cs="Arial" w:eastAsia="Arial" w:hAnsi="Arial"/>
                <w:sz w:val="15"/>
                <w:szCs w:val="15"/>
                <w:color w:val="auto"/>
                <w:w w:val="95"/>
              </w:rPr>
              <w:t>$</w:t>
            </w:r>
          </w:p>
        </w:tc>
        <w:tc>
          <w:tcPr>
            <w:tcW w:w="188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color w:val="auto"/>
              </w:rPr>
              <w:t>23,588</w:t>
            </w:r>
          </w:p>
        </w:tc>
        <w:tc>
          <w:tcPr>
            <w:tcW w:w="240" w:type="dxa"/>
            <w:vAlign w:val="bottom"/>
          </w:tcPr>
          <w:p>
            <w:pPr>
              <w:spacing w:after="0"/>
              <w:rPr>
                <w:sz w:val="18"/>
                <w:szCs w:val="18"/>
                <w:color w:val="auto"/>
              </w:rPr>
            </w:pPr>
          </w:p>
        </w:tc>
        <w:tc>
          <w:tcPr>
            <w:tcW w:w="280" w:type="dxa"/>
            <w:vAlign w:val="bottom"/>
            <w:tcBorders>
              <w:bottom w:val="single" w:sz="8" w:color="auto"/>
            </w:tcBorders>
          </w:tcPr>
          <w:p>
            <w:pPr>
              <w:jc w:val="right"/>
              <w:ind w:right="104"/>
              <w:spacing w:after="0"/>
              <w:rPr>
                <w:sz w:val="20"/>
                <w:szCs w:val="20"/>
                <w:color w:val="auto"/>
              </w:rPr>
            </w:pPr>
            <w:r>
              <w:rPr>
                <w:rFonts w:ascii="Arial" w:cs="Arial" w:eastAsia="Arial" w:hAnsi="Arial"/>
                <w:sz w:val="15"/>
                <w:szCs w:val="15"/>
                <w:color w:val="auto"/>
                <w:w w:val="95"/>
              </w:rPr>
              <w:t>$</w:t>
            </w:r>
          </w:p>
        </w:tc>
        <w:tc>
          <w:tcPr>
            <w:tcW w:w="190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color w:val="auto"/>
              </w:rPr>
              <w:t>18,488</w:t>
            </w:r>
          </w:p>
        </w:tc>
      </w:tr>
      <w:tr>
        <w:trPr>
          <w:trHeight w:val="21"/>
        </w:trPr>
        <w:tc>
          <w:tcPr>
            <w:tcW w:w="66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r>
    </w:tbl>
    <w:p>
      <w:pPr>
        <w:spacing w:after="0" w:line="333" w:lineRule="exact"/>
        <w:rPr>
          <w:sz w:val="20"/>
          <w:szCs w:val="20"/>
          <w:color w:val="auto"/>
        </w:rPr>
      </w:pPr>
    </w:p>
    <w:p>
      <w:pPr>
        <w:ind w:left="420" w:hanging="412"/>
        <w:spacing w:after="0"/>
        <w:tabs>
          <w:tab w:leader="none" w:pos="42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Consolidated Variable Interest Entities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Operating Partnership</w:t>
      </w:r>
    </w:p>
    <w:p>
      <w:pPr>
        <w:spacing w:after="0" w:line="2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 xml:space="preserve">We consolidate the Operating Partnership under the guidance set forth in FASB ASC Topic 810 </w:t>
      </w:r>
      <w:r>
        <w:rPr>
          <w:rFonts w:ascii="Arial" w:cs="Arial" w:eastAsia="Arial" w:hAnsi="Arial"/>
          <w:sz w:val="18"/>
          <w:szCs w:val="18"/>
          <w:i w:val="1"/>
          <w:iCs w:val="1"/>
          <w:color w:val="auto"/>
        </w:rPr>
        <w:t>“Consolidation.”</w:t>
      </w:r>
      <w:r>
        <w:rPr>
          <w:rFonts w:ascii="Arial" w:cs="Arial" w:eastAsia="Arial" w:hAnsi="Arial"/>
          <w:sz w:val="18"/>
          <w:szCs w:val="18"/>
          <w:color w:val="auto"/>
        </w:rPr>
        <w:t xml:space="preserve"> ASU 2015-02 modified the evaluation of whether limited partnerships and similar legal entities are variable interest entities (“VIEs”) or, alternatively, voting interest entities. We evaluated the application of ASU 2015-02 and concluded that the Operating Partnership met the criteria of a VIE. Our significant asset is our investment in the Operating Partnership, and consequently, substantially all of our assets and liabilities represent those assets and liabilities of the Operating Partnership. We are the sole general partner and generally have the power to manage and have complete control over the Operating Partnership and the obligation to absorb its losses or the right to receive its benefits.</w:t>
      </w:r>
    </w:p>
    <w:p>
      <w:pPr>
        <w:spacing w:after="0" w:line="221" w:lineRule="exact"/>
        <w:rPr>
          <w:sz w:val="20"/>
          <w:szCs w:val="20"/>
          <w:color w:val="auto"/>
        </w:rPr>
      </w:pPr>
    </w:p>
    <w:p>
      <w:pPr>
        <w:jc w:val="both"/>
        <w:spacing w:after="0" w:line="258" w:lineRule="auto"/>
        <w:rPr>
          <w:sz w:val="20"/>
          <w:szCs w:val="20"/>
          <w:color w:val="auto"/>
        </w:rPr>
      </w:pPr>
      <w:r>
        <w:rPr>
          <w:rFonts w:ascii="Arial" w:cs="Arial" w:eastAsia="Arial" w:hAnsi="Arial"/>
          <w:sz w:val="18"/>
          <w:szCs w:val="18"/>
          <w:i w:val="1"/>
          <w:iCs w:val="1"/>
          <w:color w:val="auto"/>
        </w:rPr>
        <w:t>Sun NG RV Resorts LLC (“Sun NG Resorts”); Rudgate Village SPE, LLC, Rudgate Clinton SPE, LLC, and Rudgate Clinton Estates SPE, LLC (collectively, “Rudgate”); Sun NG Whitewater RV Resorts LLC</w:t>
      </w:r>
      <w:r>
        <w:rPr>
          <w:rFonts w:ascii="Arial" w:cs="Arial" w:eastAsia="Arial" w:hAnsi="Arial"/>
          <w:sz w:val="18"/>
          <w:szCs w:val="18"/>
          <w:color w:val="auto"/>
        </w:rPr>
        <w:t>;</w:t>
      </w:r>
    </w:p>
    <w:p>
      <w:pPr>
        <w:spacing w:after="0" w:line="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We consolidate Sun NG Resorts, Rudgate, and Sun NG Whitewater RV Resorts LLC, under the guidance set forth in FASB ASC Topic 810 </w:t>
      </w:r>
      <w:r>
        <w:rPr>
          <w:rFonts w:ascii="Arial" w:cs="Arial" w:eastAsia="Arial" w:hAnsi="Arial"/>
          <w:sz w:val="18"/>
          <w:szCs w:val="18"/>
          <w:i w:val="1"/>
          <w:iCs w:val="1"/>
          <w:color w:val="auto"/>
        </w:rPr>
        <w:t xml:space="preserve">“Consolidation.” </w:t>
      </w:r>
      <w:r>
        <w:rPr>
          <w:rFonts w:ascii="Arial" w:cs="Arial" w:eastAsia="Arial" w:hAnsi="Arial"/>
          <w:sz w:val="18"/>
          <w:szCs w:val="18"/>
          <w:color w:val="auto"/>
        </w:rPr>
        <w:t>We concluded that each of them is a VIE where we are the primary beneficiary, as we have the power to direct the significant activities</w:t>
      </w:r>
      <w:r>
        <w:rPr>
          <w:rFonts w:ascii="Arial" w:cs="Arial" w:eastAsia="Arial" w:hAnsi="Arial"/>
          <w:sz w:val="18"/>
          <w:szCs w:val="18"/>
          <w:i w:val="1"/>
          <w:iCs w:val="1"/>
          <w:color w:val="auto"/>
        </w:rPr>
        <w:t xml:space="preserve"> </w:t>
      </w:r>
      <w:r>
        <w:rPr>
          <w:rFonts w:ascii="Arial" w:cs="Arial" w:eastAsia="Arial" w:hAnsi="Arial"/>
          <w:sz w:val="18"/>
          <w:szCs w:val="18"/>
          <w:color w:val="auto"/>
        </w:rPr>
        <w:t>of, and absorb the significant losses and receive the significant benefits from each entity. Refer to Note 8, “Debt and Lines of Credit,” for additional information on Sun NG Resorts and Note 9, “Equity and Temporary Equity,” for additional information on Sun NG Resorts and Sun NG Whitewater RV Resorts LLC.</w:t>
      </w: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the assets and liabilities of Sun NG Resorts, Rudgate, and Sun NG Whitewater RV Resorts LLC included in our</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Consolidated Balance Sheets after eliminations (in thousands):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7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0" w:type="dxa"/>
            <w:vAlign w:val="bottom"/>
            <w:gridSpan w:val="2"/>
          </w:tcPr>
          <w:p>
            <w:pPr>
              <w:ind w:left="200"/>
              <w:spacing w:after="0"/>
              <w:rPr>
                <w:sz w:val="20"/>
                <w:szCs w:val="20"/>
                <w:color w:val="auto"/>
              </w:rPr>
            </w:pPr>
            <w:r>
              <w:rPr>
                <w:rFonts w:ascii="Arial" w:cs="Arial" w:eastAsia="Arial" w:hAnsi="Arial"/>
                <w:sz w:val="15"/>
                <w:szCs w:val="15"/>
                <w:b w:val="1"/>
                <w:bCs w:val="1"/>
                <w:color w:val="auto"/>
              </w:rPr>
              <w:t>June 30, 2020</w:t>
            </w:r>
          </w:p>
        </w:tc>
        <w:tc>
          <w:tcPr>
            <w:tcW w:w="200" w:type="dxa"/>
            <w:vAlign w:val="bottom"/>
          </w:tcPr>
          <w:p>
            <w:pPr>
              <w:spacing w:after="0"/>
              <w:rPr>
                <w:sz w:val="17"/>
                <w:szCs w:val="17"/>
                <w:color w:val="auto"/>
              </w:rPr>
            </w:pPr>
          </w:p>
        </w:tc>
        <w:tc>
          <w:tcPr>
            <w:tcW w:w="1640" w:type="dxa"/>
            <w:vAlign w:val="bottom"/>
          </w:tcPr>
          <w:p>
            <w:pPr>
              <w:jc w:val="right"/>
              <w:ind w:right="224"/>
              <w:spacing w:after="0"/>
              <w:rPr>
                <w:sz w:val="20"/>
                <w:szCs w:val="20"/>
                <w:color w:val="auto"/>
              </w:rPr>
            </w:pPr>
            <w:r>
              <w:rPr>
                <w:rFonts w:ascii="Arial" w:cs="Arial" w:eastAsia="Arial" w:hAnsi="Arial"/>
                <w:sz w:val="15"/>
                <w:szCs w:val="15"/>
                <w:b w:val="1"/>
                <w:bCs w:val="1"/>
                <w:color w:val="auto"/>
                <w:w w:val="97"/>
              </w:rPr>
              <w:t>December 31, 2019</w:t>
            </w:r>
          </w:p>
        </w:tc>
      </w:tr>
      <w:tr>
        <w:trPr>
          <w:trHeight w:val="198"/>
        </w:trPr>
        <w:tc>
          <w:tcPr>
            <w:tcW w:w="7300" w:type="dxa"/>
            <w:vAlign w:val="bottom"/>
          </w:tcPr>
          <w:p>
            <w:pPr>
              <w:ind w:left="20"/>
              <w:spacing w:after="0"/>
              <w:rPr>
                <w:sz w:val="20"/>
                <w:szCs w:val="20"/>
                <w:color w:val="auto"/>
              </w:rPr>
            </w:pPr>
            <w:r>
              <w:rPr>
                <w:rFonts w:ascii="Arial" w:cs="Arial" w:eastAsia="Arial" w:hAnsi="Arial"/>
                <w:sz w:val="15"/>
                <w:szCs w:val="15"/>
                <w:b w:val="1"/>
                <w:bCs w:val="1"/>
                <w:color w:val="auto"/>
              </w:rPr>
              <w:t>Assets</w:t>
            </w:r>
          </w:p>
        </w:tc>
        <w:tc>
          <w:tcPr>
            <w:tcW w:w="300" w:type="dxa"/>
            <w:vAlign w:val="bottom"/>
            <w:tcBorders>
              <w:top w:val="single" w:sz="8" w:color="auto"/>
            </w:tcBorders>
          </w:tcPr>
          <w:p>
            <w:pPr>
              <w:spacing w:after="0"/>
              <w:rPr>
                <w:sz w:val="17"/>
                <w:szCs w:val="17"/>
                <w:color w:val="auto"/>
              </w:rPr>
            </w:pPr>
          </w:p>
        </w:tc>
        <w:tc>
          <w:tcPr>
            <w:tcW w:w="158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640" w:type="dxa"/>
            <w:vAlign w:val="bottom"/>
            <w:tcBorders>
              <w:top w:val="single" w:sz="8" w:color="auto"/>
            </w:tcBorders>
          </w:tcPr>
          <w:p>
            <w:pPr>
              <w:spacing w:after="0"/>
              <w:rPr>
                <w:sz w:val="17"/>
                <w:szCs w:val="17"/>
                <w:color w:val="auto"/>
              </w:rPr>
            </w:pPr>
          </w:p>
        </w:tc>
      </w:tr>
      <w:tr>
        <w:trPr>
          <w:trHeight w:val="220"/>
        </w:trPr>
        <w:tc>
          <w:tcPr>
            <w:tcW w:w="7300" w:type="dxa"/>
            <w:vAlign w:val="bottom"/>
            <w:shd w:val="clear" w:color="auto" w:fill="CCEEFF"/>
          </w:tcPr>
          <w:p>
            <w:pPr>
              <w:ind w:left="20"/>
              <w:spacing w:after="0"/>
              <w:rPr>
                <w:sz w:val="20"/>
                <w:szCs w:val="20"/>
                <w:color w:val="auto"/>
              </w:rPr>
            </w:pPr>
            <w:r>
              <w:rPr>
                <w:rFonts w:ascii="Arial" w:cs="Arial" w:eastAsia="Arial" w:hAnsi="Arial"/>
                <w:sz w:val="15"/>
                <w:szCs w:val="15"/>
                <w:color w:val="auto"/>
              </w:rPr>
              <w:t>Investment property, net</w:t>
            </w:r>
          </w:p>
        </w:tc>
        <w:tc>
          <w:tcPr>
            <w:tcW w:w="30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w w:val="95"/>
              </w:rPr>
              <w:t>$</w:t>
            </w:r>
          </w:p>
        </w:tc>
        <w:tc>
          <w:tcPr>
            <w:tcW w:w="158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rPr>
              <w:t>357,778</w:t>
            </w:r>
          </w:p>
        </w:tc>
        <w:tc>
          <w:tcPr>
            <w:tcW w:w="2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95"/>
              </w:rPr>
              <w:t>$</w:t>
            </w:r>
          </w:p>
        </w:tc>
        <w:tc>
          <w:tcPr>
            <w:tcW w:w="164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344,300</w:t>
            </w:r>
          </w:p>
        </w:tc>
      </w:tr>
      <w:tr>
        <w:trPr>
          <w:trHeight w:val="212"/>
        </w:trPr>
        <w:tc>
          <w:tcPr>
            <w:tcW w:w="730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Other assets, net</w:t>
            </w:r>
          </w:p>
        </w:tc>
        <w:tc>
          <w:tcPr>
            <w:tcW w:w="30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color w:val="auto"/>
              </w:rPr>
              <w:t>27,814</w:t>
            </w:r>
          </w:p>
        </w:tc>
        <w:tc>
          <w:tcPr>
            <w:tcW w:w="2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color w:val="auto"/>
              </w:rPr>
              <w:t>23,894</w:t>
            </w:r>
          </w:p>
        </w:tc>
      </w:tr>
      <w:tr>
        <w:trPr>
          <w:trHeight w:val="238"/>
        </w:trPr>
        <w:tc>
          <w:tcPr>
            <w:tcW w:w="73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5"/>
                <w:szCs w:val="15"/>
                <w:b w:val="1"/>
                <w:bCs w:val="1"/>
                <w:color w:val="auto"/>
              </w:rPr>
              <w:t>Total Assets</w:t>
            </w:r>
          </w:p>
        </w:tc>
        <w:tc>
          <w:tcPr>
            <w:tcW w:w="300" w:type="dxa"/>
            <w:vAlign w:val="bottom"/>
            <w:tcBorders>
              <w:bottom w:val="single" w:sz="8" w:color="auto"/>
            </w:tcBorders>
            <w:shd w:val="clear" w:color="auto" w:fill="CCEEFF"/>
          </w:tcPr>
          <w:p>
            <w:pPr>
              <w:jc w:val="right"/>
              <w:ind w:right="124"/>
              <w:spacing w:after="0"/>
              <w:rPr>
                <w:sz w:val="20"/>
                <w:szCs w:val="20"/>
                <w:color w:val="auto"/>
              </w:rPr>
            </w:pPr>
            <w:r>
              <w:rPr>
                <w:rFonts w:ascii="Arial" w:cs="Arial" w:eastAsia="Arial" w:hAnsi="Arial"/>
                <w:sz w:val="15"/>
                <w:szCs w:val="15"/>
                <w:color w:val="auto"/>
                <w:w w:val="95"/>
              </w:rPr>
              <w:t>$</w:t>
            </w:r>
          </w:p>
        </w:tc>
        <w:tc>
          <w:tcPr>
            <w:tcW w:w="1580" w:type="dxa"/>
            <w:vAlign w:val="bottom"/>
            <w:tcBorders>
              <w:bottom w:val="single" w:sz="8" w:color="auto"/>
            </w:tcBorders>
            <w:shd w:val="clear" w:color="auto" w:fill="CCEEFF"/>
          </w:tcPr>
          <w:p>
            <w:pPr>
              <w:jc w:val="right"/>
              <w:ind w:right="84"/>
              <w:spacing w:after="0"/>
              <w:rPr>
                <w:sz w:val="20"/>
                <w:szCs w:val="20"/>
                <w:color w:val="auto"/>
              </w:rPr>
            </w:pPr>
            <w:r>
              <w:rPr>
                <w:rFonts w:ascii="Arial" w:cs="Arial" w:eastAsia="Arial" w:hAnsi="Arial"/>
                <w:sz w:val="15"/>
                <w:szCs w:val="15"/>
                <w:color w:val="auto"/>
              </w:rPr>
              <w:t>385,592</w:t>
            </w:r>
          </w:p>
        </w:tc>
        <w:tc>
          <w:tcPr>
            <w:tcW w:w="2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w w:val="95"/>
              </w:rPr>
              <w:t>$</w:t>
            </w:r>
          </w:p>
        </w:tc>
        <w:tc>
          <w:tcPr>
            <w:tcW w:w="1640" w:type="dxa"/>
            <w:vAlign w:val="bottom"/>
            <w:tcBorders>
              <w:bottom w:val="single" w:sz="8" w:color="auto"/>
            </w:tcBorders>
            <w:shd w:val="clear" w:color="auto" w:fill="CCEEFF"/>
          </w:tcPr>
          <w:p>
            <w:pPr>
              <w:jc w:val="right"/>
              <w:ind w:right="64"/>
              <w:spacing w:after="0"/>
              <w:rPr>
                <w:sz w:val="20"/>
                <w:szCs w:val="20"/>
                <w:color w:val="auto"/>
              </w:rPr>
            </w:pPr>
            <w:r>
              <w:rPr>
                <w:rFonts w:ascii="Arial" w:cs="Arial" w:eastAsia="Arial" w:hAnsi="Arial"/>
                <w:sz w:val="15"/>
                <w:szCs w:val="15"/>
                <w:color w:val="auto"/>
              </w:rPr>
              <w:t>368,194</w:t>
            </w:r>
          </w:p>
        </w:tc>
      </w:tr>
      <w:tr>
        <w:trPr>
          <w:trHeight w:val="20"/>
        </w:trPr>
        <w:tc>
          <w:tcPr>
            <w:tcW w:w="73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7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40" w:type="dxa"/>
            <w:vAlign w:val="bottom"/>
          </w:tcPr>
          <w:p>
            <w:pPr>
              <w:spacing w:after="0"/>
              <w:rPr>
                <w:sz w:val="14"/>
                <w:szCs w:val="14"/>
                <w:color w:val="auto"/>
              </w:rPr>
            </w:pPr>
          </w:p>
        </w:tc>
      </w:tr>
      <w:tr>
        <w:trPr>
          <w:trHeight w:val="216"/>
        </w:trPr>
        <w:tc>
          <w:tcPr>
            <w:tcW w:w="730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Liabilities and Other Equity</w:t>
            </w:r>
          </w:p>
        </w:tc>
        <w:tc>
          <w:tcPr>
            <w:tcW w:w="3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r>
      <w:tr>
        <w:trPr>
          <w:trHeight w:val="212"/>
        </w:trPr>
        <w:tc>
          <w:tcPr>
            <w:tcW w:w="7300" w:type="dxa"/>
            <w:vAlign w:val="bottom"/>
          </w:tcPr>
          <w:p>
            <w:pPr>
              <w:ind w:left="20"/>
              <w:spacing w:after="0"/>
              <w:rPr>
                <w:sz w:val="20"/>
                <w:szCs w:val="20"/>
                <w:color w:val="auto"/>
              </w:rPr>
            </w:pPr>
            <w:r>
              <w:rPr>
                <w:rFonts w:ascii="Arial" w:cs="Arial" w:eastAsia="Arial" w:hAnsi="Arial"/>
                <w:sz w:val="15"/>
                <w:szCs w:val="15"/>
                <w:color w:val="auto"/>
              </w:rPr>
              <w:t>Debt</w:t>
            </w:r>
          </w:p>
        </w:tc>
        <w:tc>
          <w:tcPr>
            <w:tcW w:w="300" w:type="dxa"/>
            <w:vAlign w:val="bottom"/>
          </w:tcPr>
          <w:p>
            <w:pPr>
              <w:jc w:val="right"/>
              <w:ind w:right="124"/>
              <w:spacing w:after="0"/>
              <w:rPr>
                <w:sz w:val="20"/>
                <w:szCs w:val="20"/>
                <w:color w:val="auto"/>
              </w:rPr>
            </w:pPr>
            <w:r>
              <w:rPr>
                <w:rFonts w:ascii="Arial" w:cs="Arial" w:eastAsia="Arial" w:hAnsi="Arial"/>
                <w:sz w:val="15"/>
                <w:szCs w:val="15"/>
                <w:color w:val="auto"/>
                <w:w w:val="95"/>
              </w:rPr>
              <w:t>$</w:t>
            </w:r>
          </w:p>
        </w:tc>
        <w:tc>
          <w:tcPr>
            <w:tcW w:w="1580" w:type="dxa"/>
            <w:vAlign w:val="bottom"/>
          </w:tcPr>
          <w:p>
            <w:pPr>
              <w:jc w:val="right"/>
              <w:ind w:right="84"/>
              <w:spacing w:after="0"/>
              <w:rPr>
                <w:sz w:val="20"/>
                <w:szCs w:val="20"/>
                <w:color w:val="auto"/>
              </w:rPr>
            </w:pPr>
            <w:r>
              <w:rPr>
                <w:rFonts w:ascii="Arial" w:cs="Arial" w:eastAsia="Arial" w:hAnsi="Arial"/>
                <w:sz w:val="15"/>
                <w:szCs w:val="15"/>
                <w:color w:val="auto"/>
              </w:rPr>
              <w:t>46,464</w:t>
            </w:r>
          </w:p>
        </w:tc>
        <w:tc>
          <w:tcPr>
            <w:tcW w:w="220" w:type="dxa"/>
            <w:vAlign w:val="bottom"/>
          </w:tcPr>
          <w:p>
            <w:pPr>
              <w:spacing w:after="0"/>
              <w:rPr>
                <w:sz w:val="18"/>
                <w:szCs w:val="18"/>
                <w:color w:val="auto"/>
              </w:rPr>
            </w:pPr>
          </w:p>
        </w:tc>
        <w:tc>
          <w:tcPr>
            <w:tcW w:w="200" w:type="dxa"/>
            <w:vAlign w:val="bottom"/>
          </w:tcPr>
          <w:p>
            <w:pPr>
              <w:jc w:val="right"/>
              <w:ind w:right="24"/>
              <w:spacing w:after="0"/>
              <w:rPr>
                <w:sz w:val="20"/>
                <w:szCs w:val="20"/>
                <w:color w:val="auto"/>
              </w:rPr>
            </w:pPr>
            <w:r>
              <w:rPr>
                <w:rFonts w:ascii="Arial" w:cs="Arial" w:eastAsia="Arial" w:hAnsi="Arial"/>
                <w:sz w:val="15"/>
                <w:szCs w:val="15"/>
                <w:color w:val="auto"/>
                <w:w w:val="95"/>
              </w:rPr>
              <w:t>$</w:t>
            </w:r>
          </w:p>
        </w:tc>
        <w:tc>
          <w:tcPr>
            <w:tcW w:w="1640" w:type="dxa"/>
            <w:vAlign w:val="bottom"/>
          </w:tcPr>
          <w:p>
            <w:pPr>
              <w:jc w:val="right"/>
              <w:ind w:right="64"/>
              <w:spacing w:after="0"/>
              <w:rPr>
                <w:sz w:val="20"/>
                <w:szCs w:val="20"/>
                <w:color w:val="auto"/>
              </w:rPr>
            </w:pPr>
            <w:r>
              <w:rPr>
                <w:rFonts w:ascii="Arial" w:cs="Arial" w:eastAsia="Arial" w:hAnsi="Arial"/>
                <w:sz w:val="15"/>
                <w:szCs w:val="15"/>
                <w:color w:val="auto"/>
              </w:rPr>
              <w:t>46,993</w:t>
            </w:r>
          </w:p>
        </w:tc>
      </w:tr>
      <w:tr>
        <w:trPr>
          <w:trHeight w:val="233"/>
        </w:trPr>
        <w:tc>
          <w:tcPr>
            <w:tcW w:w="7300" w:type="dxa"/>
            <w:vAlign w:val="bottom"/>
            <w:shd w:val="clear" w:color="auto" w:fill="CCEEFF"/>
          </w:tcPr>
          <w:p>
            <w:pPr>
              <w:ind w:left="20"/>
              <w:spacing w:after="0"/>
              <w:rPr>
                <w:sz w:val="20"/>
                <w:szCs w:val="20"/>
                <w:color w:val="auto"/>
              </w:rPr>
            </w:pPr>
            <w:r>
              <w:rPr>
                <w:rFonts w:ascii="Arial" w:cs="Arial" w:eastAsia="Arial" w:hAnsi="Arial"/>
                <w:sz w:val="15"/>
                <w:szCs w:val="15"/>
                <w:color w:val="auto"/>
              </w:rPr>
              <w:t xml:space="preserve">Preferred Equity - </w:t>
            </w:r>
            <w:r>
              <w:rPr>
                <w:rFonts w:ascii="Arial" w:cs="Arial" w:eastAsia="Arial" w:hAnsi="Arial"/>
                <w:sz w:val="17"/>
                <w:szCs w:val="17"/>
                <w:color w:val="auto"/>
              </w:rPr>
              <w:t>Sun NG Resorts</w:t>
            </w:r>
            <w:r>
              <w:rPr>
                <w:rFonts w:ascii="Arial" w:cs="Arial" w:eastAsia="Arial" w:hAnsi="Arial"/>
                <w:sz w:val="15"/>
                <w:szCs w:val="15"/>
                <w:color w:val="auto"/>
              </w:rPr>
              <w:t xml:space="preserve"> - mandatorily redeemable</w:t>
            </w:r>
          </w:p>
        </w:tc>
        <w:tc>
          <w:tcPr>
            <w:tcW w:w="300" w:type="dxa"/>
            <w:vAlign w:val="bottom"/>
            <w:shd w:val="clear" w:color="auto" w:fill="CCEEFF"/>
          </w:tcPr>
          <w:p>
            <w:pPr>
              <w:spacing w:after="0"/>
              <w:rPr>
                <w:sz w:val="20"/>
                <w:szCs w:val="20"/>
                <w:color w:val="auto"/>
              </w:rPr>
            </w:pPr>
          </w:p>
        </w:tc>
        <w:tc>
          <w:tcPr>
            <w:tcW w:w="158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rPr>
              <w:t>35,249</w:t>
            </w:r>
          </w:p>
        </w:tc>
        <w:tc>
          <w:tcPr>
            <w:tcW w:w="2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64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35,249</w:t>
            </w:r>
          </w:p>
        </w:tc>
      </w:tr>
      <w:tr>
        <w:trPr>
          <w:trHeight w:val="212"/>
        </w:trPr>
        <w:tc>
          <w:tcPr>
            <w:tcW w:w="730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Other liabilities</w:t>
            </w:r>
          </w:p>
        </w:tc>
        <w:tc>
          <w:tcPr>
            <w:tcW w:w="30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color w:val="auto"/>
              </w:rPr>
              <w:t>26,524</w:t>
            </w:r>
          </w:p>
        </w:tc>
        <w:tc>
          <w:tcPr>
            <w:tcW w:w="2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color w:val="auto"/>
              </w:rPr>
              <w:t>13,631</w:t>
            </w:r>
          </w:p>
        </w:tc>
      </w:tr>
      <w:tr>
        <w:trPr>
          <w:trHeight w:val="214"/>
        </w:trPr>
        <w:tc>
          <w:tcPr>
            <w:tcW w:w="7300" w:type="dxa"/>
            <w:vAlign w:val="bottom"/>
            <w:shd w:val="clear" w:color="auto" w:fill="CCEEFF"/>
          </w:tcPr>
          <w:p>
            <w:pPr>
              <w:ind w:left="140"/>
              <w:spacing w:after="0"/>
              <w:rPr>
                <w:sz w:val="20"/>
                <w:szCs w:val="20"/>
                <w:color w:val="auto"/>
              </w:rPr>
            </w:pPr>
            <w:r>
              <w:rPr>
                <w:rFonts w:ascii="Arial" w:cs="Arial" w:eastAsia="Arial" w:hAnsi="Arial"/>
                <w:sz w:val="15"/>
                <w:szCs w:val="15"/>
                <w:b w:val="1"/>
                <w:bCs w:val="1"/>
                <w:color w:val="auto"/>
              </w:rPr>
              <w:t>Total Liabilities</w:t>
            </w:r>
          </w:p>
        </w:tc>
        <w:tc>
          <w:tcPr>
            <w:tcW w:w="300" w:type="dxa"/>
            <w:vAlign w:val="bottom"/>
            <w:shd w:val="clear" w:color="auto" w:fill="CCEEFF"/>
          </w:tcPr>
          <w:p>
            <w:pPr>
              <w:spacing w:after="0"/>
              <w:rPr>
                <w:sz w:val="18"/>
                <w:szCs w:val="18"/>
                <w:color w:val="auto"/>
              </w:rPr>
            </w:pPr>
          </w:p>
        </w:tc>
        <w:tc>
          <w:tcPr>
            <w:tcW w:w="158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rPr>
              <w:t>108,237</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4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95,873</w:t>
            </w:r>
          </w:p>
        </w:tc>
      </w:tr>
      <w:tr>
        <w:trPr>
          <w:trHeight w:val="212"/>
        </w:trPr>
        <w:tc>
          <w:tcPr>
            <w:tcW w:w="7300" w:type="dxa"/>
            <w:vAlign w:val="bottom"/>
          </w:tcPr>
          <w:p>
            <w:pPr>
              <w:ind w:left="20"/>
              <w:spacing w:after="0"/>
              <w:rPr>
                <w:sz w:val="20"/>
                <w:szCs w:val="20"/>
                <w:color w:val="auto"/>
              </w:rPr>
            </w:pPr>
            <w:r>
              <w:rPr>
                <w:rFonts w:ascii="Arial" w:cs="Arial" w:eastAsia="Arial" w:hAnsi="Arial"/>
                <w:sz w:val="15"/>
                <w:szCs w:val="15"/>
                <w:color w:val="auto"/>
              </w:rPr>
              <w:t>Equity Interest - NG Sun LLC &amp; NG Sun Whitewater LLC</w:t>
            </w:r>
          </w:p>
        </w:tc>
        <w:tc>
          <w:tcPr>
            <w:tcW w:w="300" w:type="dxa"/>
            <w:vAlign w:val="bottom"/>
          </w:tcPr>
          <w:p>
            <w:pPr>
              <w:spacing w:after="0"/>
              <w:rPr>
                <w:sz w:val="18"/>
                <w:szCs w:val="18"/>
                <w:color w:val="auto"/>
              </w:rPr>
            </w:pPr>
          </w:p>
        </w:tc>
        <w:tc>
          <w:tcPr>
            <w:tcW w:w="1580" w:type="dxa"/>
            <w:vAlign w:val="bottom"/>
          </w:tcPr>
          <w:p>
            <w:pPr>
              <w:jc w:val="right"/>
              <w:ind w:right="84"/>
              <w:spacing w:after="0"/>
              <w:rPr>
                <w:sz w:val="20"/>
                <w:szCs w:val="20"/>
                <w:color w:val="auto"/>
              </w:rPr>
            </w:pPr>
            <w:r>
              <w:rPr>
                <w:rFonts w:ascii="Arial" w:cs="Arial" w:eastAsia="Arial" w:hAnsi="Arial"/>
                <w:sz w:val="15"/>
                <w:szCs w:val="15"/>
                <w:color w:val="auto"/>
              </w:rPr>
              <w:t>24,863</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40" w:type="dxa"/>
            <w:vAlign w:val="bottom"/>
          </w:tcPr>
          <w:p>
            <w:pPr>
              <w:jc w:val="right"/>
              <w:ind w:right="64"/>
              <w:spacing w:after="0"/>
              <w:rPr>
                <w:sz w:val="20"/>
                <w:szCs w:val="20"/>
                <w:color w:val="auto"/>
              </w:rPr>
            </w:pPr>
            <w:r>
              <w:rPr>
                <w:rFonts w:ascii="Arial" w:cs="Arial" w:eastAsia="Arial" w:hAnsi="Arial"/>
                <w:sz w:val="15"/>
                <w:szCs w:val="15"/>
                <w:color w:val="auto"/>
              </w:rPr>
              <w:t>27,091</w:t>
            </w:r>
          </w:p>
        </w:tc>
      </w:tr>
      <w:tr>
        <w:trPr>
          <w:trHeight w:val="216"/>
        </w:trPr>
        <w:tc>
          <w:tcPr>
            <w:tcW w:w="7300" w:type="dxa"/>
            <w:vAlign w:val="bottom"/>
            <w:shd w:val="clear" w:color="auto" w:fill="CCEEFF"/>
          </w:tcPr>
          <w:p>
            <w:pPr>
              <w:ind w:left="20"/>
              <w:spacing w:after="0"/>
              <w:rPr>
                <w:sz w:val="20"/>
                <w:szCs w:val="20"/>
                <w:color w:val="auto"/>
              </w:rPr>
            </w:pPr>
            <w:r>
              <w:rPr>
                <w:rFonts w:ascii="Arial" w:cs="Arial" w:eastAsia="Arial" w:hAnsi="Arial"/>
                <w:sz w:val="15"/>
                <w:szCs w:val="15"/>
                <w:color w:val="auto"/>
              </w:rPr>
              <w:t>Noncontrolling interests</w:t>
            </w:r>
          </w:p>
        </w:tc>
        <w:tc>
          <w:tcPr>
            <w:tcW w:w="30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ind w:right="84"/>
              <w:spacing w:after="0"/>
              <w:rPr>
                <w:sz w:val="20"/>
                <w:szCs w:val="20"/>
                <w:color w:val="auto"/>
              </w:rPr>
            </w:pPr>
            <w:r>
              <w:rPr>
                <w:rFonts w:ascii="Arial" w:cs="Arial" w:eastAsia="Arial" w:hAnsi="Arial"/>
                <w:sz w:val="15"/>
                <w:szCs w:val="15"/>
                <w:color w:val="auto"/>
              </w:rPr>
              <w:t>10,250</w:t>
            </w:r>
          </w:p>
        </w:tc>
        <w:tc>
          <w:tcPr>
            <w:tcW w:w="2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640" w:type="dxa"/>
            <w:vAlign w:val="bottom"/>
            <w:tcBorders>
              <w:bottom w:val="single" w:sz="8" w:color="auto"/>
            </w:tcBorders>
            <w:shd w:val="clear" w:color="auto" w:fill="CCEEFF"/>
          </w:tcPr>
          <w:p>
            <w:pPr>
              <w:jc w:val="right"/>
              <w:ind w:right="64"/>
              <w:spacing w:after="0"/>
              <w:rPr>
                <w:sz w:val="20"/>
                <w:szCs w:val="20"/>
                <w:color w:val="auto"/>
              </w:rPr>
            </w:pPr>
            <w:r>
              <w:rPr>
                <w:rFonts w:ascii="Arial" w:cs="Arial" w:eastAsia="Arial" w:hAnsi="Arial"/>
                <w:sz w:val="15"/>
                <w:szCs w:val="15"/>
                <w:color w:val="auto"/>
              </w:rPr>
              <w:t>8,542</w:t>
            </w:r>
          </w:p>
        </w:tc>
      </w:tr>
      <w:tr>
        <w:trPr>
          <w:trHeight w:val="214"/>
        </w:trPr>
        <w:tc>
          <w:tcPr>
            <w:tcW w:w="7300" w:type="dxa"/>
            <w:vAlign w:val="bottom"/>
          </w:tcPr>
          <w:p>
            <w:pPr>
              <w:ind w:left="20"/>
              <w:spacing w:after="0"/>
              <w:rPr>
                <w:sz w:val="20"/>
                <w:szCs w:val="20"/>
                <w:color w:val="auto"/>
              </w:rPr>
            </w:pPr>
            <w:r>
              <w:rPr>
                <w:rFonts w:ascii="Arial" w:cs="Arial" w:eastAsia="Arial" w:hAnsi="Arial"/>
                <w:sz w:val="15"/>
                <w:szCs w:val="15"/>
                <w:b w:val="1"/>
                <w:bCs w:val="1"/>
                <w:color w:val="auto"/>
              </w:rPr>
              <w:t>Total Liabilities and Other Equity</w:t>
            </w:r>
          </w:p>
        </w:tc>
        <w:tc>
          <w:tcPr>
            <w:tcW w:w="300" w:type="dxa"/>
            <w:vAlign w:val="bottom"/>
            <w:tcBorders>
              <w:bottom w:val="single" w:sz="8" w:color="auto"/>
            </w:tcBorders>
          </w:tcPr>
          <w:p>
            <w:pPr>
              <w:jc w:val="right"/>
              <w:ind w:right="124"/>
              <w:spacing w:after="0"/>
              <w:rPr>
                <w:sz w:val="20"/>
                <w:szCs w:val="20"/>
                <w:color w:val="auto"/>
              </w:rPr>
            </w:pPr>
            <w:r>
              <w:rPr>
                <w:rFonts w:ascii="Arial" w:cs="Arial" w:eastAsia="Arial" w:hAnsi="Arial"/>
                <w:sz w:val="15"/>
                <w:szCs w:val="15"/>
                <w:color w:val="auto"/>
                <w:w w:val="95"/>
              </w:rPr>
              <w:t>$</w:t>
            </w:r>
          </w:p>
        </w:tc>
        <w:tc>
          <w:tcPr>
            <w:tcW w:w="158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color w:val="auto"/>
              </w:rPr>
              <w:t>143,350</w:t>
            </w:r>
          </w:p>
        </w:tc>
        <w:tc>
          <w:tcPr>
            <w:tcW w:w="220" w:type="dxa"/>
            <w:vAlign w:val="bottom"/>
          </w:tcPr>
          <w:p>
            <w:pPr>
              <w:spacing w:after="0"/>
              <w:rPr>
                <w:sz w:val="18"/>
                <w:szCs w:val="18"/>
                <w:color w:val="auto"/>
              </w:rPr>
            </w:pPr>
          </w:p>
        </w:tc>
        <w:tc>
          <w:tcPr>
            <w:tcW w:w="20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w w:val="95"/>
              </w:rPr>
              <w:t>$</w:t>
            </w:r>
          </w:p>
        </w:tc>
        <w:tc>
          <w:tcPr>
            <w:tcW w:w="164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color w:val="auto"/>
              </w:rPr>
              <w:t>131,506</w:t>
            </w:r>
          </w:p>
        </w:tc>
      </w:tr>
      <w:tr>
        <w:trPr>
          <w:trHeight w:val="21"/>
        </w:trPr>
        <w:tc>
          <w:tcPr>
            <w:tcW w:w="73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Investment property, net and other assets, net related to the consolidated VIEs, with the exception of the Operating Partnership, comprised approximately 4.6 percent and 4.7 percent of our consolidated total assets at June 30, 2020 and December 31, 2019, respectively. Debt, Preferred Equity and other liabilities comprised approximately 2.8 percent and 2.5 percent of our consolidated total liabilities at June 30, 2020 and December 31, 2019, respectively. Equity Interests and Noncontrolling interests related to the consolidated VIEs, on an absolute basis, comprised approximately less than 1.0 percent of our consolidated total equity at June 30, 2020 and at December 31, 2019, respectively.</w:t>
      </w:r>
    </w:p>
    <w:p>
      <w:pPr>
        <w:sectPr>
          <w:pgSz w:w="11900" w:h="16838" w:orient="portrait"/>
          <w:cols w:equalWidth="0" w:num="1">
            <w:col w:w="11240"/>
          </w:cols>
          <w:pgMar w:left="320" w:top="126" w:right="339" w:bottom="1440" w:gutter="0" w:footer="0" w:header="0"/>
        </w:sectPr>
      </w:pP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type w:val="continuous"/>
        </w:sectPr>
      </w:pPr>
    </w:p>
    <w:bookmarkStart w:id="18" w:name="page19"/>
    <w:bookmarkEnd w:id="18"/>
    <w:p>
      <w:pPr>
        <w:jc w:val="center"/>
        <w:spacing w:after="0"/>
        <w:rPr>
          <w:sz w:val="20"/>
          <w:szCs w:val="20"/>
          <w:color w:val="auto"/>
        </w:rPr>
      </w:pPr>
      <w:r>
        <w:rPr>
          <w:rFonts w:ascii="Arial" w:cs="Arial" w:eastAsia="Arial" w:hAnsi="Arial"/>
          <w:sz w:val="16"/>
          <w:szCs w:val="16"/>
          <w:b w:val="1"/>
          <w:bCs w:val="1"/>
          <w:color w:val="auto"/>
        </w:rPr>
        <w:t>SUN COMMUNITIES, INC.</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 -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269" w:lineRule="exact"/>
        <w:rPr>
          <w:sz w:val="20"/>
          <w:szCs w:val="20"/>
          <w:color w:val="auto"/>
        </w:rPr>
      </w:pPr>
    </w:p>
    <w:p>
      <w:pPr>
        <w:ind w:left="420" w:hanging="412"/>
        <w:spacing w:after="0"/>
        <w:tabs>
          <w:tab w:leader="none" w:pos="42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Debt and Lines of Credit</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sets forth certain information regarding debt including premiums, discounts and deferred financing costs (in thousands except statistical information):</w:t>
      </w:r>
    </w:p>
    <w:tbl>
      <w:tblPr>
        <w:tblLayout w:type="fixed"/>
        <w:tblInd w:w="0" w:type="dxa"/>
        <w:tblCellMar>
          <w:top w:w="0" w:type="dxa"/>
          <w:left w:w="0" w:type="dxa"/>
          <w:bottom w:w="0" w:type="dxa"/>
          <w:right w:w="0" w:type="dxa"/>
        </w:tblCellMar>
      </w:tblPr>
      <w:tr>
        <w:trPr>
          <w:trHeight w:val="167"/>
        </w:trPr>
        <w:tc>
          <w:tcPr>
            <w:tcW w:w="3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520" w:type="dxa"/>
            <w:vAlign w:val="bottom"/>
            <w:gridSpan w:val="4"/>
          </w:tcPr>
          <w:p>
            <w:pPr>
              <w:ind w:left="600"/>
              <w:spacing w:after="0" w:line="167" w:lineRule="exact"/>
              <w:rPr>
                <w:sz w:val="20"/>
                <w:szCs w:val="20"/>
                <w:color w:val="auto"/>
              </w:rPr>
            </w:pPr>
            <w:r>
              <w:rPr>
                <w:rFonts w:ascii="Arial" w:cs="Arial" w:eastAsia="Arial" w:hAnsi="Arial"/>
                <w:sz w:val="15"/>
                <w:szCs w:val="15"/>
                <w:b w:val="1"/>
                <w:bCs w:val="1"/>
                <w:color w:val="auto"/>
              </w:rPr>
              <w:t>Weighted Average</w:t>
            </w:r>
          </w:p>
        </w:tc>
        <w:tc>
          <w:tcPr>
            <w:tcW w:w="2320" w:type="dxa"/>
            <w:vAlign w:val="bottom"/>
            <w:gridSpan w:val="4"/>
          </w:tcPr>
          <w:p>
            <w:pPr>
              <w:jc w:val="right"/>
              <w:ind w:right="404"/>
              <w:spacing w:after="0" w:line="167" w:lineRule="exact"/>
              <w:rPr>
                <w:sz w:val="20"/>
                <w:szCs w:val="20"/>
                <w:color w:val="auto"/>
              </w:rPr>
            </w:pPr>
            <w:r>
              <w:rPr>
                <w:rFonts w:ascii="Arial" w:cs="Arial" w:eastAsia="Arial" w:hAnsi="Arial"/>
                <w:sz w:val="15"/>
                <w:szCs w:val="15"/>
                <w:b w:val="1"/>
                <w:bCs w:val="1"/>
                <w:color w:val="auto"/>
              </w:rPr>
              <w:t>Weighted Average</w:t>
            </w:r>
          </w:p>
        </w:tc>
        <w:tc>
          <w:tcPr>
            <w:tcW w:w="160" w:type="dxa"/>
            <w:vAlign w:val="bottom"/>
          </w:tcPr>
          <w:p>
            <w:pPr>
              <w:spacing w:after="0"/>
              <w:rPr>
                <w:sz w:val="14"/>
                <w:szCs w:val="14"/>
                <w:color w:val="auto"/>
              </w:rPr>
            </w:pPr>
          </w:p>
        </w:tc>
      </w:tr>
      <w:tr>
        <w:trPr>
          <w:trHeight w:val="202"/>
        </w:trPr>
        <w:tc>
          <w:tcPr>
            <w:tcW w:w="366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320" w:type="dxa"/>
            <w:vAlign w:val="bottom"/>
            <w:tcBorders>
              <w:bottom w:val="single" w:sz="8" w:color="auto"/>
            </w:tcBorders>
            <w:gridSpan w:val="4"/>
          </w:tcPr>
          <w:p>
            <w:pPr>
              <w:jc w:val="right"/>
              <w:ind w:right="544"/>
              <w:spacing w:after="0"/>
              <w:rPr>
                <w:sz w:val="20"/>
                <w:szCs w:val="20"/>
                <w:color w:val="auto"/>
              </w:rPr>
            </w:pPr>
            <w:r>
              <w:rPr>
                <w:rFonts w:ascii="Arial" w:cs="Arial" w:eastAsia="Arial" w:hAnsi="Arial"/>
                <w:sz w:val="15"/>
                <w:szCs w:val="15"/>
                <w:b w:val="1"/>
                <w:bCs w:val="1"/>
                <w:color w:val="auto"/>
              </w:rPr>
              <w:t>Carrying Amount</w:t>
            </w:r>
          </w:p>
        </w:tc>
        <w:tc>
          <w:tcPr>
            <w:tcW w:w="160" w:type="dxa"/>
            <w:vAlign w:val="bottom"/>
          </w:tcPr>
          <w:p>
            <w:pPr>
              <w:spacing w:after="0"/>
              <w:rPr>
                <w:sz w:val="17"/>
                <w:szCs w:val="17"/>
                <w:color w:val="auto"/>
              </w:rPr>
            </w:pPr>
          </w:p>
        </w:tc>
        <w:tc>
          <w:tcPr>
            <w:tcW w:w="2360" w:type="dxa"/>
            <w:vAlign w:val="bottom"/>
            <w:tcBorders>
              <w:bottom w:val="single" w:sz="8" w:color="auto"/>
            </w:tcBorders>
            <w:gridSpan w:val="3"/>
          </w:tcPr>
          <w:p>
            <w:pPr>
              <w:jc w:val="right"/>
              <w:ind w:right="524"/>
              <w:spacing w:after="0"/>
              <w:rPr>
                <w:sz w:val="20"/>
                <w:szCs w:val="20"/>
                <w:color w:val="auto"/>
              </w:rPr>
            </w:pPr>
            <w:r>
              <w:rPr>
                <w:rFonts w:ascii="Arial" w:cs="Arial" w:eastAsia="Arial" w:hAnsi="Arial"/>
                <w:sz w:val="15"/>
                <w:szCs w:val="15"/>
                <w:b w:val="1"/>
                <w:bCs w:val="1"/>
                <w:color w:val="auto"/>
              </w:rPr>
              <w:t>Years to Maturity</w:t>
            </w:r>
          </w:p>
        </w:tc>
        <w:tc>
          <w:tcPr>
            <w:tcW w:w="160" w:type="dxa"/>
            <w:vAlign w:val="bottom"/>
          </w:tcPr>
          <w:p>
            <w:pPr>
              <w:spacing w:after="0"/>
              <w:rPr>
                <w:sz w:val="17"/>
                <w:szCs w:val="17"/>
                <w:color w:val="auto"/>
              </w:rPr>
            </w:pPr>
          </w:p>
        </w:tc>
        <w:tc>
          <w:tcPr>
            <w:tcW w:w="2320" w:type="dxa"/>
            <w:vAlign w:val="bottom"/>
            <w:tcBorders>
              <w:bottom w:val="single" w:sz="8" w:color="auto"/>
            </w:tcBorders>
            <w:gridSpan w:val="4"/>
          </w:tcPr>
          <w:p>
            <w:pPr>
              <w:jc w:val="right"/>
              <w:ind w:right="544"/>
              <w:spacing w:after="0"/>
              <w:rPr>
                <w:sz w:val="20"/>
                <w:szCs w:val="20"/>
                <w:color w:val="auto"/>
              </w:rPr>
            </w:pPr>
            <w:r>
              <w:rPr>
                <w:rFonts w:ascii="Arial" w:cs="Arial" w:eastAsia="Arial" w:hAnsi="Arial"/>
                <w:sz w:val="15"/>
                <w:szCs w:val="15"/>
                <w:b w:val="1"/>
                <w:bCs w:val="1"/>
                <w:color w:val="auto"/>
              </w:rPr>
              <w:t>Interest Rates</w:t>
            </w:r>
          </w:p>
        </w:tc>
        <w:tc>
          <w:tcPr>
            <w:tcW w:w="160" w:type="dxa"/>
            <w:vAlign w:val="bottom"/>
            <w:tcBorders>
              <w:bottom w:val="single" w:sz="8" w:color="auto"/>
            </w:tcBorders>
          </w:tcPr>
          <w:p>
            <w:pPr>
              <w:spacing w:after="0"/>
              <w:rPr>
                <w:sz w:val="17"/>
                <w:szCs w:val="17"/>
                <w:color w:val="auto"/>
              </w:rPr>
            </w:pPr>
          </w:p>
        </w:tc>
      </w:tr>
      <w:tr>
        <w:trPr>
          <w:trHeight w:val="169"/>
        </w:trPr>
        <w:tc>
          <w:tcPr>
            <w:tcW w:w="3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jc w:val="right"/>
              <w:ind w:right="84"/>
              <w:spacing w:after="0" w:line="169" w:lineRule="exact"/>
              <w:rPr>
                <w:sz w:val="20"/>
                <w:szCs w:val="20"/>
                <w:color w:val="auto"/>
              </w:rPr>
            </w:pPr>
            <w:r>
              <w:rPr>
                <w:rFonts w:ascii="Arial" w:cs="Arial" w:eastAsia="Arial" w:hAnsi="Arial"/>
                <w:sz w:val="15"/>
                <w:szCs w:val="15"/>
                <w:b w:val="1"/>
                <w:bCs w:val="1"/>
                <w:color w:val="auto"/>
                <w:w w:val="92"/>
              </w:rPr>
              <w:t>December 31,</w:t>
            </w: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gridSpan w:val="2"/>
          </w:tcPr>
          <w:p>
            <w:pPr>
              <w:ind w:left="140"/>
              <w:spacing w:after="0" w:line="169" w:lineRule="exact"/>
              <w:rPr>
                <w:sz w:val="20"/>
                <w:szCs w:val="20"/>
                <w:color w:val="auto"/>
              </w:rPr>
            </w:pPr>
            <w:r>
              <w:rPr>
                <w:rFonts w:ascii="Arial" w:cs="Arial" w:eastAsia="Arial" w:hAnsi="Arial"/>
                <w:sz w:val="15"/>
                <w:szCs w:val="15"/>
                <w:b w:val="1"/>
                <w:bCs w:val="1"/>
                <w:color w:val="auto"/>
              </w:rPr>
              <w:t>December 31,</w:t>
            </w:r>
          </w:p>
        </w:tc>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jc w:val="right"/>
              <w:spacing w:after="0" w:line="169" w:lineRule="exact"/>
              <w:rPr>
                <w:sz w:val="20"/>
                <w:szCs w:val="20"/>
                <w:color w:val="auto"/>
              </w:rPr>
            </w:pPr>
            <w:r>
              <w:rPr>
                <w:rFonts w:ascii="Arial" w:cs="Arial" w:eastAsia="Arial" w:hAnsi="Arial"/>
                <w:sz w:val="15"/>
                <w:szCs w:val="15"/>
                <w:b w:val="1"/>
                <w:bCs w:val="1"/>
                <w:color w:val="auto"/>
              </w:rPr>
              <w:t>December 31,</w:t>
            </w:r>
          </w:p>
        </w:tc>
        <w:tc>
          <w:tcPr>
            <w:tcW w:w="160" w:type="dxa"/>
            <w:vAlign w:val="bottom"/>
          </w:tcPr>
          <w:p>
            <w:pPr>
              <w:spacing w:after="0"/>
              <w:rPr>
                <w:sz w:val="14"/>
                <w:szCs w:val="14"/>
                <w:color w:val="auto"/>
              </w:rPr>
            </w:pPr>
          </w:p>
        </w:tc>
      </w:tr>
      <w:tr>
        <w:trPr>
          <w:trHeight w:val="202"/>
        </w:trPr>
        <w:tc>
          <w:tcPr>
            <w:tcW w:w="366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b w:val="1"/>
                <w:bCs w:val="1"/>
                <w:color w:val="auto"/>
                <w:w w:val="90"/>
              </w:rPr>
              <w:t>June 30, 2020</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384"/>
              <w:spacing w:after="0"/>
              <w:rPr>
                <w:sz w:val="20"/>
                <w:szCs w:val="20"/>
                <w:color w:val="auto"/>
              </w:rPr>
            </w:pPr>
            <w:r>
              <w:rPr>
                <w:rFonts w:ascii="Arial" w:cs="Arial" w:eastAsia="Arial" w:hAnsi="Arial"/>
                <w:sz w:val="15"/>
                <w:szCs w:val="15"/>
                <w:b w:val="1"/>
                <w:bCs w:val="1"/>
                <w:color w:val="auto"/>
              </w:rPr>
              <w:t>2019</w:t>
            </w:r>
          </w:p>
        </w:tc>
        <w:tc>
          <w:tcPr>
            <w:tcW w:w="160" w:type="dxa"/>
            <w:vAlign w:val="bottom"/>
            <w:tcBorders>
              <w:bottom w:val="single" w:sz="8" w:color="CCEEFF"/>
            </w:tcBorders>
          </w:tcPr>
          <w:p>
            <w:pPr>
              <w:spacing w:after="0"/>
              <w:rPr>
                <w:sz w:val="17"/>
                <w:szCs w:val="17"/>
                <w:color w:val="auto"/>
              </w:rPr>
            </w:pPr>
          </w:p>
        </w:tc>
        <w:tc>
          <w:tcPr>
            <w:tcW w:w="110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b w:val="1"/>
                <w:bCs w:val="1"/>
                <w:color w:val="auto"/>
              </w:rPr>
              <w:t>June 30, 2020</w:t>
            </w:r>
          </w:p>
        </w:tc>
        <w:tc>
          <w:tcPr>
            <w:tcW w:w="100" w:type="dxa"/>
            <w:vAlign w:val="bottom"/>
            <w:tcBorders>
              <w:bottom w:val="single" w:sz="8" w:color="CCEEFF"/>
            </w:tcBorders>
          </w:tcPr>
          <w:p>
            <w:pPr>
              <w:spacing w:after="0"/>
              <w:rPr>
                <w:sz w:val="17"/>
                <w:szCs w:val="17"/>
                <w:color w:val="auto"/>
              </w:rPr>
            </w:pPr>
          </w:p>
        </w:tc>
        <w:tc>
          <w:tcPr>
            <w:tcW w:w="1160" w:type="dxa"/>
            <w:vAlign w:val="bottom"/>
            <w:tcBorders>
              <w:bottom w:val="single" w:sz="8" w:color="auto"/>
            </w:tcBorders>
          </w:tcPr>
          <w:p>
            <w:pPr>
              <w:jc w:val="right"/>
              <w:ind w:right="344"/>
              <w:spacing w:after="0"/>
              <w:rPr>
                <w:sz w:val="20"/>
                <w:szCs w:val="20"/>
                <w:color w:val="auto"/>
              </w:rPr>
            </w:pPr>
            <w:r>
              <w:rPr>
                <w:rFonts w:ascii="Arial" w:cs="Arial" w:eastAsia="Arial" w:hAnsi="Arial"/>
                <w:sz w:val="15"/>
                <w:szCs w:val="15"/>
                <w:b w:val="1"/>
                <w:bCs w:val="1"/>
                <w:color w:val="auto"/>
              </w:rPr>
              <w:t>2019</w:t>
            </w:r>
          </w:p>
        </w:tc>
        <w:tc>
          <w:tcPr>
            <w:tcW w:w="160" w:type="dxa"/>
            <w:vAlign w:val="bottom"/>
            <w:tcBorders>
              <w:bottom w:val="single" w:sz="8" w:color="CCEEFF"/>
            </w:tcBorders>
          </w:tcPr>
          <w:p>
            <w:pPr>
              <w:spacing w:after="0"/>
              <w:rPr>
                <w:sz w:val="17"/>
                <w:szCs w:val="17"/>
                <w:color w:val="auto"/>
              </w:rPr>
            </w:pPr>
          </w:p>
        </w:tc>
        <w:tc>
          <w:tcPr>
            <w:tcW w:w="1160" w:type="dxa"/>
            <w:vAlign w:val="bottom"/>
            <w:tcBorders>
              <w:bottom w:val="single" w:sz="8" w:color="auto"/>
            </w:tcBorders>
            <w:gridSpan w:val="2"/>
          </w:tcPr>
          <w:p>
            <w:pPr>
              <w:jc w:val="right"/>
              <w:ind w:right="64"/>
              <w:spacing w:after="0"/>
              <w:rPr>
                <w:sz w:val="20"/>
                <w:szCs w:val="20"/>
                <w:color w:val="auto"/>
              </w:rPr>
            </w:pPr>
            <w:r>
              <w:rPr>
                <w:rFonts w:ascii="Arial" w:cs="Arial" w:eastAsia="Arial" w:hAnsi="Arial"/>
                <w:sz w:val="15"/>
                <w:szCs w:val="15"/>
                <w:b w:val="1"/>
                <w:bCs w:val="1"/>
                <w:color w:val="auto"/>
              </w:rPr>
              <w:t>June 30, 2020</w:t>
            </w:r>
          </w:p>
        </w:tc>
        <w:tc>
          <w:tcPr>
            <w:tcW w:w="100" w:type="dxa"/>
            <w:vAlign w:val="bottom"/>
            <w:tcBorders>
              <w:bottom w:val="single" w:sz="8" w:color="CCEEFF"/>
            </w:tcBorders>
          </w:tcPr>
          <w:p>
            <w:pPr>
              <w:spacing w:after="0"/>
              <w:rPr>
                <w:sz w:val="17"/>
                <w:szCs w:val="17"/>
                <w:color w:val="auto"/>
              </w:rPr>
            </w:pPr>
          </w:p>
        </w:tc>
        <w:tc>
          <w:tcPr>
            <w:tcW w:w="1060" w:type="dxa"/>
            <w:vAlign w:val="bottom"/>
            <w:tcBorders>
              <w:bottom w:val="single" w:sz="8" w:color="auto"/>
            </w:tcBorders>
          </w:tcPr>
          <w:p>
            <w:pPr>
              <w:jc w:val="right"/>
              <w:ind w:right="224"/>
              <w:spacing w:after="0"/>
              <w:rPr>
                <w:sz w:val="20"/>
                <w:szCs w:val="20"/>
                <w:color w:val="auto"/>
              </w:rPr>
            </w:pPr>
            <w:r>
              <w:rPr>
                <w:rFonts w:ascii="Arial" w:cs="Arial" w:eastAsia="Arial" w:hAnsi="Arial"/>
                <w:sz w:val="15"/>
                <w:szCs w:val="15"/>
                <w:b w:val="1"/>
                <w:bCs w:val="1"/>
                <w:color w:val="auto"/>
              </w:rPr>
              <w:t>2019</w:t>
            </w:r>
          </w:p>
        </w:tc>
        <w:tc>
          <w:tcPr>
            <w:tcW w:w="160" w:type="dxa"/>
            <w:vAlign w:val="bottom"/>
            <w:tcBorders>
              <w:bottom w:val="single" w:sz="8" w:color="auto"/>
            </w:tcBorders>
          </w:tcPr>
          <w:p>
            <w:pPr>
              <w:spacing w:after="0"/>
              <w:rPr>
                <w:sz w:val="17"/>
                <w:szCs w:val="17"/>
                <w:color w:val="auto"/>
              </w:rPr>
            </w:pPr>
          </w:p>
        </w:tc>
      </w:tr>
      <w:tr>
        <w:trPr>
          <w:trHeight w:val="213"/>
        </w:trPr>
        <w:tc>
          <w:tcPr>
            <w:tcW w:w="3660" w:type="dxa"/>
            <w:vAlign w:val="bottom"/>
            <w:shd w:val="clear" w:color="auto" w:fill="CCEEFF"/>
          </w:tcPr>
          <w:p>
            <w:pPr>
              <w:ind w:left="20"/>
              <w:spacing w:after="0"/>
              <w:rPr>
                <w:sz w:val="20"/>
                <w:szCs w:val="20"/>
                <w:color w:val="auto"/>
              </w:rPr>
            </w:pPr>
            <w:r>
              <w:rPr>
                <w:rFonts w:ascii="Arial" w:cs="Arial" w:eastAsia="Arial" w:hAnsi="Arial"/>
                <w:sz w:val="15"/>
                <w:szCs w:val="15"/>
                <w:color w:val="auto"/>
              </w:rPr>
              <w:t>Collateralized term loans - Life Companies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1,674,351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8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1,710,408</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16.8</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17.1</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4.0</w:t>
            </w:r>
          </w:p>
        </w:tc>
        <w:tc>
          <w:tcPr>
            <w:tcW w:w="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4.0</w:t>
            </w: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9"/>
              </w:rPr>
              <w:t>%</w:t>
            </w:r>
          </w:p>
        </w:tc>
      </w:tr>
      <w:tr>
        <w:trPr>
          <w:trHeight w:val="212"/>
        </w:trPr>
        <w:tc>
          <w:tcPr>
            <w:tcW w:w="3660" w:type="dxa"/>
            <w:vAlign w:val="bottom"/>
          </w:tcPr>
          <w:p>
            <w:pPr>
              <w:ind w:left="20"/>
              <w:spacing w:after="0"/>
              <w:rPr>
                <w:sz w:val="20"/>
                <w:szCs w:val="20"/>
                <w:color w:val="auto"/>
              </w:rPr>
            </w:pPr>
            <w:r>
              <w:rPr>
                <w:rFonts w:ascii="Arial" w:cs="Arial" w:eastAsia="Arial" w:hAnsi="Arial"/>
                <w:sz w:val="15"/>
                <w:szCs w:val="15"/>
                <w:color w:val="auto"/>
              </w:rPr>
              <w:t>Collateralized term loans - FNMA</w:t>
            </w:r>
          </w:p>
        </w:tc>
        <w:tc>
          <w:tcPr>
            <w:tcW w:w="100" w:type="dxa"/>
            <w:vAlign w:val="bottom"/>
          </w:tcPr>
          <w:p>
            <w:pPr>
              <w:spacing w:after="0"/>
              <w:rPr>
                <w:sz w:val="18"/>
                <w:szCs w:val="18"/>
                <w:color w:val="auto"/>
              </w:rPr>
            </w:pPr>
          </w:p>
        </w:tc>
        <w:tc>
          <w:tcPr>
            <w:tcW w:w="1000" w:type="dxa"/>
            <w:vAlign w:val="bottom"/>
          </w:tcPr>
          <w:p>
            <w:pPr>
              <w:jc w:val="right"/>
              <w:ind w:right="64"/>
              <w:spacing w:after="0"/>
              <w:rPr>
                <w:sz w:val="20"/>
                <w:szCs w:val="20"/>
                <w:color w:val="auto"/>
              </w:rPr>
            </w:pPr>
            <w:r>
              <w:rPr>
                <w:rFonts w:ascii="Arial" w:cs="Arial" w:eastAsia="Arial" w:hAnsi="Arial"/>
                <w:sz w:val="15"/>
                <w:szCs w:val="15"/>
                <w:color w:val="auto"/>
              </w:rPr>
              <w:t>889,516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ind w:right="64"/>
              <w:spacing w:after="0"/>
              <w:rPr>
                <w:sz w:val="20"/>
                <w:szCs w:val="20"/>
                <w:color w:val="auto"/>
              </w:rPr>
            </w:pPr>
            <w:r>
              <w:rPr>
                <w:rFonts w:ascii="Arial" w:cs="Arial" w:eastAsia="Arial" w:hAnsi="Arial"/>
                <w:sz w:val="15"/>
                <w:szCs w:val="15"/>
                <w:color w:val="auto"/>
              </w:rPr>
              <w:t>697,589</w:t>
            </w:r>
          </w:p>
        </w:tc>
        <w:tc>
          <w:tcPr>
            <w:tcW w:w="1260" w:type="dxa"/>
            <w:vAlign w:val="bottom"/>
            <w:gridSpan w:val="2"/>
          </w:tcPr>
          <w:p>
            <w:pPr>
              <w:jc w:val="right"/>
              <w:spacing w:after="0"/>
              <w:rPr>
                <w:sz w:val="20"/>
                <w:szCs w:val="20"/>
                <w:color w:val="auto"/>
              </w:rPr>
            </w:pPr>
            <w:r>
              <w:rPr>
                <w:rFonts w:ascii="Arial" w:cs="Arial" w:eastAsia="Arial" w:hAnsi="Arial"/>
                <w:sz w:val="15"/>
                <w:szCs w:val="15"/>
                <w:color w:val="auto"/>
              </w:rPr>
              <w:t>8.8</w:t>
            </w: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7.0</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3.4</w:t>
            </w:r>
          </w:p>
        </w:tc>
        <w:tc>
          <w:tcPr>
            <w:tcW w:w="180" w:type="dxa"/>
            <w:vAlign w:val="bottom"/>
          </w:tcPr>
          <w:p>
            <w:pPr>
              <w:jc w:val="right"/>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3.7</w:t>
            </w:r>
          </w:p>
        </w:tc>
        <w:tc>
          <w:tcPr>
            <w:tcW w:w="160" w:type="dxa"/>
            <w:vAlign w:val="bottom"/>
          </w:tcPr>
          <w:p>
            <w:pPr>
              <w:jc w:val="right"/>
              <w:spacing w:after="0"/>
              <w:rPr>
                <w:sz w:val="20"/>
                <w:szCs w:val="20"/>
                <w:color w:val="auto"/>
              </w:rPr>
            </w:pPr>
            <w:r>
              <w:rPr>
                <w:rFonts w:ascii="Arial" w:cs="Arial" w:eastAsia="Arial" w:hAnsi="Arial"/>
                <w:sz w:val="15"/>
                <w:szCs w:val="15"/>
                <w:color w:val="auto"/>
                <w:w w:val="89"/>
              </w:rPr>
              <w:t>%</w:t>
            </w:r>
          </w:p>
        </w:tc>
      </w:tr>
      <w:tr>
        <w:trPr>
          <w:trHeight w:val="220"/>
        </w:trPr>
        <w:tc>
          <w:tcPr>
            <w:tcW w:w="3660" w:type="dxa"/>
            <w:vAlign w:val="bottom"/>
            <w:shd w:val="clear" w:color="auto" w:fill="CCEEFF"/>
          </w:tcPr>
          <w:p>
            <w:pPr>
              <w:ind w:left="20"/>
              <w:spacing w:after="0"/>
              <w:rPr>
                <w:sz w:val="20"/>
                <w:szCs w:val="20"/>
                <w:color w:val="auto"/>
              </w:rPr>
            </w:pPr>
            <w:r>
              <w:rPr>
                <w:rFonts w:ascii="Arial" w:cs="Arial" w:eastAsia="Arial" w:hAnsi="Arial"/>
                <w:sz w:val="15"/>
                <w:szCs w:val="15"/>
                <w:color w:val="auto"/>
              </w:rPr>
              <w:t>Collateralized term loans - CMBS</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269,944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397,868</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3.4</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3.1</w:t>
            </w: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4.8</w:t>
            </w:r>
          </w:p>
        </w:tc>
        <w:tc>
          <w:tcPr>
            <w:tcW w:w="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5.1</w:t>
            </w: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9"/>
              </w:rPr>
              <w:t>%</w:t>
            </w:r>
          </w:p>
        </w:tc>
      </w:tr>
      <w:tr>
        <w:trPr>
          <w:trHeight w:val="212"/>
        </w:trPr>
        <w:tc>
          <w:tcPr>
            <w:tcW w:w="366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Collateralized term loans - FMCC</w:t>
            </w:r>
          </w:p>
        </w:tc>
        <w:tc>
          <w:tcPr>
            <w:tcW w:w="1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color w:val="auto"/>
              </w:rPr>
              <w:t>371,696</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color w:val="auto"/>
              </w:rPr>
              <w:t>374,727</w:t>
            </w:r>
          </w:p>
        </w:tc>
        <w:tc>
          <w:tcPr>
            <w:tcW w:w="1260" w:type="dxa"/>
            <w:vAlign w:val="bottom"/>
            <w:tcBorders>
              <w:bottom w:val="single" w:sz="8" w:color="CCEEFF"/>
            </w:tcBorders>
            <w:gridSpan w:val="2"/>
          </w:tcPr>
          <w:p>
            <w:pPr>
              <w:jc w:val="right"/>
              <w:spacing w:after="0"/>
              <w:rPr>
                <w:sz w:val="20"/>
                <w:szCs w:val="20"/>
                <w:color w:val="auto"/>
              </w:rPr>
            </w:pPr>
            <w:r>
              <w:rPr>
                <w:rFonts w:ascii="Arial" w:cs="Arial" w:eastAsia="Arial" w:hAnsi="Arial"/>
                <w:sz w:val="15"/>
                <w:szCs w:val="15"/>
                <w:color w:val="auto"/>
              </w:rPr>
              <w:t>4.4</w:t>
            </w:r>
          </w:p>
        </w:tc>
        <w:tc>
          <w:tcPr>
            <w:tcW w:w="100" w:type="dxa"/>
            <w:vAlign w:val="bottom"/>
            <w:tcBorders>
              <w:bottom w:val="single" w:sz="8" w:color="CCEEFF"/>
            </w:tcBorders>
          </w:tcPr>
          <w:p>
            <w:pPr>
              <w:spacing w:after="0"/>
              <w:rPr>
                <w:sz w:val="18"/>
                <w:szCs w:val="18"/>
                <w:color w:val="auto"/>
              </w:rPr>
            </w:pPr>
          </w:p>
        </w:tc>
        <w:tc>
          <w:tcPr>
            <w:tcW w:w="1160" w:type="dxa"/>
            <w:vAlign w:val="bottom"/>
            <w:tcBorders>
              <w:bottom w:val="single" w:sz="8" w:color="CCEEFF"/>
            </w:tcBorders>
          </w:tcPr>
          <w:p>
            <w:pPr>
              <w:jc w:val="right"/>
              <w:spacing w:after="0"/>
              <w:rPr>
                <w:sz w:val="20"/>
                <w:szCs w:val="20"/>
                <w:color w:val="auto"/>
              </w:rPr>
            </w:pPr>
            <w:r>
              <w:rPr>
                <w:rFonts w:ascii="Arial" w:cs="Arial" w:eastAsia="Arial" w:hAnsi="Arial"/>
                <w:sz w:val="15"/>
                <w:szCs w:val="15"/>
                <w:color w:val="auto"/>
              </w:rPr>
              <w:t>4.9</w:t>
            </w:r>
          </w:p>
        </w:tc>
        <w:tc>
          <w:tcPr>
            <w:tcW w:w="160" w:type="dxa"/>
            <w:vAlign w:val="bottom"/>
            <w:tcBorders>
              <w:bottom w:val="single" w:sz="8" w:color="CCEEFF"/>
            </w:tcBorders>
          </w:tcPr>
          <w:p>
            <w:pPr>
              <w:spacing w:after="0"/>
              <w:rPr>
                <w:sz w:val="18"/>
                <w:szCs w:val="18"/>
                <w:color w:val="auto"/>
              </w:rPr>
            </w:pPr>
          </w:p>
        </w:tc>
        <w:tc>
          <w:tcPr>
            <w:tcW w:w="980" w:type="dxa"/>
            <w:vAlign w:val="bottom"/>
            <w:tcBorders>
              <w:bottom w:val="single" w:sz="8" w:color="CCEEFF"/>
            </w:tcBorders>
          </w:tcPr>
          <w:p>
            <w:pPr>
              <w:jc w:val="right"/>
              <w:spacing w:after="0"/>
              <w:rPr>
                <w:sz w:val="20"/>
                <w:szCs w:val="20"/>
                <w:color w:val="auto"/>
              </w:rPr>
            </w:pPr>
            <w:r>
              <w:rPr>
                <w:rFonts w:ascii="Arial" w:cs="Arial" w:eastAsia="Arial" w:hAnsi="Arial"/>
                <w:sz w:val="15"/>
                <w:szCs w:val="15"/>
                <w:color w:val="auto"/>
              </w:rPr>
              <w:t>3.9</w:t>
            </w:r>
          </w:p>
        </w:tc>
        <w:tc>
          <w:tcPr>
            <w:tcW w:w="180" w:type="dxa"/>
            <w:vAlign w:val="bottom"/>
            <w:tcBorders>
              <w:bottom w:val="single" w:sz="8" w:color="CCEEFF"/>
            </w:tcBorders>
          </w:tcPr>
          <w:p>
            <w:pPr>
              <w:jc w:val="right"/>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CEEFF"/>
            </w:tcBorders>
          </w:tcPr>
          <w:p>
            <w:pPr>
              <w:spacing w:after="0"/>
              <w:rPr>
                <w:sz w:val="18"/>
                <w:szCs w:val="18"/>
                <w:color w:val="auto"/>
              </w:rPr>
            </w:pPr>
          </w:p>
        </w:tc>
        <w:tc>
          <w:tcPr>
            <w:tcW w:w="1060" w:type="dxa"/>
            <w:vAlign w:val="bottom"/>
            <w:tcBorders>
              <w:bottom w:val="single" w:sz="8" w:color="CCEEFF"/>
            </w:tcBorders>
          </w:tcPr>
          <w:p>
            <w:pPr>
              <w:jc w:val="right"/>
              <w:spacing w:after="0"/>
              <w:rPr>
                <w:sz w:val="20"/>
                <w:szCs w:val="20"/>
                <w:color w:val="auto"/>
              </w:rPr>
            </w:pPr>
            <w:r>
              <w:rPr>
                <w:rFonts w:ascii="Arial" w:cs="Arial" w:eastAsia="Arial" w:hAnsi="Arial"/>
                <w:sz w:val="15"/>
                <w:szCs w:val="15"/>
                <w:color w:val="auto"/>
              </w:rPr>
              <w:t>3.9</w:t>
            </w:r>
          </w:p>
        </w:tc>
        <w:tc>
          <w:tcPr>
            <w:tcW w:w="160" w:type="dxa"/>
            <w:vAlign w:val="bottom"/>
            <w:tcBorders>
              <w:bottom w:val="single" w:sz="8" w:color="CCEEFF"/>
            </w:tcBorders>
          </w:tcPr>
          <w:p>
            <w:pPr>
              <w:jc w:val="right"/>
              <w:spacing w:after="0"/>
              <w:rPr>
                <w:sz w:val="20"/>
                <w:szCs w:val="20"/>
                <w:color w:val="auto"/>
              </w:rPr>
            </w:pPr>
            <w:r>
              <w:rPr>
                <w:rFonts w:ascii="Arial" w:cs="Arial" w:eastAsia="Arial" w:hAnsi="Arial"/>
                <w:sz w:val="15"/>
                <w:szCs w:val="15"/>
                <w:color w:val="auto"/>
                <w:w w:val="89"/>
              </w:rPr>
              <w:t>%</w:t>
            </w:r>
          </w:p>
        </w:tc>
      </w:tr>
      <w:tr>
        <w:trPr>
          <w:trHeight w:val="214"/>
        </w:trPr>
        <w:tc>
          <w:tcPr>
            <w:tcW w:w="3660" w:type="dxa"/>
            <w:vAlign w:val="bottom"/>
            <w:shd w:val="clear" w:color="auto" w:fill="CCEEFF"/>
          </w:tcPr>
          <w:p>
            <w:pPr>
              <w:ind w:left="220"/>
              <w:spacing w:after="0"/>
              <w:rPr>
                <w:sz w:val="20"/>
                <w:szCs w:val="20"/>
                <w:color w:val="auto"/>
              </w:rPr>
            </w:pPr>
            <w:r>
              <w:rPr>
                <w:rFonts w:ascii="Arial" w:cs="Arial" w:eastAsia="Arial" w:hAnsi="Arial"/>
                <w:sz w:val="15"/>
                <w:szCs w:val="15"/>
                <w:color w:val="auto"/>
              </w:rPr>
              <w:t>Total collateralized term loans</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3,205,507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3,180,592</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176"/>
        </w:trPr>
        <w:tc>
          <w:tcPr>
            <w:tcW w:w="3660" w:type="dxa"/>
            <w:vAlign w:val="bottom"/>
          </w:tcPr>
          <w:p>
            <w:pPr>
              <w:ind w:left="20"/>
              <w:spacing w:after="0"/>
              <w:rPr>
                <w:sz w:val="20"/>
                <w:szCs w:val="20"/>
                <w:color w:val="auto"/>
              </w:rPr>
            </w:pPr>
            <w:r>
              <w:rPr>
                <w:rFonts w:ascii="Arial" w:cs="Arial" w:eastAsia="Arial" w:hAnsi="Arial"/>
                <w:sz w:val="15"/>
                <w:szCs w:val="15"/>
                <w:color w:val="auto"/>
              </w:rPr>
              <w:t>Preferred equity - Sun NG Resorts - mandatorily</w:t>
            </w: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60" w:type="dxa"/>
            <w:vAlign w:val="bottom"/>
          </w:tcPr>
          <w:p>
            <w:pPr>
              <w:spacing w:after="0"/>
              <w:rPr>
                <w:sz w:val="15"/>
                <w:szCs w:val="15"/>
                <w:color w:val="auto"/>
              </w:rPr>
            </w:pPr>
          </w:p>
        </w:tc>
      </w:tr>
      <w:tr>
        <w:trPr>
          <w:trHeight w:val="198"/>
        </w:trPr>
        <w:tc>
          <w:tcPr>
            <w:tcW w:w="3660" w:type="dxa"/>
            <w:vAlign w:val="bottom"/>
          </w:tcPr>
          <w:p>
            <w:pPr>
              <w:ind w:left="20"/>
              <w:spacing w:after="0"/>
              <w:rPr>
                <w:sz w:val="20"/>
                <w:szCs w:val="20"/>
                <w:color w:val="auto"/>
              </w:rPr>
            </w:pPr>
            <w:r>
              <w:rPr>
                <w:rFonts w:ascii="Arial" w:cs="Arial" w:eastAsia="Arial" w:hAnsi="Arial"/>
                <w:sz w:val="15"/>
                <w:szCs w:val="15"/>
                <w:color w:val="auto"/>
              </w:rPr>
              <w:t>redeemable</w:t>
            </w:r>
          </w:p>
        </w:tc>
        <w:tc>
          <w:tcPr>
            <w:tcW w:w="100" w:type="dxa"/>
            <w:vAlign w:val="bottom"/>
          </w:tcPr>
          <w:p>
            <w:pPr>
              <w:spacing w:after="0"/>
              <w:rPr>
                <w:sz w:val="17"/>
                <w:szCs w:val="17"/>
                <w:color w:val="auto"/>
              </w:rPr>
            </w:pPr>
          </w:p>
        </w:tc>
        <w:tc>
          <w:tcPr>
            <w:tcW w:w="1000" w:type="dxa"/>
            <w:vAlign w:val="bottom"/>
          </w:tcPr>
          <w:p>
            <w:pPr>
              <w:jc w:val="right"/>
              <w:ind w:right="64"/>
              <w:spacing w:after="0"/>
              <w:rPr>
                <w:sz w:val="20"/>
                <w:szCs w:val="20"/>
                <w:color w:val="auto"/>
              </w:rPr>
            </w:pPr>
            <w:r>
              <w:rPr>
                <w:rFonts w:ascii="Arial" w:cs="Arial" w:eastAsia="Arial" w:hAnsi="Arial"/>
                <w:sz w:val="15"/>
                <w:szCs w:val="15"/>
                <w:color w:val="auto"/>
              </w:rPr>
              <w:t>35,249</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jc w:val="right"/>
              <w:ind w:right="64"/>
              <w:spacing w:after="0"/>
              <w:rPr>
                <w:sz w:val="20"/>
                <w:szCs w:val="20"/>
                <w:color w:val="auto"/>
              </w:rPr>
            </w:pPr>
            <w:r>
              <w:rPr>
                <w:rFonts w:ascii="Arial" w:cs="Arial" w:eastAsia="Arial" w:hAnsi="Arial"/>
                <w:sz w:val="15"/>
                <w:szCs w:val="15"/>
                <w:color w:val="auto"/>
              </w:rPr>
              <w:t>35,249</w:t>
            </w:r>
          </w:p>
        </w:tc>
        <w:tc>
          <w:tcPr>
            <w:tcW w:w="1260" w:type="dxa"/>
            <w:vAlign w:val="bottom"/>
            <w:gridSpan w:val="2"/>
          </w:tcPr>
          <w:p>
            <w:pPr>
              <w:jc w:val="right"/>
              <w:spacing w:after="0"/>
              <w:rPr>
                <w:sz w:val="20"/>
                <w:szCs w:val="20"/>
                <w:color w:val="auto"/>
              </w:rPr>
            </w:pPr>
            <w:r>
              <w:rPr>
                <w:rFonts w:ascii="Arial" w:cs="Arial" w:eastAsia="Arial" w:hAnsi="Arial"/>
                <w:sz w:val="15"/>
                <w:szCs w:val="15"/>
                <w:color w:val="auto"/>
              </w:rPr>
              <w:t>2.3</w:t>
            </w:r>
          </w:p>
        </w:tc>
        <w:tc>
          <w:tcPr>
            <w:tcW w:w="10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2.8</w:t>
            </w:r>
          </w:p>
        </w:tc>
        <w:tc>
          <w:tcPr>
            <w:tcW w:w="1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6.0</w:t>
            </w:r>
          </w:p>
        </w:tc>
        <w:tc>
          <w:tcPr>
            <w:tcW w:w="180" w:type="dxa"/>
            <w:vAlign w:val="bottom"/>
          </w:tcPr>
          <w:p>
            <w:pPr>
              <w:jc w:val="right"/>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6.0</w:t>
            </w:r>
          </w:p>
        </w:tc>
        <w:tc>
          <w:tcPr>
            <w:tcW w:w="160" w:type="dxa"/>
            <w:vAlign w:val="bottom"/>
          </w:tcPr>
          <w:p>
            <w:pPr>
              <w:jc w:val="right"/>
              <w:spacing w:after="0"/>
              <w:rPr>
                <w:sz w:val="20"/>
                <w:szCs w:val="20"/>
                <w:color w:val="auto"/>
              </w:rPr>
            </w:pPr>
            <w:r>
              <w:rPr>
                <w:rFonts w:ascii="Arial" w:cs="Arial" w:eastAsia="Arial" w:hAnsi="Arial"/>
                <w:sz w:val="15"/>
                <w:szCs w:val="15"/>
                <w:color w:val="auto"/>
                <w:w w:val="89"/>
              </w:rPr>
              <w:t>%</w:t>
            </w:r>
          </w:p>
        </w:tc>
      </w:tr>
      <w:tr>
        <w:trPr>
          <w:trHeight w:val="220"/>
        </w:trPr>
        <w:tc>
          <w:tcPr>
            <w:tcW w:w="3660" w:type="dxa"/>
            <w:vAlign w:val="bottom"/>
            <w:shd w:val="clear" w:color="auto" w:fill="CCEEFF"/>
          </w:tcPr>
          <w:p>
            <w:pPr>
              <w:ind w:left="20"/>
              <w:spacing w:after="0"/>
              <w:rPr>
                <w:sz w:val="20"/>
                <w:szCs w:val="20"/>
                <w:color w:val="auto"/>
              </w:rPr>
            </w:pPr>
            <w:r>
              <w:rPr>
                <w:rFonts w:ascii="Arial" w:cs="Arial" w:eastAsia="Arial" w:hAnsi="Arial"/>
                <w:sz w:val="15"/>
                <w:szCs w:val="15"/>
                <w:color w:val="auto"/>
              </w:rPr>
              <w:t>Preferred OP units - mandatorily redeemable</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34,663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34,663</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5.6</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4.0</w:t>
            </w: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5.9</w:t>
            </w:r>
          </w:p>
        </w:tc>
        <w:tc>
          <w:tcPr>
            <w:tcW w:w="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6.5</w:t>
            </w: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9"/>
              </w:rPr>
              <w:t>%</w:t>
            </w:r>
          </w:p>
        </w:tc>
      </w:tr>
      <w:tr>
        <w:trPr>
          <w:trHeight w:val="212"/>
        </w:trPr>
        <w:tc>
          <w:tcPr>
            <w:tcW w:w="366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Lines of credit</w:t>
            </w:r>
          </w:p>
        </w:tc>
        <w:tc>
          <w:tcPr>
            <w:tcW w:w="1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color w:val="auto"/>
              </w:rPr>
              <w:t>115,352</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color w:val="auto"/>
              </w:rPr>
              <w:t>183,898</w:t>
            </w:r>
          </w:p>
        </w:tc>
        <w:tc>
          <w:tcPr>
            <w:tcW w:w="1260" w:type="dxa"/>
            <w:vAlign w:val="bottom"/>
            <w:tcBorders>
              <w:bottom w:val="single" w:sz="8" w:color="CCEEFF"/>
            </w:tcBorders>
            <w:gridSpan w:val="2"/>
          </w:tcPr>
          <w:p>
            <w:pPr>
              <w:jc w:val="right"/>
              <w:spacing w:after="0"/>
              <w:rPr>
                <w:sz w:val="20"/>
                <w:szCs w:val="20"/>
                <w:color w:val="auto"/>
              </w:rPr>
            </w:pPr>
            <w:r>
              <w:rPr>
                <w:rFonts w:ascii="Arial" w:cs="Arial" w:eastAsia="Arial" w:hAnsi="Arial"/>
                <w:sz w:val="15"/>
                <w:szCs w:val="15"/>
                <w:color w:val="auto"/>
              </w:rPr>
              <w:t>3.1</w:t>
            </w:r>
          </w:p>
        </w:tc>
        <w:tc>
          <w:tcPr>
            <w:tcW w:w="100" w:type="dxa"/>
            <w:vAlign w:val="bottom"/>
            <w:tcBorders>
              <w:bottom w:val="single" w:sz="8" w:color="CCEEFF"/>
            </w:tcBorders>
          </w:tcPr>
          <w:p>
            <w:pPr>
              <w:spacing w:after="0"/>
              <w:rPr>
                <w:sz w:val="18"/>
                <w:szCs w:val="18"/>
                <w:color w:val="auto"/>
              </w:rPr>
            </w:pPr>
          </w:p>
        </w:tc>
        <w:tc>
          <w:tcPr>
            <w:tcW w:w="1160" w:type="dxa"/>
            <w:vAlign w:val="bottom"/>
            <w:tcBorders>
              <w:bottom w:val="single" w:sz="8" w:color="CCEEFF"/>
            </w:tcBorders>
          </w:tcPr>
          <w:p>
            <w:pPr>
              <w:jc w:val="right"/>
              <w:spacing w:after="0"/>
              <w:rPr>
                <w:sz w:val="20"/>
                <w:szCs w:val="20"/>
                <w:color w:val="auto"/>
              </w:rPr>
            </w:pPr>
            <w:r>
              <w:rPr>
                <w:rFonts w:ascii="Arial" w:cs="Arial" w:eastAsia="Arial" w:hAnsi="Arial"/>
                <w:sz w:val="15"/>
                <w:szCs w:val="15"/>
                <w:color w:val="auto"/>
              </w:rPr>
              <w:t>3.5</w:t>
            </w:r>
          </w:p>
        </w:tc>
        <w:tc>
          <w:tcPr>
            <w:tcW w:w="160" w:type="dxa"/>
            <w:vAlign w:val="bottom"/>
            <w:tcBorders>
              <w:bottom w:val="single" w:sz="8" w:color="CCEEFF"/>
            </w:tcBorders>
          </w:tcPr>
          <w:p>
            <w:pPr>
              <w:spacing w:after="0"/>
              <w:rPr>
                <w:sz w:val="18"/>
                <w:szCs w:val="18"/>
                <w:color w:val="auto"/>
              </w:rPr>
            </w:pPr>
          </w:p>
        </w:tc>
        <w:tc>
          <w:tcPr>
            <w:tcW w:w="980" w:type="dxa"/>
            <w:vAlign w:val="bottom"/>
            <w:tcBorders>
              <w:bottom w:val="single" w:sz="8" w:color="CCEEFF"/>
            </w:tcBorders>
          </w:tcPr>
          <w:p>
            <w:pPr>
              <w:jc w:val="right"/>
              <w:spacing w:after="0"/>
              <w:rPr>
                <w:sz w:val="20"/>
                <w:szCs w:val="20"/>
                <w:color w:val="auto"/>
              </w:rPr>
            </w:pPr>
            <w:r>
              <w:rPr>
                <w:rFonts w:ascii="Arial" w:cs="Arial" w:eastAsia="Arial" w:hAnsi="Arial"/>
                <w:sz w:val="15"/>
                <w:szCs w:val="15"/>
                <w:color w:val="auto"/>
              </w:rPr>
              <w:t>2.0</w:t>
            </w:r>
          </w:p>
        </w:tc>
        <w:tc>
          <w:tcPr>
            <w:tcW w:w="180" w:type="dxa"/>
            <w:vAlign w:val="bottom"/>
            <w:tcBorders>
              <w:bottom w:val="single" w:sz="8" w:color="CCEEFF"/>
            </w:tcBorders>
          </w:tcPr>
          <w:p>
            <w:pPr>
              <w:jc w:val="right"/>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CEEFF"/>
            </w:tcBorders>
          </w:tcPr>
          <w:p>
            <w:pPr>
              <w:spacing w:after="0"/>
              <w:rPr>
                <w:sz w:val="18"/>
                <w:szCs w:val="18"/>
                <w:color w:val="auto"/>
              </w:rPr>
            </w:pPr>
          </w:p>
        </w:tc>
        <w:tc>
          <w:tcPr>
            <w:tcW w:w="1060" w:type="dxa"/>
            <w:vAlign w:val="bottom"/>
            <w:tcBorders>
              <w:bottom w:val="single" w:sz="8" w:color="CCEEFF"/>
            </w:tcBorders>
          </w:tcPr>
          <w:p>
            <w:pPr>
              <w:jc w:val="right"/>
              <w:spacing w:after="0"/>
              <w:rPr>
                <w:sz w:val="20"/>
                <w:szCs w:val="20"/>
                <w:color w:val="auto"/>
              </w:rPr>
            </w:pPr>
            <w:r>
              <w:rPr>
                <w:rFonts w:ascii="Arial" w:cs="Arial" w:eastAsia="Arial" w:hAnsi="Arial"/>
                <w:sz w:val="15"/>
                <w:szCs w:val="15"/>
                <w:color w:val="auto"/>
              </w:rPr>
              <w:t>2.7</w:t>
            </w:r>
          </w:p>
        </w:tc>
        <w:tc>
          <w:tcPr>
            <w:tcW w:w="160" w:type="dxa"/>
            <w:vAlign w:val="bottom"/>
            <w:tcBorders>
              <w:bottom w:val="single" w:sz="8" w:color="CCEEFF"/>
            </w:tcBorders>
          </w:tcPr>
          <w:p>
            <w:pPr>
              <w:jc w:val="right"/>
              <w:spacing w:after="0"/>
              <w:rPr>
                <w:sz w:val="20"/>
                <w:szCs w:val="20"/>
                <w:color w:val="auto"/>
              </w:rPr>
            </w:pPr>
            <w:r>
              <w:rPr>
                <w:rFonts w:ascii="Arial" w:cs="Arial" w:eastAsia="Arial" w:hAnsi="Arial"/>
                <w:sz w:val="15"/>
                <w:szCs w:val="15"/>
                <w:color w:val="auto"/>
                <w:w w:val="89"/>
              </w:rPr>
              <w:t>%</w:t>
            </w:r>
          </w:p>
        </w:tc>
      </w:tr>
      <w:tr>
        <w:trPr>
          <w:trHeight w:val="238"/>
        </w:trPr>
        <w:tc>
          <w:tcPr>
            <w:tcW w:w="36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5"/>
                <w:szCs w:val="15"/>
                <w:color w:val="auto"/>
              </w:rPr>
              <w:t>Total debt</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CEEFF"/>
          </w:tcPr>
          <w:p>
            <w:pPr>
              <w:jc w:val="right"/>
              <w:ind w:right="64"/>
              <w:spacing w:after="0"/>
              <w:rPr>
                <w:sz w:val="20"/>
                <w:szCs w:val="20"/>
                <w:color w:val="auto"/>
              </w:rPr>
            </w:pPr>
            <w:r>
              <w:rPr>
                <w:rFonts w:ascii="Arial" w:cs="Arial" w:eastAsia="Arial" w:hAnsi="Arial"/>
                <w:sz w:val="15"/>
                <w:szCs w:val="15"/>
                <w:color w:val="auto"/>
              </w:rPr>
              <w:t>3,390,771</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80" w:type="dxa"/>
            <w:vAlign w:val="bottom"/>
            <w:tcBorders>
              <w:bottom w:val="single" w:sz="8" w:color="auto"/>
            </w:tcBorders>
            <w:shd w:val="clear" w:color="auto" w:fill="CCEEFF"/>
          </w:tcPr>
          <w:p>
            <w:pPr>
              <w:jc w:val="right"/>
              <w:ind w:right="64"/>
              <w:spacing w:after="0"/>
              <w:rPr>
                <w:sz w:val="20"/>
                <w:szCs w:val="20"/>
                <w:color w:val="auto"/>
              </w:rPr>
            </w:pPr>
            <w:r>
              <w:rPr>
                <w:rFonts w:ascii="Arial" w:cs="Arial" w:eastAsia="Arial" w:hAnsi="Arial"/>
                <w:sz w:val="15"/>
                <w:szCs w:val="15"/>
                <w:color w:val="auto"/>
              </w:rPr>
              <w:t>3,434,402</w:t>
            </w:r>
          </w:p>
        </w:tc>
        <w:tc>
          <w:tcPr>
            <w:tcW w:w="1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5"/>
                <w:szCs w:val="15"/>
                <w:color w:val="auto"/>
              </w:rPr>
              <w:t>11.6</w:t>
            </w:r>
          </w:p>
        </w:tc>
        <w:tc>
          <w:tcPr>
            <w:tcW w:w="1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11.1</w:t>
            </w:r>
          </w:p>
        </w:tc>
        <w:tc>
          <w:tcPr>
            <w:tcW w:w="1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3.9</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4.0</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89"/>
              </w:rPr>
              <w:t>%</w:t>
            </w:r>
          </w:p>
        </w:tc>
      </w:tr>
      <w:tr>
        <w:trPr>
          <w:trHeight w:val="20"/>
        </w:trPr>
        <w:tc>
          <w:tcPr>
            <w:tcW w:w="36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Collateralized Term Loans</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six months ended June 30, 2020 and year ended December 31, 2019, we repaid the following collateralized term loans (in thousands except statistical information):</w:t>
      </w:r>
    </w:p>
    <w:tbl>
      <w:tblPr>
        <w:tblLayout w:type="fixed"/>
        <w:tblInd w:w="0" w:type="dxa"/>
        <w:tblCellMar>
          <w:top w:w="0" w:type="dxa"/>
          <w:left w:w="0" w:type="dxa"/>
          <w:bottom w:w="0" w:type="dxa"/>
          <w:right w:w="0" w:type="dxa"/>
        </w:tblCellMar>
      </w:tblPr>
      <w:tr>
        <w:trPr>
          <w:trHeight w:val="167"/>
        </w:trPr>
        <w:tc>
          <w:tcPr>
            <w:tcW w:w="4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20" w:type="dxa"/>
            <w:vAlign w:val="bottom"/>
          </w:tcPr>
          <w:p>
            <w:pPr>
              <w:jc w:val="center"/>
              <w:ind w:left="104"/>
              <w:spacing w:after="0" w:line="167" w:lineRule="exact"/>
              <w:rPr>
                <w:sz w:val="20"/>
                <w:szCs w:val="20"/>
                <w:color w:val="auto"/>
              </w:rPr>
            </w:pPr>
            <w:r>
              <w:rPr>
                <w:rFonts w:ascii="Arial" w:cs="Arial" w:eastAsia="Arial" w:hAnsi="Arial"/>
                <w:sz w:val="15"/>
                <w:szCs w:val="15"/>
                <w:b w:val="1"/>
                <w:bCs w:val="1"/>
                <w:color w:val="auto"/>
                <w:w w:val="96"/>
              </w:rPr>
              <w:t>Fixed</w:t>
            </w: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tcPr>
          <w:p>
            <w:pPr>
              <w:jc w:val="center"/>
              <w:ind w:right="24"/>
              <w:spacing w:after="0" w:line="167" w:lineRule="exact"/>
              <w:rPr>
                <w:sz w:val="20"/>
                <w:szCs w:val="20"/>
                <w:color w:val="auto"/>
              </w:rPr>
            </w:pPr>
            <w:r>
              <w:rPr>
                <w:rFonts w:ascii="Arial" w:cs="Arial" w:eastAsia="Arial" w:hAnsi="Arial"/>
                <w:sz w:val="15"/>
                <w:szCs w:val="15"/>
                <w:b w:val="1"/>
                <w:bCs w:val="1"/>
                <w:color w:val="auto"/>
                <w:w w:val="90"/>
              </w:rPr>
              <w:t>(Gain) / loss on</w:t>
            </w:r>
          </w:p>
        </w:tc>
      </w:tr>
      <w:tr>
        <w:trPr>
          <w:trHeight w:val="162"/>
        </w:trPr>
        <w:tc>
          <w:tcPr>
            <w:tcW w:w="4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20" w:type="dxa"/>
            <w:vAlign w:val="bottom"/>
          </w:tcPr>
          <w:p>
            <w:pPr>
              <w:jc w:val="center"/>
              <w:ind w:left="64"/>
              <w:spacing w:after="0" w:line="162" w:lineRule="exact"/>
              <w:rPr>
                <w:sz w:val="20"/>
                <w:szCs w:val="20"/>
                <w:color w:val="auto"/>
              </w:rPr>
            </w:pPr>
            <w:r>
              <w:rPr>
                <w:rFonts w:ascii="Arial" w:cs="Arial" w:eastAsia="Arial" w:hAnsi="Arial"/>
                <w:sz w:val="15"/>
                <w:szCs w:val="15"/>
                <w:b w:val="1"/>
                <w:bCs w:val="1"/>
                <w:color w:val="auto"/>
                <w:w w:val="92"/>
              </w:rPr>
              <w:t>interest</w:t>
            </w: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160" w:type="dxa"/>
            <w:vAlign w:val="bottom"/>
            <w:gridSpan w:val="2"/>
          </w:tcPr>
          <w:p>
            <w:pPr>
              <w:ind w:left="640"/>
              <w:spacing w:after="0" w:line="162" w:lineRule="exact"/>
              <w:rPr>
                <w:sz w:val="20"/>
                <w:szCs w:val="20"/>
                <w:color w:val="auto"/>
              </w:rPr>
            </w:pPr>
            <w:r>
              <w:rPr>
                <w:rFonts w:ascii="Arial" w:cs="Arial" w:eastAsia="Arial" w:hAnsi="Arial"/>
                <w:sz w:val="15"/>
                <w:szCs w:val="15"/>
                <w:b w:val="1"/>
                <w:bCs w:val="1"/>
                <w:color w:val="auto"/>
              </w:rPr>
              <w:t>Maturity</w:t>
            </w:r>
          </w:p>
        </w:tc>
        <w:tc>
          <w:tcPr>
            <w:tcW w:w="120" w:type="dxa"/>
            <w:vAlign w:val="bottom"/>
          </w:tcPr>
          <w:p>
            <w:pPr>
              <w:spacing w:after="0"/>
              <w:rPr>
                <w:sz w:val="14"/>
                <w:szCs w:val="14"/>
                <w:color w:val="auto"/>
              </w:rPr>
            </w:pPr>
          </w:p>
        </w:tc>
        <w:tc>
          <w:tcPr>
            <w:tcW w:w="1320" w:type="dxa"/>
            <w:vAlign w:val="bottom"/>
          </w:tcPr>
          <w:p>
            <w:pPr>
              <w:jc w:val="center"/>
              <w:ind w:right="44"/>
              <w:spacing w:after="0" w:line="162" w:lineRule="exact"/>
              <w:rPr>
                <w:sz w:val="20"/>
                <w:szCs w:val="20"/>
                <w:color w:val="auto"/>
              </w:rPr>
            </w:pPr>
            <w:r>
              <w:rPr>
                <w:rFonts w:ascii="Arial" w:cs="Arial" w:eastAsia="Arial" w:hAnsi="Arial"/>
                <w:sz w:val="15"/>
                <w:szCs w:val="15"/>
                <w:b w:val="1"/>
                <w:bCs w:val="1"/>
                <w:color w:val="auto"/>
                <w:w w:val="89"/>
              </w:rPr>
              <w:t>extinguishment of</w:t>
            </w:r>
          </w:p>
        </w:tc>
      </w:tr>
      <w:tr>
        <w:trPr>
          <w:trHeight w:val="202"/>
        </w:trPr>
        <w:tc>
          <w:tcPr>
            <w:tcW w:w="4040" w:type="dxa"/>
            <w:vAlign w:val="bottom"/>
            <w:tcBorders>
              <w:bottom w:val="single" w:sz="8" w:color="auto"/>
            </w:tcBorders>
          </w:tcPr>
          <w:p>
            <w:pPr>
              <w:ind w:left="1340"/>
              <w:spacing w:after="0"/>
              <w:rPr>
                <w:sz w:val="20"/>
                <w:szCs w:val="20"/>
                <w:color w:val="auto"/>
              </w:rPr>
            </w:pPr>
            <w:r>
              <w:rPr>
                <w:rFonts w:ascii="Arial" w:cs="Arial" w:eastAsia="Arial" w:hAnsi="Arial"/>
                <w:sz w:val="15"/>
                <w:szCs w:val="15"/>
                <w:b w:val="1"/>
                <w:bCs w:val="1"/>
                <w:color w:val="auto"/>
              </w:rPr>
              <w:t>Three Months Ended</w:t>
            </w:r>
          </w:p>
        </w:tc>
        <w:tc>
          <w:tcPr>
            <w:tcW w:w="120" w:type="dxa"/>
            <w:vAlign w:val="bottom"/>
            <w:tcBorders>
              <w:bottom w:val="single" w:sz="8" w:color="CCEEFF"/>
            </w:tcBorders>
          </w:tcPr>
          <w:p>
            <w:pPr>
              <w:spacing w:after="0"/>
              <w:rPr>
                <w:sz w:val="17"/>
                <w:szCs w:val="17"/>
                <w:color w:val="auto"/>
              </w:rPr>
            </w:pPr>
          </w:p>
        </w:tc>
        <w:tc>
          <w:tcPr>
            <w:tcW w:w="142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b w:val="1"/>
                <w:bCs w:val="1"/>
                <w:color w:val="auto"/>
                <w:w w:val="96"/>
              </w:rPr>
              <w:t>Repayment amount</w:t>
            </w:r>
          </w:p>
        </w:tc>
        <w:tc>
          <w:tcPr>
            <w:tcW w:w="280" w:type="dxa"/>
            <w:vAlign w:val="bottom"/>
            <w:tcBorders>
              <w:bottom w:val="single" w:sz="8" w:color="CCEEFF"/>
            </w:tcBorders>
          </w:tcPr>
          <w:p>
            <w:pPr>
              <w:spacing w:after="0"/>
              <w:rPr>
                <w:sz w:val="17"/>
                <w:szCs w:val="17"/>
                <w:color w:val="auto"/>
              </w:rPr>
            </w:pPr>
          </w:p>
        </w:tc>
        <w:tc>
          <w:tcPr>
            <w:tcW w:w="1320" w:type="dxa"/>
            <w:vAlign w:val="bottom"/>
            <w:tcBorders>
              <w:bottom w:val="single" w:sz="8" w:color="auto"/>
            </w:tcBorders>
          </w:tcPr>
          <w:p>
            <w:pPr>
              <w:jc w:val="center"/>
              <w:ind w:left="104"/>
              <w:spacing w:after="0"/>
              <w:rPr>
                <w:sz w:val="20"/>
                <w:szCs w:val="20"/>
                <w:color w:val="auto"/>
              </w:rPr>
            </w:pPr>
            <w:r>
              <w:rPr>
                <w:rFonts w:ascii="Arial" w:cs="Arial" w:eastAsia="Arial" w:hAnsi="Arial"/>
                <w:sz w:val="15"/>
                <w:szCs w:val="15"/>
                <w:b w:val="1"/>
                <w:bCs w:val="1"/>
                <w:color w:val="auto"/>
                <w:w w:val="94"/>
              </w:rPr>
              <w:t>rate</w:t>
            </w:r>
          </w:p>
        </w:tc>
        <w:tc>
          <w:tcPr>
            <w:tcW w:w="180" w:type="dxa"/>
            <w:vAlign w:val="bottom"/>
            <w:tcBorders>
              <w:bottom w:val="single" w:sz="8" w:color="auto"/>
            </w:tcBorders>
          </w:tcPr>
          <w:p>
            <w:pPr>
              <w:spacing w:after="0"/>
              <w:rPr>
                <w:sz w:val="17"/>
                <w:szCs w:val="17"/>
                <w:color w:val="auto"/>
              </w:rPr>
            </w:pPr>
          </w:p>
        </w:tc>
        <w:tc>
          <w:tcPr>
            <w:tcW w:w="280" w:type="dxa"/>
            <w:vAlign w:val="bottom"/>
            <w:tcBorders>
              <w:bottom w:val="single" w:sz="8" w:color="CCEEFF"/>
            </w:tcBorders>
          </w:tcPr>
          <w:p>
            <w:pPr>
              <w:spacing w:after="0"/>
              <w:rPr>
                <w:sz w:val="17"/>
                <w:szCs w:val="17"/>
                <w:color w:val="auto"/>
              </w:rPr>
            </w:pPr>
          </w:p>
        </w:tc>
        <w:tc>
          <w:tcPr>
            <w:tcW w:w="1900" w:type="dxa"/>
            <w:vAlign w:val="bottom"/>
            <w:tcBorders>
              <w:bottom w:val="single" w:sz="8" w:color="auto"/>
            </w:tcBorders>
          </w:tcPr>
          <w:p>
            <w:pPr>
              <w:jc w:val="right"/>
              <w:ind w:right="744"/>
              <w:spacing w:after="0"/>
              <w:rPr>
                <w:sz w:val="20"/>
                <w:szCs w:val="20"/>
                <w:color w:val="auto"/>
              </w:rPr>
            </w:pPr>
            <w:r>
              <w:rPr>
                <w:rFonts w:ascii="Arial" w:cs="Arial" w:eastAsia="Arial" w:hAnsi="Arial"/>
                <w:sz w:val="15"/>
                <w:szCs w:val="15"/>
                <w:b w:val="1"/>
                <w:bCs w:val="1"/>
                <w:color w:val="auto"/>
              </w:rPr>
              <w:t>date</w:t>
            </w:r>
          </w:p>
        </w:tc>
        <w:tc>
          <w:tcPr>
            <w:tcW w:w="26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center"/>
              <w:ind w:right="44"/>
              <w:spacing w:after="0"/>
              <w:rPr>
                <w:sz w:val="20"/>
                <w:szCs w:val="20"/>
                <w:color w:val="auto"/>
              </w:rPr>
            </w:pPr>
            <w:r>
              <w:rPr>
                <w:rFonts w:ascii="Arial" w:cs="Arial" w:eastAsia="Arial" w:hAnsi="Arial"/>
                <w:sz w:val="15"/>
                <w:szCs w:val="15"/>
                <w:b w:val="1"/>
                <w:bCs w:val="1"/>
                <w:color w:val="auto"/>
                <w:w w:val="88"/>
              </w:rPr>
              <w:t>debt</w:t>
            </w:r>
          </w:p>
        </w:tc>
      </w:tr>
      <w:tr>
        <w:trPr>
          <w:trHeight w:val="173"/>
        </w:trPr>
        <w:tc>
          <w:tcPr>
            <w:tcW w:w="4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160" w:type="dxa"/>
            <w:vAlign w:val="bottom"/>
            <w:gridSpan w:val="2"/>
            <w:shd w:val="clear" w:color="auto" w:fill="CCEEFF"/>
          </w:tcPr>
          <w:p>
            <w:pPr>
              <w:jc w:val="right"/>
              <w:ind w:right="280"/>
              <w:spacing w:after="0"/>
              <w:rPr>
                <w:sz w:val="20"/>
                <w:szCs w:val="20"/>
                <w:color w:val="auto"/>
              </w:rPr>
            </w:pPr>
            <w:r>
              <w:rPr>
                <w:rFonts w:ascii="Arial" w:cs="Arial" w:eastAsia="Arial" w:hAnsi="Arial"/>
                <w:sz w:val="15"/>
                <w:szCs w:val="15"/>
                <w:color w:val="auto"/>
              </w:rPr>
              <w:t>March 1, 2021</w:t>
            </w:r>
          </w:p>
        </w:tc>
        <w:tc>
          <w:tcPr>
            <w:tcW w:w="12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r>
      <w:tr>
        <w:trPr>
          <w:trHeight w:val="162"/>
        </w:trPr>
        <w:tc>
          <w:tcPr>
            <w:tcW w:w="40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160" w:type="dxa"/>
            <w:vAlign w:val="bottom"/>
            <w:gridSpan w:val="2"/>
            <w:shd w:val="clear" w:color="auto" w:fill="CCEEFF"/>
          </w:tcPr>
          <w:p>
            <w:pPr>
              <w:jc w:val="right"/>
              <w:ind w:right="280"/>
              <w:spacing w:after="0" w:line="162" w:lineRule="exact"/>
              <w:rPr>
                <w:sz w:val="20"/>
                <w:szCs w:val="20"/>
                <w:color w:val="auto"/>
              </w:rPr>
            </w:pPr>
            <w:r>
              <w:rPr>
                <w:rFonts w:ascii="Arial" w:cs="Arial" w:eastAsia="Arial" w:hAnsi="Arial"/>
                <w:sz w:val="15"/>
                <w:szCs w:val="15"/>
                <w:color w:val="auto"/>
              </w:rPr>
              <w:t>July 11, 2021</w:t>
            </w:r>
          </w:p>
        </w:tc>
        <w:tc>
          <w:tcPr>
            <w:tcW w:w="12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r>
      <w:tr>
        <w:trPr>
          <w:trHeight w:val="202"/>
        </w:trPr>
        <w:tc>
          <w:tcPr>
            <w:tcW w:w="4040" w:type="dxa"/>
            <w:vAlign w:val="bottom"/>
            <w:shd w:val="clear" w:color="auto" w:fill="CCEEFF"/>
          </w:tcPr>
          <w:p>
            <w:pPr>
              <w:ind w:left="20"/>
              <w:spacing w:after="0"/>
              <w:rPr>
                <w:sz w:val="20"/>
                <w:szCs w:val="20"/>
                <w:color w:val="auto"/>
              </w:rPr>
            </w:pPr>
            <w:r>
              <w:rPr>
                <w:rFonts w:ascii="Arial" w:cs="Arial" w:eastAsia="Arial" w:hAnsi="Arial"/>
                <w:sz w:val="15"/>
                <w:szCs w:val="15"/>
                <w:color w:val="auto"/>
              </w:rPr>
              <w:t>June 30, 2020</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32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52,710</w:t>
            </w:r>
          </w:p>
        </w:tc>
        <w:tc>
          <w:tcPr>
            <w:tcW w:w="280" w:type="dxa"/>
            <w:vAlign w:val="bottom"/>
            <w:shd w:val="clear" w:color="auto" w:fill="CCEEFF"/>
          </w:tcPr>
          <w:p>
            <w:pPr>
              <w:jc w:val="right"/>
              <w:ind w:right="93"/>
              <w:spacing w:after="0"/>
              <w:rPr>
                <w:sz w:val="20"/>
                <w:szCs w:val="20"/>
                <w:color w:val="auto"/>
              </w:rPr>
            </w:pPr>
            <w:r>
              <w:rPr>
                <w:rFonts w:ascii="Arial" w:cs="Arial" w:eastAsia="Arial" w:hAnsi="Arial"/>
                <w:sz w:val="9"/>
                <w:szCs w:val="9"/>
                <w:color w:val="auto"/>
              </w:rPr>
              <w:t>(1)</w:t>
            </w:r>
          </w:p>
        </w:tc>
        <w:tc>
          <w:tcPr>
            <w:tcW w:w="13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5.98</w:t>
            </w:r>
          </w:p>
        </w:tc>
        <w:tc>
          <w:tcPr>
            <w:tcW w:w="46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 xml:space="preserve">% </w:t>
            </w:r>
            <w:r>
              <w:rPr>
                <w:rFonts w:ascii="Arial" w:cs="Arial" w:eastAsia="Arial" w:hAnsi="Arial"/>
                <w:sz w:val="9"/>
                <w:szCs w:val="9"/>
                <w:color w:val="auto"/>
              </w:rPr>
              <w:t>(4)</w:t>
            </w:r>
          </w:p>
        </w:tc>
        <w:tc>
          <w:tcPr>
            <w:tcW w:w="2160" w:type="dxa"/>
            <w:vAlign w:val="bottom"/>
            <w:gridSpan w:val="2"/>
            <w:shd w:val="clear" w:color="auto" w:fill="CCEEFF"/>
          </w:tcPr>
          <w:p>
            <w:pPr>
              <w:jc w:val="right"/>
              <w:ind w:right="280"/>
              <w:spacing w:after="0"/>
              <w:rPr>
                <w:sz w:val="20"/>
                <w:szCs w:val="20"/>
                <w:color w:val="auto"/>
              </w:rPr>
            </w:pPr>
            <w:r>
              <w:rPr>
                <w:rFonts w:ascii="Arial" w:cs="Arial" w:eastAsia="Arial" w:hAnsi="Arial"/>
                <w:sz w:val="15"/>
                <w:szCs w:val="15"/>
                <w:color w:val="auto"/>
              </w:rPr>
              <w:t>December 1, 2021</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32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1,930</w:t>
            </w:r>
          </w:p>
        </w:tc>
      </w:tr>
      <w:tr>
        <w:trPr>
          <w:trHeight w:val="208"/>
        </w:trPr>
        <w:tc>
          <w:tcPr>
            <w:tcW w:w="404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1320" w:type="dxa"/>
            <w:vAlign w:val="bottom"/>
          </w:tcPr>
          <w:p>
            <w:pPr>
              <w:jc w:val="right"/>
              <w:ind w:right="64"/>
              <w:spacing w:after="0"/>
              <w:rPr>
                <w:sz w:val="20"/>
                <w:szCs w:val="20"/>
                <w:color w:val="auto"/>
              </w:rPr>
            </w:pPr>
            <w:r>
              <w:rPr>
                <w:rFonts w:ascii="Arial" w:cs="Arial" w:eastAsia="Arial" w:hAnsi="Arial"/>
                <w:sz w:val="15"/>
                <w:szCs w:val="15"/>
                <w:color w:val="auto"/>
              </w:rPr>
              <w:t>99,607</w:t>
            </w:r>
          </w:p>
        </w:tc>
        <w:tc>
          <w:tcPr>
            <w:tcW w:w="280" w:type="dxa"/>
            <w:vAlign w:val="bottom"/>
          </w:tcPr>
          <w:p>
            <w:pPr>
              <w:spacing w:after="0"/>
              <w:rPr>
                <w:sz w:val="18"/>
                <w:szCs w:val="18"/>
                <w:color w:val="auto"/>
              </w:rPr>
            </w:pPr>
          </w:p>
        </w:tc>
        <w:tc>
          <w:tcPr>
            <w:tcW w:w="1500" w:type="dxa"/>
            <w:vAlign w:val="bottom"/>
            <w:gridSpan w:val="2"/>
          </w:tcPr>
          <w:p>
            <w:pPr>
              <w:jc w:val="right"/>
              <w:spacing w:after="0"/>
              <w:rPr>
                <w:sz w:val="20"/>
                <w:szCs w:val="20"/>
                <w:color w:val="auto"/>
              </w:rPr>
            </w:pPr>
            <w:r>
              <w:rPr>
                <w:rFonts w:ascii="Arial" w:cs="Arial" w:eastAsia="Arial" w:hAnsi="Arial"/>
                <w:sz w:val="15"/>
                <w:szCs w:val="15"/>
                <w:color w:val="auto"/>
              </w:rPr>
              <w:t>5.837 %</w:t>
            </w:r>
          </w:p>
        </w:tc>
        <w:tc>
          <w:tcPr>
            <w:tcW w:w="280" w:type="dxa"/>
            <w:vAlign w:val="bottom"/>
          </w:tcPr>
          <w:p>
            <w:pPr>
              <w:spacing w:after="0"/>
              <w:rPr>
                <w:sz w:val="18"/>
                <w:szCs w:val="18"/>
                <w:color w:val="auto"/>
              </w:rPr>
            </w:pPr>
          </w:p>
        </w:tc>
        <w:tc>
          <w:tcPr>
            <w:tcW w:w="2160" w:type="dxa"/>
            <w:vAlign w:val="bottom"/>
            <w:gridSpan w:val="2"/>
          </w:tcPr>
          <w:p>
            <w:pPr>
              <w:jc w:val="right"/>
              <w:ind w:right="280"/>
              <w:spacing w:after="0"/>
              <w:rPr>
                <w:sz w:val="20"/>
                <w:szCs w:val="20"/>
                <w:color w:val="auto"/>
              </w:rPr>
            </w:pPr>
            <w:r>
              <w:rPr>
                <w:rFonts w:ascii="Arial" w:cs="Arial" w:eastAsia="Arial" w:hAnsi="Arial"/>
                <w:sz w:val="15"/>
                <w:szCs w:val="15"/>
                <w:color w:val="auto"/>
              </w:rPr>
              <w:t>March 1, 2021</w:t>
            </w: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320" w:type="dxa"/>
            <w:vAlign w:val="bottom"/>
          </w:tcPr>
          <w:p>
            <w:pPr>
              <w:jc w:val="right"/>
              <w:ind w:right="64"/>
              <w:spacing w:after="0"/>
              <w:rPr>
                <w:sz w:val="20"/>
                <w:szCs w:val="20"/>
                <w:color w:val="auto"/>
              </w:rPr>
            </w:pPr>
            <w:r>
              <w:rPr>
                <w:rFonts w:ascii="Arial" w:cs="Arial" w:eastAsia="Arial" w:hAnsi="Arial"/>
                <w:sz w:val="15"/>
                <w:szCs w:val="15"/>
                <w:color w:val="auto"/>
              </w:rPr>
              <w:t>3,403</w:t>
            </w:r>
          </w:p>
        </w:tc>
      </w:tr>
      <w:tr>
        <w:trPr>
          <w:trHeight w:val="220"/>
        </w:trPr>
        <w:tc>
          <w:tcPr>
            <w:tcW w:w="4040" w:type="dxa"/>
            <w:vAlign w:val="bottom"/>
          </w:tcPr>
          <w:p>
            <w:pPr>
              <w:ind w:left="20"/>
              <w:spacing w:after="0"/>
              <w:rPr>
                <w:sz w:val="20"/>
                <w:szCs w:val="20"/>
                <w:color w:val="auto"/>
              </w:rPr>
            </w:pPr>
            <w:r>
              <w:rPr>
                <w:rFonts w:ascii="Arial" w:cs="Arial" w:eastAsia="Arial" w:hAnsi="Arial"/>
                <w:sz w:val="15"/>
                <w:szCs w:val="15"/>
                <w:color w:val="auto"/>
              </w:rPr>
              <w:t>March 31, 2020</w:t>
            </w:r>
          </w:p>
        </w:tc>
        <w:tc>
          <w:tcPr>
            <w:tcW w:w="2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1320" w:type="dxa"/>
            <w:vAlign w:val="bottom"/>
          </w:tcPr>
          <w:p>
            <w:pPr>
              <w:jc w:val="right"/>
              <w:ind w:right="64"/>
              <w:spacing w:after="0"/>
              <w:rPr>
                <w:sz w:val="20"/>
                <w:szCs w:val="20"/>
                <w:color w:val="auto"/>
              </w:rPr>
            </w:pPr>
            <w:r>
              <w:rPr>
                <w:rFonts w:ascii="Arial" w:cs="Arial" w:eastAsia="Arial" w:hAnsi="Arial"/>
                <w:sz w:val="15"/>
                <w:szCs w:val="15"/>
                <w:color w:val="auto"/>
              </w:rPr>
              <w:t>19,922</w:t>
            </w:r>
          </w:p>
        </w:tc>
        <w:tc>
          <w:tcPr>
            <w:tcW w:w="280" w:type="dxa"/>
            <w:vAlign w:val="bottom"/>
          </w:tcPr>
          <w:p>
            <w:pPr>
              <w:jc w:val="right"/>
              <w:ind w:right="93"/>
              <w:spacing w:after="0"/>
              <w:rPr>
                <w:sz w:val="20"/>
                <w:szCs w:val="20"/>
                <w:color w:val="auto"/>
              </w:rPr>
            </w:pPr>
            <w:r>
              <w:rPr>
                <w:rFonts w:ascii="Arial" w:cs="Arial" w:eastAsia="Arial" w:hAnsi="Arial"/>
                <w:sz w:val="9"/>
                <w:szCs w:val="9"/>
                <w:color w:val="auto"/>
              </w:rPr>
              <w:t>(2)</w:t>
            </w:r>
          </w:p>
        </w:tc>
        <w:tc>
          <w:tcPr>
            <w:tcW w:w="1320" w:type="dxa"/>
            <w:vAlign w:val="bottom"/>
          </w:tcPr>
          <w:p>
            <w:pPr>
              <w:jc w:val="right"/>
              <w:spacing w:after="0"/>
              <w:rPr>
                <w:sz w:val="20"/>
                <w:szCs w:val="20"/>
                <w:color w:val="auto"/>
              </w:rPr>
            </w:pPr>
            <w:r>
              <w:rPr>
                <w:rFonts w:ascii="Arial" w:cs="Arial" w:eastAsia="Arial" w:hAnsi="Arial"/>
                <w:sz w:val="15"/>
                <w:szCs w:val="15"/>
                <w:color w:val="auto"/>
              </w:rPr>
              <w:t>5.83</w:t>
            </w:r>
          </w:p>
        </w:tc>
        <w:tc>
          <w:tcPr>
            <w:tcW w:w="460" w:type="dxa"/>
            <w:vAlign w:val="bottom"/>
            <w:gridSpan w:val="2"/>
          </w:tcPr>
          <w:p>
            <w:pPr>
              <w:ind w:left="20"/>
              <w:spacing w:after="0"/>
              <w:rPr>
                <w:sz w:val="20"/>
                <w:szCs w:val="20"/>
                <w:color w:val="auto"/>
              </w:rPr>
            </w:pPr>
            <w:r>
              <w:rPr>
                <w:rFonts w:ascii="Arial" w:cs="Arial" w:eastAsia="Arial" w:hAnsi="Arial"/>
                <w:sz w:val="15"/>
                <w:szCs w:val="15"/>
                <w:color w:val="auto"/>
              </w:rPr>
              <w:t xml:space="preserve">% </w:t>
            </w:r>
            <w:r>
              <w:rPr>
                <w:rFonts w:ascii="Arial" w:cs="Arial" w:eastAsia="Arial" w:hAnsi="Arial"/>
                <w:sz w:val="9"/>
                <w:szCs w:val="9"/>
                <w:color w:val="auto"/>
              </w:rPr>
              <w:t>(4)</w:t>
            </w:r>
          </w:p>
        </w:tc>
        <w:tc>
          <w:tcPr>
            <w:tcW w:w="2160" w:type="dxa"/>
            <w:vAlign w:val="bottom"/>
            <w:gridSpan w:val="2"/>
          </w:tcPr>
          <w:p>
            <w:pPr>
              <w:jc w:val="right"/>
              <w:ind w:right="280"/>
              <w:spacing w:after="0"/>
              <w:rPr>
                <w:sz w:val="20"/>
                <w:szCs w:val="20"/>
                <w:color w:val="auto"/>
              </w:rPr>
            </w:pPr>
            <w:r>
              <w:rPr>
                <w:rFonts w:ascii="Arial" w:cs="Arial" w:eastAsia="Arial" w:hAnsi="Arial"/>
                <w:sz w:val="15"/>
                <w:szCs w:val="15"/>
                <w:color w:val="auto"/>
              </w:rPr>
              <w:t>July 1, 2020</w:t>
            </w: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320" w:type="dxa"/>
            <w:vAlign w:val="bottom"/>
          </w:tcPr>
          <w:p>
            <w:pPr>
              <w:jc w:val="right"/>
              <w:ind w:right="24"/>
              <w:spacing w:after="0"/>
              <w:rPr>
                <w:sz w:val="20"/>
                <w:szCs w:val="20"/>
                <w:color w:val="auto"/>
              </w:rPr>
            </w:pPr>
            <w:r>
              <w:rPr>
                <w:rFonts w:ascii="Arial" w:cs="Arial" w:eastAsia="Arial" w:hAnsi="Arial"/>
                <w:sz w:val="15"/>
                <w:szCs w:val="15"/>
                <w:color w:val="auto"/>
              </w:rPr>
              <w:t>(124)</w:t>
            </w:r>
          </w:p>
        </w:tc>
      </w:tr>
      <w:tr>
        <w:trPr>
          <w:trHeight w:val="212"/>
        </w:trPr>
        <w:tc>
          <w:tcPr>
            <w:tcW w:w="4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17,048</w:t>
            </w:r>
          </w:p>
        </w:tc>
        <w:tc>
          <w:tcPr>
            <w:tcW w:w="2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5.62</w:t>
            </w:r>
          </w:p>
        </w:tc>
        <w:tc>
          <w:tcPr>
            <w:tcW w:w="180" w:type="dxa"/>
            <w:vAlign w:val="bottom"/>
            <w:shd w:val="clear" w:color="auto" w:fill="CCEEFF"/>
          </w:tcPr>
          <w:p>
            <w:pPr>
              <w:ind w:left="20"/>
              <w:spacing w:after="0"/>
              <w:rPr>
                <w:sz w:val="20"/>
                <w:szCs w:val="20"/>
                <w:color w:val="auto"/>
              </w:rPr>
            </w:pPr>
            <w:r>
              <w:rPr>
                <w:rFonts w:ascii="Arial" w:cs="Arial" w:eastAsia="Arial" w:hAnsi="Arial"/>
                <w:sz w:val="15"/>
                <w:szCs w:val="15"/>
                <w:color w:val="auto"/>
              </w:rPr>
              <w:t>%</w:t>
            </w:r>
          </w:p>
        </w:tc>
        <w:tc>
          <w:tcPr>
            <w:tcW w:w="280" w:type="dxa"/>
            <w:vAlign w:val="bottom"/>
            <w:shd w:val="clear" w:color="auto" w:fill="CCEEFF"/>
          </w:tcPr>
          <w:p>
            <w:pPr>
              <w:spacing w:after="0"/>
              <w:rPr>
                <w:sz w:val="18"/>
                <w:szCs w:val="18"/>
                <w:color w:val="auto"/>
              </w:rPr>
            </w:pPr>
          </w:p>
        </w:tc>
        <w:tc>
          <w:tcPr>
            <w:tcW w:w="2160" w:type="dxa"/>
            <w:vAlign w:val="bottom"/>
            <w:gridSpan w:val="2"/>
            <w:shd w:val="clear" w:color="auto" w:fill="CCEEFF"/>
          </w:tcPr>
          <w:p>
            <w:pPr>
              <w:jc w:val="right"/>
              <w:ind w:right="280"/>
              <w:spacing w:after="0"/>
              <w:rPr>
                <w:sz w:val="20"/>
                <w:szCs w:val="20"/>
                <w:color w:val="auto"/>
              </w:rPr>
            </w:pPr>
            <w:r>
              <w:rPr>
                <w:rFonts w:ascii="Arial" w:cs="Arial" w:eastAsia="Arial" w:hAnsi="Arial"/>
                <w:sz w:val="15"/>
                <w:szCs w:val="15"/>
                <w:color w:val="auto"/>
              </w:rPr>
              <w:t>March 1, 2020</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32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(84)</w:t>
            </w:r>
          </w:p>
        </w:tc>
      </w:tr>
      <w:tr>
        <w:trPr>
          <w:trHeight w:val="216"/>
        </w:trPr>
        <w:tc>
          <w:tcPr>
            <w:tcW w:w="4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127,282</w:t>
            </w:r>
          </w:p>
        </w:tc>
        <w:tc>
          <w:tcPr>
            <w:tcW w:w="2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5.10 %</w:t>
            </w:r>
          </w:p>
        </w:tc>
        <w:tc>
          <w:tcPr>
            <w:tcW w:w="280" w:type="dxa"/>
            <w:vAlign w:val="bottom"/>
            <w:shd w:val="clear" w:color="auto" w:fill="CCEEFF"/>
          </w:tcPr>
          <w:p>
            <w:pPr>
              <w:spacing w:after="0"/>
              <w:rPr>
                <w:sz w:val="18"/>
                <w:szCs w:val="18"/>
                <w:color w:val="auto"/>
              </w:rPr>
            </w:pPr>
          </w:p>
        </w:tc>
        <w:tc>
          <w:tcPr>
            <w:tcW w:w="2160" w:type="dxa"/>
            <w:vAlign w:val="bottom"/>
            <w:gridSpan w:val="2"/>
            <w:shd w:val="clear" w:color="auto" w:fill="CCEEFF"/>
          </w:tcPr>
          <w:p>
            <w:pPr>
              <w:jc w:val="right"/>
              <w:ind w:right="280"/>
              <w:spacing w:after="0"/>
              <w:rPr>
                <w:sz w:val="20"/>
                <w:szCs w:val="20"/>
                <w:color w:val="auto"/>
              </w:rPr>
            </w:pPr>
            <w:r>
              <w:rPr>
                <w:rFonts w:ascii="Arial" w:cs="Arial" w:eastAsia="Arial" w:hAnsi="Arial"/>
                <w:sz w:val="15"/>
                <w:szCs w:val="15"/>
                <w:color w:val="auto"/>
              </w:rPr>
              <w:t>November 1, 2021</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32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3,274</w:t>
            </w:r>
          </w:p>
        </w:tc>
      </w:tr>
      <w:tr>
        <w:trPr>
          <w:trHeight w:val="184"/>
        </w:trPr>
        <w:tc>
          <w:tcPr>
            <w:tcW w:w="4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160" w:type="dxa"/>
            <w:vAlign w:val="bottom"/>
            <w:gridSpan w:val="2"/>
            <w:shd w:val="clear" w:color="auto" w:fill="CCEEFF"/>
          </w:tcPr>
          <w:p>
            <w:pPr>
              <w:jc w:val="right"/>
              <w:ind w:right="280"/>
              <w:spacing w:after="0"/>
              <w:rPr>
                <w:sz w:val="20"/>
                <w:szCs w:val="20"/>
                <w:color w:val="auto"/>
              </w:rPr>
            </w:pPr>
            <w:r>
              <w:rPr>
                <w:rFonts w:ascii="Arial" w:cs="Arial" w:eastAsia="Arial" w:hAnsi="Arial"/>
                <w:sz w:val="15"/>
                <w:szCs w:val="15"/>
                <w:color w:val="auto"/>
              </w:rPr>
              <w:t>March 1, 2020</w:t>
            </w:r>
          </w:p>
        </w:tc>
        <w:tc>
          <w:tcPr>
            <w:tcW w:w="12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r>
      <w:tr>
        <w:trPr>
          <w:trHeight w:val="202"/>
        </w:trPr>
        <w:tc>
          <w:tcPr>
            <w:tcW w:w="4040" w:type="dxa"/>
            <w:vAlign w:val="bottom"/>
            <w:shd w:val="clear" w:color="auto" w:fill="CCEEFF"/>
          </w:tcPr>
          <w:p>
            <w:pPr>
              <w:ind w:left="20"/>
              <w:spacing w:after="0"/>
              <w:rPr>
                <w:sz w:val="20"/>
                <w:szCs w:val="20"/>
                <w:color w:val="auto"/>
              </w:rPr>
            </w:pPr>
            <w:r>
              <w:rPr>
                <w:rFonts w:ascii="Arial" w:cs="Arial" w:eastAsia="Arial" w:hAnsi="Arial"/>
                <w:sz w:val="15"/>
                <w:szCs w:val="15"/>
                <w:color w:val="auto"/>
              </w:rPr>
              <w:t>December 31, 2019</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21,527</w:t>
            </w:r>
          </w:p>
        </w:tc>
        <w:tc>
          <w:tcPr>
            <w:tcW w:w="280" w:type="dxa"/>
            <w:vAlign w:val="bottom"/>
            <w:shd w:val="clear" w:color="auto" w:fill="CCEEFF"/>
          </w:tcPr>
          <w:p>
            <w:pPr>
              <w:jc w:val="right"/>
              <w:ind w:right="93"/>
              <w:spacing w:after="0"/>
              <w:rPr>
                <w:sz w:val="20"/>
                <w:szCs w:val="20"/>
                <w:color w:val="auto"/>
              </w:rPr>
            </w:pPr>
            <w:r>
              <w:rPr>
                <w:rFonts w:ascii="Arial" w:cs="Arial" w:eastAsia="Arial" w:hAnsi="Arial"/>
                <w:sz w:val="9"/>
                <w:szCs w:val="9"/>
                <w:color w:val="auto"/>
              </w:rPr>
              <w:t>(3)</w:t>
            </w:r>
          </w:p>
        </w:tc>
        <w:tc>
          <w:tcPr>
            <w:tcW w:w="13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6.24</w:t>
            </w:r>
          </w:p>
        </w:tc>
        <w:tc>
          <w:tcPr>
            <w:tcW w:w="46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 xml:space="preserve">% </w:t>
            </w:r>
            <w:r>
              <w:rPr>
                <w:rFonts w:ascii="Arial" w:cs="Arial" w:eastAsia="Arial" w:hAnsi="Arial"/>
                <w:sz w:val="9"/>
                <w:szCs w:val="9"/>
                <w:color w:val="auto"/>
              </w:rPr>
              <w:t>(4)</w:t>
            </w:r>
          </w:p>
        </w:tc>
        <w:tc>
          <w:tcPr>
            <w:tcW w:w="2160" w:type="dxa"/>
            <w:vAlign w:val="bottom"/>
            <w:gridSpan w:val="2"/>
            <w:shd w:val="clear" w:color="auto" w:fill="CCEEFF"/>
          </w:tcPr>
          <w:p>
            <w:pPr>
              <w:jc w:val="right"/>
              <w:ind w:right="280"/>
              <w:spacing w:after="0"/>
              <w:rPr>
                <w:sz w:val="20"/>
                <w:szCs w:val="20"/>
                <w:color w:val="auto"/>
              </w:rPr>
            </w:pPr>
            <w:r>
              <w:rPr>
                <w:rFonts w:ascii="Arial" w:cs="Arial" w:eastAsia="Arial" w:hAnsi="Arial"/>
                <w:sz w:val="15"/>
                <w:szCs w:val="15"/>
                <w:color w:val="auto"/>
              </w:rPr>
              <w:t>April 1, 2020</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32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(163)</w:t>
            </w:r>
          </w:p>
        </w:tc>
      </w:tr>
      <w:tr>
        <w:trPr>
          <w:trHeight w:val="212"/>
        </w:trPr>
        <w:tc>
          <w:tcPr>
            <w:tcW w:w="4040" w:type="dxa"/>
            <w:vAlign w:val="bottom"/>
          </w:tcPr>
          <w:p>
            <w:pPr>
              <w:ind w:left="20"/>
              <w:spacing w:after="0"/>
              <w:rPr>
                <w:sz w:val="20"/>
                <w:szCs w:val="20"/>
                <w:color w:val="auto"/>
              </w:rPr>
            </w:pPr>
            <w:r>
              <w:rPr>
                <w:rFonts w:ascii="Arial" w:cs="Arial" w:eastAsia="Arial" w:hAnsi="Arial"/>
                <w:sz w:val="15"/>
                <w:szCs w:val="15"/>
                <w:color w:val="auto"/>
              </w:rPr>
              <w:t>September 30, 2019</w:t>
            </w:r>
          </w:p>
        </w:tc>
        <w:tc>
          <w:tcPr>
            <w:tcW w:w="2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1320" w:type="dxa"/>
            <w:vAlign w:val="bottom"/>
          </w:tcPr>
          <w:p>
            <w:pPr>
              <w:jc w:val="right"/>
              <w:ind w:right="64"/>
              <w:spacing w:after="0"/>
              <w:rPr>
                <w:sz w:val="20"/>
                <w:szCs w:val="20"/>
                <w:color w:val="auto"/>
              </w:rPr>
            </w:pPr>
            <w:r>
              <w:rPr>
                <w:rFonts w:ascii="Arial" w:cs="Arial" w:eastAsia="Arial" w:hAnsi="Arial"/>
                <w:sz w:val="15"/>
                <w:szCs w:val="15"/>
                <w:color w:val="auto"/>
              </w:rPr>
              <w:t>134,021</w:t>
            </w:r>
          </w:p>
        </w:tc>
        <w:tc>
          <w:tcPr>
            <w:tcW w:w="280" w:type="dxa"/>
            <w:vAlign w:val="bottom"/>
          </w:tcPr>
          <w:p>
            <w:pPr>
              <w:spacing w:after="0"/>
              <w:rPr>
                <w:sz w:val="18"/>
                <w:szCs w:val="18"/>
                <w:color w:val="auto"/>
              </w:rPr>
            </w:pPr>
          </w:p>
        </w:tc>
        <w:tc>
          <w:tcPr>
            <w:tcW w:w="1500" w:type="dxa"/>
            <w:vAlign w:val="bottom"/>
            <w:gridSpan w:val="2"/>
          </w:tcPr>
          <w:p>
            <w:pPr>
              <w:jc w:val="right"/>
              <w:spacing w:after="0"/>
              <w:rPr>
                <w:sz w:val="20"/>
                <w:szCs w:val="20"/>
                <w:color w:val="auto"/>
              </w:rPr>
            </w:pPr>
            <w:r>
              <w:rPr>
                <w:rFonts w:ascii="Arial" w:cs="Arial" w:eastAsia="Arial" w:hAnsi="Arial"/>
                <w:sz w:val="15"/>
                <w:szCs w:val="15"/>
                <w:color w:val="auto"/>
              </w:rPr>
              <w:t>4.3 %</w:t>
            </w:r>
          </w:p>
        </w:tc>
        <w:tc>
          <w:tcPr>
            <w:tcW w:w="280" w:type="dxa"/>
            <w:vAlign w:val="bottom"/>
          </w:tcPr>
          <w:p>
            <w:pPr>
              <w:spacing w:after="0"/>
              <w:rPr>
                <w:sz w:val="18"/>
                <w:szCs w:val="18"/>
                <w:color w:val="auto"/>
              </w:rPr>
            </w:pPr>
          </w:p>
        </w:tc>
        <w:tc>
          <w:tcPr>
            <w:tcW w:w="2160" w:type="dxa"/>
            <w:vAlign w:val="bottom"/>
            <w:gridSpan w:val="2"/>
          </w:tcPr>
          <w:p>
            <w:pPr>
              <w:jc w:val="right"/>
              <w:ind w:right="280"/>
              <w:spacing w:after="0"/>
              <w:rPr>
                <w:sz w:val="20"/>
                <w:szCs w:val="20"/>
                <w:color w:val="auto"/>
              </w:rPr>
            </w:pPr>
            <w:r>
              <w:rPr>
                <w:rFonts w:ascii="Arial" w:cs="Arial" w:eastAsia="Arial" w:hAnsi="Arial"/>
                <w:sz w:val="15"/>
                <w:szCs w:val="15"/>
                <w:color w:val="auto"/>
              </w:rPr>
              <w:t>May 1, 2023</w:t>
            </w: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320" w:type="dxa"/>
            <w:vAlign w:val="bottom"/>
          </w:tcPr>
          <w:p>
            <w:pPr>
              <w:jc w:val="right"/>
              <w:ind w:right="64"/>
              <w:spacing w:after="0"/>
              <w:rPr>
                <w:sz w:val="20"/>
                <w:szCs w:val="20"/>
                <w:color w:val="auto"/>
              </w:rPr>
            </w:pPr>
            <w:r>
              <w:rPr>
                <w:rFonts w:ascii="Arial" w:cs="Arial" w:eastAsia="Arial" w:hAnsi="Arial"/>
                <w:sz w:val="15"/>
                <w:szCs w:val="15"/>
                <w:color w:val="auto"/>
              </w:rPr>
              <w:t>12,755</w:t>
            </w:r>
          </w:p>
        </w:tc>
      </w:tr>
      <w:tr>
        <w:trPr>
          <w:trHeight w:val="220"/>
        </w:trPr>
        <w:tc>
          <w:tcPr>
            <w:tcW w:w="4040" w:type="dxa"/>
            <w:vAlign w:val="bottom"/>
            <w:shd w:val="clear" w:color="auto" w:fill="CCEEFF"/>
          </w:tcPr>
          <w:p>
            <w:pPr>
              <w:ind w:left="20"/>
              <w:spacing w:after="0"/>
              <w:rPr>
                <w:sz w:val="20"/>
                <w:szCs w:val="20"/>
                <w:color w:val="auto"/>
              </w:rPr>
            </w:pPr>
            <w:r>
              <w:rPr>
                <w:rFonts w:ascii="Arial" w:cs="Arial" w:eastAsia="Arial" w:hAnsi="Arial"/>
                <w:sz w:val="15"/>
                <w:szCs w:val="15"/>
                <w:color w:val="auto"/>
              </w:rPr>
              <w:t>March 31, 2019</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32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186,815</w:t>
            </w:r>
          </w:p>
        </w:tc>
        <w:tc>
          <w:tcPr>
            <w:tcW w:w="2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3.83</w:t>
            </w:r>
          </w:p>
        </w:tc>
        <w:tc>
          <w:tcPr>
            <w:tcW w:w="180" w:type="dxa"/>
            <w:vAlign w:val="bottom"/>
            <w:shd w:val="clear" w:color="auto" w:fill="CCEEFF"/>
          </w:tcPr>
          <w:p>
            <w:pPr>
              <w:ind w:left="20"/>
              <w:spacing w:after="0"/>
              <w:rPr>
                <w:sz w:val="20"/>
                <w:szCs w:val="20"/>
                <w:color w:val="auto"/>
              </w:rPr>
            </w:pPr>
            <w:r>
              <w:rPr>
                <w:rFonts w:ascii="Arial" w:cs="Arial" w:eastAsia="Arial" w:hAnsi="Arial"/>
                <w:sz w:val="15"/>
                <w:szCs w:val="15"/>
                <w:color w:val="auto"/>
              </w:rPr>
              <w:t>%</w:t>
            </w:r>
          </w:p>
        </w:tc>
        <w:tc>
          <w:tcPr>
            <w:tcW w:w="280" w:type="dxa"/>
            <w:vAlign w:val="bottom"/>
            <w:shd w:val="clear" w:color="auto" w:fill="CCEEFF"/>
          </w:tcPr>
          <w:p>
            <w:pPr>
              <w:spacing w:after="0"/>
              <w:rPr>
                <w:sz w:val="19"/>
                <w:szCs w:val="19"/>
                <w:color w:val="auto"/>
              </w:rPr>
            </w:pPr>
          </w:p>
        </w:tc>
        <w:tc>
          <w:tcPr>
            <w:tcW w:w="2160" w:type="dxa"/>
            <w:vAlign w:val="bottom"/>
            <w:gridSpan w:val="2"/>
            <w:shd w:val="clear" w:color="auto" w:fill="CCEEFF"/>
          </w:tcPr>
          <w:p>
            <w:pPr>
              <w:jc w:val="right"/>
              <w:ind w:right="280"/>
              <w:spacing w:after="0"/>
              <w:rPr>
                <w:sz w:val="20"/>
                <w:szCs w:val="20"/>
                <w:color w:val="auto"/>
              </w:rPr>
            </w:pPr>
            <w:r>
              <w:rPr>
                <w:rFonts w:ascii="Arial" w:cs="Arial" w:eastAsia="Arial" w:hAnsi="Arial"/>
                <w:sz w:val="15"/>
                <w:szCs w:val="15"/>
                <w:color w:val="auto"/>
              </w:rPr>
              <w:t>January 1, 2030</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32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653</w:t>
            </w:r>
          </w:p>
        </w:tc>
      </w:tr>
    </w:tbl>
    <w:p>
      <w:pPr>
        <w:spacing w:after="0" w:line="89" w:lineRule="exact"/>
        <w:rPr>
          <w:sz w:val="20"/>
          <w:szCs w:val="20"/>
          <w:color w:val="auto"/>
        </w:rPr>
      </w:pPr>
    </w:p>
    <w:p>
      <w:pPr>
        <w:ind w:left="140" w:hanging="132"/>
        <w:spacing w:after="0"/>
        <w:tabs>
          <w:tab w:leader="none" w:pos="140" w:val="left"/>
        </w:tabs>
        <w:numPr>
          <w:ilvl w:val="0"/>
          <w:numId w:val="12"/>
        </w:numPr>
        <w:rPr>
          <w:rFonts w:ascii="Arial" w:cs="Arial" w:eastAsia="Arial" w:hAnsi="Arial"/>
          <w:sz w:val="9"/>
          <w:szCs w:val="9"/>
          <w:color w:val="auto"/>
        </w:rPr>
      </w:pPr>
      <w:r>
        <w:rPr>
          <w:rFonts w:ascii="Arial" w:cs="Arial" w:eastAsia="Arial" w:hAnsi="Arial"/>
          <w:sz w:val="14"/>
          <w:szCs w:val="14"/>
          <w:color w:val="auto"/>
        </w:rPr>
        <w:t>Includes four collateralized term loans, two due to mature on March 1, 2021, one due to mature on July 11, 2021, and the other due to mature on December 1, 2021.</w:t>
      </w:r>
    </w:p>
    <w:p>
      <w:pPr>
        <w:spacing w:after="0" w:line="13" w:lineRule="exact"/>
        <w:rPr>
          <w:rFonts w:ascii="Arial" w:cs="Arial" w:eastAsia="Arial" w:hAnsi="Arial"/>
          <w:sz w:val="9"/>
          <w:szCs w:val="9"/>
          <w:color w:val="auto"/>
        </w:rPr>
      </w:pPr>
    </w:p>
    <w:p>
      <w:pPr>
        <w:ind w:left="140" w:hanging="132"/>
        <w:spacing w:after="0"/>
        <w:tabs>
          <w:tab w:leader="none" w:pos="140" w:val="left"/>
        </w:tabs>
        <w:numPr>
          <w:ilvl w:val="0"/>
          <w:numId w:val="12"/>
        </w:numPr>
        <w:rPr>
          <w:rFonts w:ascii="Arial" w:cs="Arial" w:eastAsia="Arial" w:hAnsi="Arial"/>
          <w:sz w:val="9"/>
          <w:szCs w:val="9"/>
          <w:color w:val="auto"/>
        </w:rPr>
      </w:pPr>
      <w:r>
        <w:rPr>
          <w:rFonts w:ascii="Arial" w:cs="Arial" w:eastAsia="Arial" w:hAnsi="Arial"/>
          <w:sz w:val="14"/>
          <w:szCs w:val="14"/>
          <w:color w:val="auto"/>
        </w:rPr>
        <w:t>Includes four collateralized term loans due to mature on July 1, 2020.</w:t>
      </w:r>
    </w:p>
    <w:p>
      <w:pPr>
        <w:spacing w:after="0" w:line="1" w:lineRule="exact"/>
        <w:rPr>
          <w:rFonts w:ascii="Arial" w:cs="Arial" w:eastAsia="Arial" w:hAnsi="Arial"/>
          <w:sz w:val="9"/>
          <w:szCs w:val="9"/>
          <w:color w:val="auto"/>
        </w:rPr>
      </w:pPr>
    </w:p>
    <w:p>
      <w:pPr>
        <w:ind w:left="140" w:hanging="132"/>
        <w:spacing w:after="0"/>
        <w:tabs>
          <w:tab w:leader="none" w:pos="140" w:val="left"/>
        </w:tabs>
        <w:numPr>
          <w:ilvl w:val="0"/>
          <w:numId w:val="12"/>
        </w:numPr>
        <w:rPr>
          <w:rFonts w:ascii="Arial" w:cs="Arial" w:eastAsia="Arial" w:hAnsi="Arial"/>
          <w:sz w:val="9"/>
          <w:szCs w:val="9"/>
          <w:color w:val="auto"/>
        </w:rPr>
      </w:pPr>
      <w:r>
        <w:rPr>
          <w:rFonts w:ascii="Arial" w:cs="Arial" w:eastAsia="Arial" w:hAnsi="Arial"/>
          <w:sz w:val="14"/>
          <w:szCs w:val="14"/>
          <w:color w:val="auto"/>
        </w:rPr>
        <w:t>Includes four collateralized term loans, three due to mature on March 1, 2020 and one due to mature on April 1, 2020.</w:t>
      </w:r>
    </w:p>
    <w:p>
      <w:pPr>
        <w:spacing w:after="0" w:line="1" w:lineRule="exact"/>
        <w:rPr>
          <w:rFonts w:ascii="Arial" w:cs="Arial" w:eastAsia="Arial" w:hAnsi="Arial"/>
          <w:sz w:val="9"/>
          <w:szCs w:val="9"/>
          <w:color w:val="auto"/>
        </w:rPr>
      </w:pPr>
    </w:p>
    <w:p>
      <w:pPr>
        <w:ind w:left="140" w:hanging="132"/>
        <w:spacing w:after="0"/>
        <w:tabs>
          <w:tab w:leader="none" w:pos="140" w:val="left"/>
        </w:tabs>
        <w:numPr>
          <w:ilvl w:val="0"/>
          <w:numId w:val="12"/>
        </w:numPr>
        <w:rPr>
          <w:rFonts w:ascii="Arial" w:cs="Arial" w:eastAsia="Arial" w:hAnsi="Arial"/>
          <w:sz w:val="9"/>
          <w:szCs w:val="9"/>
          <w:color w:val="auto"/>
        </w:rPr>
      </w:pPr>
      <w:r>
        <w:rPr>
          <w:rFonts w:ascii="Arial" w:cs="Arial" w:eastAsia="Arial" w:hAnsi="Arial"/>
          <w:sz w:val="14"/>
          <w:szCs w:val="14"/>
          <w:color w:val="auto"/>
        </w:rPr>
        <w:t>The interest rate represents the weighted average interest rate on collateralized term loans.</w:t>
      </w:r>
    </w:p>
    <w:p>
      <w:pPr>
        <w:spacing w:after="0" w:line="23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During the six months ended June 30, 2020 and year ended December 31, 2019, we entered into the following collateralized term loans (in thousands except statistical information):</w:t>
      </w:r>
    </w:p>
    <w:tbl>
      <w:tblPr>
        <w:tblLayout w:type="fixed"/>
        <w:tblInd w:w="20" w:type="dxa"/>
        <w:tblCellMar>
          <w:top w:w="0" w:type="dxa"/>
          <w:left w:w="0" w:type="dxa"/>
          <w:bottom w:w="0" w:type="dxa"/>
          <w:right w:w="0" w:type="dxa"/>
        </w:tblCellMar>
      </w:tblPr>
      <w:tr>
        <w:trPr>
          <w:trHeight w:val="167"/>
        </w:trPr>
        <w:tc>
          <w:tcPr>
            <w:tcW w:w="50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jc w:val="center"/>
              <w:ind w:left="104"/>
              <w:spacing w:after="0" w:line="167" w:lineRule="exact"/>
              <w:rPr>
                <w:sz w:val="20"/>
                <w:szCs w:val="20"/>
                <w:color w:val="auto"/>
              </w:rPr>
            </w:pPr>
            <w:r>
              <w:rPr>
                <w:rFonts w:ascii="Arial" w:cs="Arial" w:eastAsia="Arial" w:hAnsi="Arial"/>
                <w:sz w:val="15"/>
                <w:szCs w:val="15"/>
                <w:b w:val="1"/>
                <w:bCs w:val="1"/>
                <w:color w:val="auto"/>
                <w:w w:val="92"/>
              </w:rPr>
              <w:t>Term</w:t>
            </w: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00" w:type="dxa"/>
            <w:vAlign w:val="bottom"/>
          </w:tcPr>
          <w:p>
            <w:pPr>
              <w:jc w:val="right"/>
              <w:ind w:right="144"/>
              <w:spacing w:after="0" w:line="167" w:lineRule="exact"/>
              <w:rPr>
                <w:sz w:val="20"/>
                <w:szCs w:val="20"/>
                <w:color w:val="auto"/>
              </w:rPr>
            </w:pPr>
            <w:r>
              <w:rPr>
                <w:rFonts w:ascii="Arial" w:cs="Arial" w:eastAsia="Arial" w:hAnsi="Arial"/>
                <w:sz w:val="15"/>
                <w:szCs w:val="15"/>
                <w:b w:val="1"/>
                <w:bCs w:val="1"/>
                <w:color w:val="auto"/>
              </w:rPr>
              <w:t>Interest</w:t>
            </w: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20" w:type="dxa"/>
            <w:vAlign w:val="bottom"/>
          </w:tcPr>
          <w:p>
            <w:pPr>
              <w:jc w:val="right"/>
              <w:ind w:right="404"/>
              <w:spacing w:after="0" w:line="167" w:lineRule="exact"/>
              <w:rPr>
                <w:sz w:val="20"/>
                <w:szCs w:val="20"/>
                <w:color w:val="auto"/>
              </w:rPr>
            </w:pPr>
            <w:r>
              <w:rPr>
                <w:rFonts w:ascii="Arial" w:cs="Arial" w:eastAsia="Arial" w:hAnsi="Arial"/>
                <w:sz w:val="15"/>
                <w:szCs w:val="15"/>
                <w:b w:val="1"/>
                <w:bCs w:val="1"/>
                <w:color w:val="auto"/>
              </w:rPr>
              <w:t>Maturity</w:t>
            </w:r>
          </w:p>
        </w:tc>
      </w:tr>
      <w:tr>
        <w:trPr>
          <w:trHeight w:val="202"/>
        </w:trPr>
        <w:tc>
          <w:tcPr>
            <w:tcW w:w="5000" w:type="dxa"/>
            <w:vAlign w:val="bottom"/>
            <w:tcBorders>
              <w:bottom w:val="single" w:sz="8" w:color="auto"/>
            </w:tcBorders>
          </w:tcPr>
          <w:p>
            <w:pPr>
              <w:ind w:left="1800"/>
              <w:spacing w:after="0"/>
              <w:rPr>
                <w:sz w:val="20"/>
                <w:szCs w:val="20"/>
                <w:color w:val="auto"/>
              </w:rPr>
            </w:pPr>
            <w:r>
              <w:rPr>
                <w:rFonts w:ascii="Arial" w:cs="Arial" w:eastAsia="Arial" w:hAnsi="Arial"/>
                <w:sz w:val="15"/>
                <w:szCs w:val="15"/>
                <w:b w:val="1"/>
                <w:bCs w:val="1"/>
                <w:color w:val="auto"/>
              </w:rPr>
              <w:t>Three Months Ended</w:t>
            </w:r>
          </w:p>
        </w:tc>
        <w:tc>
          <w:tcPr>
            <w:tcW w:w="2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b w:val="1"/>
                <w:bCs w:val="1"/>
                <w:color w:val="auto"/>
                <w:w w:val="95"/>
              </w:rPr>
              <w:t>Loan amount</w:t>
            </w:r>
          </w:p>
        </w:tc>
        <w:tc>
          <w:tcPr>
            <w:tcW w:w="300" w:type="dxa"/>
            <w:vAlign w:val="bottom"/>
            <w:tcBorders>
              <w:bottom w:val="single" w:sz="8" w:color="CCEEFF"/>
            </w:tcBorders>
          </w:tcPr>
          <w:p>
            <w:pPr>
              <w:spacing w:after="0"/>
              <w:rPr>
                <w:sz w:val="17"/>
                <w:szCs w:val="17"/>
                <w:color w:val="auto"/>
              </w:rPr>
            </w:pPr>
          </w:p>
        </w:tc>
        <w:tc>
          <w:tcPr>
            <w:tcW w:w="840" w:type="dxa"/>
            <w:vAlign w:val="bottom"/>
            <w:tcBorders>
              <w:bottom w:val="single" w:sz="8" w:color="auto"/>
            </w:tcBorders>
          </w:tcPr>
          <w:p>
            <w:pPr>
              <w:jc w:val="center"/>
              <w:ind w:left="104"/>
              <w:spacing w:after="0"/>
              <w:rPr>
                <w:sz w:val="20"/>
                <w:szCs w:val="20"/>
                <w:color w:val="auto"/>
              </w:rPr>
            </w:pPr>
            <w:r>
              <w:rPr>
                <w:rFonts w:ascii="Arial" w:cs="Arial" w:eastAsia="Arial" w:hAnsi="Arial"/>
                <w:sz w:val="15"/>
                <w:szCs w:val="15"/>
                <w:b w:val="1"/>
                <w:bCs w:val="1"/>
                <w:color w:val="auto"/>
                <w:w w:val="92"/>
              </w:rPr>
              <w:t>(in years)</w:t>
            </w:r>
          </w:p>
        </w:tc>
        <w:tc>
          <w:tcPr>
            <w:tcW w:w="200" w:type="dxa"/>
            <w:vAlign w:val="bottom"/>
            <w:tcBorders>
              <w:bottom w:val="single" w:sz="8" w:color="auto"/>
            </w:tcBorders>
          </w:tcPr>
          <w:p>
            <w:pPr>
              <w:spacing w:after="0"/>
              <w:rPr>
                <w:sz w:val="17"/>
                <w:szCs w:val="17"/>
                <w:color w:val="auto"/>
              </w:rPr>
            </w:pPr>
          </w:p>
        </w:tc>
        <w:tc>
          <w:tcPr>
            <w:tcW w:w="280" w:type="dxa"/>
            <w:vAlign w:val="bottom"/>
            <w:tcBorders>
              <w:bottom w:val="single" w:sz="8" w:color="CCEEFF"/>
            </w:tcBorders>
          </w:tcPr>
          <w:p>
            <w:pPr>
              <w:spacing w:after="0"/>
              <w:rPr>
                <w:sz w:val="17"/>
                <w:szCs w:val="17"/>
                <w:color w:val="auto"/>
              </w:rPr>
            </w:pPr>
          </w:p>
        </w:tc>
        <w:tc>
          <w:tcPr>
            <w:tcW w:w="1100" w:type="dxa"/>
            <w:vAlign w:val="bottom"/>
            <w:tcBorders>
              <w:bottom w:val="single" w:sz="8" w:color="auto"/>
            </w:tcBorders>
          </w:tcPr>
          <w:p>
            <w:pPr>
              <w:jc w:val="right"/>
              <w:ind w:right="264"/>
              <w:spacing w:after="0"/>
              <w:rPr>
                <w:sz w:val="20"/>
                <w:szCs w:val="20"/>
                <w:color w:val="auto"/>
              </w:rPr>
            </w:pPr>
            <w:r>
              <w:rPr>
                <w:rFonts w:ascii="Arial" w:cs="Arial" w:eastAsia="Arial" w:hAnsi="Arial"/>
                <w:sz w:val="15"/>
                <w:szCs w:val="15"/>
                <w:b w:val="1"/>
                <w:bCs w:val="1"/>
                <w:color w:val="auto"/>
              </w:rPr>
              <w:t>rate</w:t>
            </w:r>
          </w:p>
        </w:tc>
        <w:tc>
          <w:tcPr>
            <w:tcW w:w="180" w:type="dxa"/>
            <w:vAlign w:val="bottom"/>
            <w:tcBorders>
              <w:bottom w:val="single" w:sz="8" w:color="auto"/>
            </w:tcBorders>
          </w:tcPr>
          <w:p>
            <w:pPr>
              <w:spacing w:after="0"/>
              <w:rPr>
                <w:sz w:val="17"/>
                <w:szCs w:val="17"/>
                <w:color w:val="auto"/>
              </w:rPr>
            </w:pPr>
          </w:p>
        </w:tc>
        <w:tc>
          <w:tcPr>
            <w:tcW w:w="280" w:type="dxa"/>
            <w:vAlign w:val="bottom"/>
            <w:tcBorders>
              <w:bottom w:val="single" w:sz="8" w:color="CCEEFF"/>
            </w:tcBorders>
          </w:tcPr>
          <w:p>
            <w:pPr>
              <w:spacing w:after="0"/>
              <w:rPr>
                <w:sz w:val="17"/>
                <w:szCs w:val="17"/>
                <w:color w:val="auto"/>
              </w:rPr>
            </w:pPr>
          </w:p>
        </w:tc>
        <w:tc>
          <w:tcPr>
            <w:tcW w:w="1520" w:type="dxa"/>
            <w:vAlign w:val="bottom"/>
            <w:tcBorders>
              <w:bottom w:val="single" w:sz="8" w:color="auto"/>
            </w:tcBorders>
          </w:tcPr>
          <w:p>
            <w:pPr>
              <w:jc w:val="right"/>
              <w:ind w:right="544"/>
              <w:spacing w:after="0"/>
              <w:rPr>
                <w:sz w:val="20"/>
                <w:szCs w:val="20"/>
                <w:color w:val="auto"/>
              </w:rPr>
            </w:pPr>
            <w:r>
              <w:rPr>
                <w:rFonts w:ascii="Arial" w:cs="Arial" w:eastAsia="Arial" w:hAnsi="Arial"/>
                <w:sz w:val="15"/>
                <w:szCs w:val="15"/>
                <w:b w:val="1"/>
                <w:bCs w:val="1"/>
                <w:color w:val="auto"/>
              </w:rPr>
              <w:t>date</w:t>
            </w:r>
          </w:p>
        </w:tc>
      </w:tr>
      <w:tr>
        <w:trPr>
          <w:trHeight w:val="214"/>
        </w:trPr>
        <w:tc>
          <w:tcPr>
            <w:tcW w:w="528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March 31, 2020</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8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230,000</w:t>
            </w: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ind w:left="20"/>
              <w:spacing w:after="0"/>
              <w:rPr>
                <w:sz w:val="20"/>
                <w:szCs w:val="20"/>
                <w:color w:val="auto"/>
              </w:rPr>
            </w:pPr>
            <w:r>
              <w:rPr>
                <w:rFonts w:ascii="Arial" w:cs="Arial" w:eastAsia="Arial" w:hAnsi="Arial"/>
                <w:sz w:val="15"/>
                <w:szCs w:val="15"/>
                <w:color w:val="auto"/>
                <w:w w:val="95"/>
              </w:rPr>
              <w:t>15</w:t>
            </w: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2.995</w:t>
            </w:r>
          </w:p>
        </w:tc>
        <w:tc>
          <w:tcPr>
            <w:tcW w:w="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8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April 1, 2035</w:t>
            </w:r>
          </w:p>
        </w:tc>
      </w:tr>
      <w:tr>
        <w:trPr>
          <w:trHeight w:val="176"/>
        </w:trPr>
        <w:tc>
          <w:tcPr>
            <w:tcW w:w="50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Arial" w:cs="Arial" w:eastAsia="Arial" w:hAnsi="Arial"/>
                <w:sz w:val="15"/>
                <w:szCs w:val="15"/>
                <w:color w:val="auto"/>
              </w:rPr>
              <w:t>December 15, 2039</w:t>
            </w:r>
          </w:p>
        </w:tc>
      </w:tr>
      <w:tr>
        <w:trPr>
          <w:trHeight w:val="198"/>
        </w:trPr>
        <w:tc>
          <w:tcPr>
            <w:tcW w:w="5280" w:type="dxa"/>
            <w:vAlign w:val="bottom"/>
            <w:gridSpan w:val="2"/>
          </w:tcPr>
          <w:p>
            <w:pPr>
              <w:ind w:left="20"/>
              <w:spacing w:after="0"/>
              <w:rPr>
                <w:sz w:val="20"/>
                <w:szCs w:val="20"/>
                <w:color w:val="auto"/>
              </w:rPr>
            </w:pPr>
            <w:r>
              <w:rPr>
                <w:rFonts w:ascii="Arial" w:cs="Arial" w:eastAsia="Arial" w:hAnsi="Arial"/>
                <w:sz w:val="15"/>
                <w:szCs w:val="15"/>
                <w:color w:val="auto"/>
              </w:rPr>
              <w:t>December 31, 2019</w:t>
            </w: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80" w:type="dxa"/>
            <w:vAlign w:val="bottom"/>
          </w:tcPr>
          <w:p>
            <w:pPr>
              <w:jc w:val="right"/>
              <w:ind w:right="64"/>
              <w:spacing w:after="0"/>
              <w:rPr>
                <w:sz w:val="20"/>
                <w:szCs w:val="20"/>
                <w:color w:val="auto"/>
              </w:rPr>
            </w:pPr>
            <w:r>
              <w:rPr>
                <w:rFonts w:ascii="Arial" w:cs="Arial" w:eastAsia="Arial" w:hAnsi="Arial"/>
                <w:sz w:val="15"/>
                <w:szCs w:val="15"/>
                <w:color w:val="auto"/>
              </w:rPr>
              <w:t>400,000</w:t>
            </w:r>
          </w:p>
        </w:tc>
        <w:tc>
          <w:tcPr>
            <w:tcW w:w="300" w:type="dxa"/>
            <w:vAlign w:val="bottom"/>
          </w:tcPr>
          <w:p>
            <w:pPr>
              <w:jc w:val="right"/>
              <w:ind w:right="113"/>
              <w:spacing w:after="0"/>
              <w:rPr>
                <w:sz w:val="20"/>
                <w:szCs w:val="20"/>
                <w:color w:val="auto"/>
              </w:rPr>
            </w:pPr>
            <w:r>
              <w:rPr>
                <w:rFonts w:ascii="Arial" w:cs="Arial" w:eastAsia="Arial" w:hAnsi="Arial"/>
                <w:sz w:val="9"/>
                <w:szCs w:val="9"/>
                <w:color w:val="auto"/>
              </w:rPr>
              <w:t>(1)</w:t>
            </w:r>
          </w:p>
        </w:tc>
        <w:tc>
          <w:tcPr>
            <w:tcW w:w="840" w:type="dxa"/>
            <w:vAlign w:val="bottom"/>
          </w:tcPr>
          <w:p>
            <w:pPr>
              <w:spacing w:after="0"/>
              <w:rPr>
                <w:sz w:val="17"/>
                <w:szCs w:val="17"/>
                <w:color w:val="auto"/>
              </w:rPr>
            </w:pPr>
          </w:p>
        </w:tc>
        <w:tc>
          <w:tcPr>
            <w:tcW w:w="480" w:type="dxa"/>
            <w:vAlign w:val="bottom"/>
            <w:gridSpan w:val="2"/>
          </w:tcPr>
          <w:p>
            <w:pPr>
              <w:ind w:left="20"/>
              <w:spacing w:after="0"/>
              <w:rPr>
                <w:sz w:val="20"/>
                <w:szCs w:val="20"/>
                <w:color w:val="auto"/>
              </w:rPr>
            </w:pPr>
            <w:r>
              <w:rPr>
                <w:rFonts w:ascii="Arial" w:cs="Arial" w:eastAsia="Arial" w:hAnsi="Arial"/>
                <w:sz w:val="15"/>
                <w:szCs w:val="15"/>
                <w:color w:val="auto"/>
              </w:rPr>
              <w:t xml:space="preserve">21 </w:t>
            </w:r>
            <w:r>
              <w:rPr>
                <w:rFonts w:ascii="Arial" w:cs="Arial" w:eastAsia="Arial" w:hAnsi="Arial"/>
                <w:sz w:val="9"/>
                <w:szCs w:val="9"/>
                <w:color w:val="auto"/>
              </w:rPr>
              <w:t>(1)</w:t>
            </w:r>
          </w:p>
        </w:tc>
        <w:tc>
          <w:tcPr>
            <w:tcW w:w="1280" w:type="dxa"/>
            <w:vAlign w:val="bottom"/>
            <w:gridSpan w:val="2"/>
          </w:tcPr>
          <w:p>
            <w:pPr>
              <w:jc w:val="right"/>
              <w:spacing w:after="0"/>
              <w:rPr>
                <w:sz w:val="20"/>
                <w:szCs w:val="20"/>
                <w:color w:val="auto"/>
              </w:rPr>
            </w:pPr>
            <w:r>
              <w:rPr>
                <w:rFonts w:ascii="Arial" w:cs="Arial" w:eastAsia="Arial" w:hAnsi="Arial"/>
                <w:sz w:val="15"/>
                <w:szCs w:val="15"/>
                <w:color w:val="auto"/>
              </w:rPr>
              <w:t>4.026 %</w:t>
            </w:r>
          </w:p>
        </w:tc>
        <w:tc>
          <w:tcPr>
            <w:tcW w:w="28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Arial" w:cs="Arial" w:eastAsia="Arial" w:hAnsi="Arial"/>
                <w:sz w:val="15"/>
                <w:szCs w:val="15"/>
                <w:color w:val="auto"/>
              </w:rPr>
              <w:t>December 15, 2041</w:t>
            </w:r>
          </w:p>
        </w:tc>
      </w:tr>
      <w:tr>
        <w:trPr>
          <w:trHeight w:val="220"/>
        </w:trPr>
        <w:tc>
          <w:tcPr>
            <w:tcW w:w="528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September 30, 2019</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8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250,000</w:t>
            </w: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00" w:type="dxa"/>
            <w:vAlign w:val="bottom"/>
            <w:shd w:val="clear" w:color="auto" w:fill="CCEEFF"/>
          </w:tcPr>
          <w:p>
            <w:pPr>
              <w:ind w:left="20"/>
              <w:spacing w:after="0"/>
              <w:rPr>
                <w:sz w:val="20"/>
                <w:szCs w:val="20"/>
                <w:color w:val="auto"/>
              </w:rPr>
            </w:pPr>
            <w:r>
              <w:rPr>
                <w:rFonts w:ascii="Arial" w:cs="Arial" w:eastAsia="Arial" w:hAnsi="Arial"/>
                <w:sz w:val="15"/>
                <w:szCs w:val="15"/>
                <w:color w:val="auto"/>
                <w:w w:val="95"/>
              </w:rPr>
              <w:t>10</w:t>
            </w: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2.925</w:t>
            </w:r>
          </w:p>
        </w:tc>
        <w:tc>
          <w:tcPr>
            <w:tcW w:w="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October 1, 2029</w:t>
            </w:r>
          </w:p>
        </w:tc>
      </w:tr>
      <w:tr>
        <w:trPr>
          <w:trHeight w:val="208"/>
        </w:trPr>
        <w:tc>
          <w:tcPr>
            <w:tcW w:w="5280" w:type="dxa"/>
            <w:vAlign w:val="bottom"/>
            <w:gridSpan w:val="2"/>
          </w:tcPr>
          <w:p>
            <w:pPr>
              <w:ind w:left="20"/>
              <w:spacing w:after="0"/>
              <w:rPr>
                <w:sz w:val="20"/>
                <w:szCs w:val="20"/>
                <w:color w:val="auto"/>
              </w:rPr>
            </w:pPr>
            <w:r>
              <w:rPr>
                <w:rFonts w:ascii="Arial" w:cs="Arial" w:eastAsia="Arial" w:hAnsi="Arial"/>
                <w:sz w:val="15"/>
                <w:szCs w:val="15"/>
                <w:color w:val="auto"/>
              </w:rPr>
              <w:t>March 31, 2019</w:t>
            </w: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80" w:type="dxa"/>
            <w:vAlign w:val="bottom"/>
          </w:tcPr>
          <w:p>
            <w:pPr>
              <w:jc w:val="right"/>
              <w:ind w:right="64"/>
              <w:spacing w:after="0"/>
              <w:rPr>
                <w:sz w:val="20"/>
                <w:szCs w:val="20"/>
                <w:color w:val="auto"/>
              </w:rPr>
            </w:pPr>
            <w:r>
              <w:rPr>
                <w:rFonts w:ascii="Arial" w:cs="Arial" w:eastAsia="Arial" w:hAnsi="Arial"/>
                <w:sz w:val="15"/>
                <w:szCs w:val="15"/>
                <w:color w:val="auto"/>
              </w:rPr>
              <w:t>265,000</w:t>
            </w: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ind w:left="20"/>
              <w:spacing w:after="0"/>
              <w:rPr>
                <w:sz w:val="20"/>
                <w:szCs w:val="20"/>
                <w:color w:val="auto"/>
              </w:rPr>
            </w:pPr>
            <w:r>
              <w:rPr>
                <w:rFonts w:ascii="Arial" w:cs="Arial" w:eastAsia="Arial" w:hAnsi="Arial"/>
                <w:sz w:val="15"/>
                <w:szCs w:val="15"/>
                <w:color w:val="auto"/>
                <w:w w:val="95"/>
              </w:rPr>
              <w:t>25</w:t>
            </w:r>
          </w:p>
        </w:tc>
        <w:tc>
          <w:tcPr>
            <w:tcW w:w="2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4.170</w:t>
            </w:r>
          </w:p>
        </w:tc>
        <w:tc>
          <w:tcPr>
            <w:tcW w:w="180" w:type="dxa"/>
            <w:vAlign w:val="bottom"/>
          </w:tcPr>
          <w:p>
            <w:pPr>
              <w:jc w:val="right"/>
              <w:spacing w:after="0"/>
              <w:rPr>
                <w:sz w:val="20"/>
                <w:szCs w:val="20"/>
                <w:color w:val="auto"/>
              </w:rPr>
            </w:pPr>
            <w:r>
              <w:rPr>
                <w:rFonts w:ascii="Arial" w:cs="Arial" w:eastAsia="Arial" w:hAnsi="Arial"/>
                <w:sz w:val="15"/>
                <w:szCs w:val="15"/>
                <w:color w:val="auto"/>
              </w:rPr>
              <w:t>%</w:t>
            </w:r>
          </w:p>
        </w:tc>
        <w:tc>
          <w:tcPr>
            <w:tcW w:w="2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5"/>
                <w:szCs w:val="15"/>
                <w:color w:val="auto"/>
              </w:rPr>
              <w:t>January 15, 2044</w:t>
            </w:r>
          </w:p>
        </w:tc>
      </w:tr>
    </w:tbl>
    <w:p>
      <w:pPr>
        <w:spacing w:after="0" w:line="97" w:lineRule="exact"/>
        <w:rPr>
          <w:sz w:val="20"/>
          <w:szCs w:val="20"/>
          <w:color w:val="auto"/>
        </w:rPr>
      </w:pPr>
    </w:p>
    <w:p>
      <w:pPr>
        <w:ind w:left="160" w:hanging="152"/>
        <w:spacing w:after="0"/>
        <w:tabs>
          <w:tab w:leader="none" w:pos="160" w:val="left"/>
        </w:tabs>
        <w:numPr>
          <w:ilvl w:val="0"/>
          <w:numId w:val="13"/>
        </w:numPr>
        <w:rPr>
          <w:rFonts w:ascii="Arial" w:cs="Arial" w:eastAsia="Arial" w:hAnsi="Arial"/>
          <w:sz w:val="9"/>
          <w:szCs w:val="9"/>
          <w:color w:val="auto"/>
        </w:rPr>
      </w:pPr>
      <w:r>
        <w:rPr>
          <w:rFonts w:ascii="Arial" w:cs="Arial" w:eastAsia="Arial" w:hAnsi="Arial"/>
          <w:sz w:val="14"/>
          <w:szCs w:val="14"/>
          <w:color w:val="auto"/>
        </w:rPr>
        <w:t>Includes two collateralized term loans one due to mature on December 15, 2039 and the other on December 1, 2041.</w:t>
      </w:r>
    </w:p>
    <w:p>
      <w:pPr>
        <w:spacing w:after="0" w:line="24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collateralized term loans totaling $3.2 billion as of June 30, 2020, are secured by 179 properties comprised of 71,504 sites representing approximately $3.1 billion of net book value.</w:t>
      </w:r>
    </w:p>
    <w:p>
      <w:pPr>
        <w:sectPr>
          <w:pgSz w:w="11900" w:h="16838" w:orient="portrait"/>
          <w:cols w:equalWidth="0" w:num="1">
            <w:col w:w="11240"/>
          </w:cols>
          <w:pgMar w:left="320" w:top="126" w:right="339" w:bottom="1440" w:gutter="0" w:footer="0" w:header="0"/>
        </w:sectPr>
      </w:pP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type w:val="continuous"/>
        </w:sectPr>
      </w:pPr>
    </w:p>
    <w:bookmarkStart w:id="19" w:name="page20"/>
    <w:bookmarkEnd w:id="19"/>
    <w:p>
      <w:pPr>
        <w:jc w:val="center"/>
        <w:spacing w:after="0"/>
        <w:rPr>
          <w:sz w:val="20"/>
          <w:szCs w:val="20"/>
          <w:color w:val="auto"/>
        </w:rPr>
      </w:pPr>
      <w:r>
        <w:rPr>
          <w:rFonts w:ascii="Arial" w:cs="Arial" w:eastAsia="Arial" w:hAnsi="Arial"/>
          <w:sz w:val="16"/>
          <w:szCs w:val="16"/>
          <w:b w:val="1"/>
          <w:bCs w:val="1"/>
          <w:color w:val="auto"/>
        </w:rPr>
        <w:t>SUN COMMUNITIES, INC.</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 -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Preferred Equity - Sun NG Resorts - mandatorily redeemable</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connection with the investment in Sun NG Resorts, $35.3 million of mandatorily redeemable Preferred Equity (“Preferred Equity - Sun NG Resorts”) was purchased by unrelated third parties. The Preferred Equity - Sun NG Resorts carries a preferred rate of return of 6.0 percent per annum. The Preferred Equity - Sun NG Resorts has a seven-year term and can be redeemed in the fourth quarter of 2022 at the holders’ option. The Preferred Equity - Sun NG Resorts as of June 30, 2020 was $35.2 million. Refer to ” Note 7, “Consolidated Variable Interest Entities,” and Note 9, “Equity and Temporary Equity,” for additional information.</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Preferred OP Units - mandatorily redeemable</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Preferred OP units at June 30, 2020 and December 31, 2019 include $34.7 million of Aspen preferred OP units issued by the Operating Partnership. As of June 30, 2020, these units are convertible indirectly into 412,485 shares of our common stock.</w:t>
      </w:r>
    </w:p>
    <w:p>
      <w:pPr>
        <w:spacing w:after="0" w:line="19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January 2020, we amended the Operating Partnership’s partnership agreement at the election of certain Aspen preferred OP unit holders. The amendment extended the automatic redemption date and reduced the annual distribution rate for 270,000 of the Aspen preferred OP units (the “Extended Units”). Subject to certain limitations, at any time prior to January 1, 2024 (or prior to January 1, 2034 with respect to the Extended Units), the holder of each Aspen preferred OP unit at its option may convert such Aspen preferred OP unit into: (a) if the average closing price of our common stock for the preceding ten trading days is $68.00 per share or less, 0.397 common OP units; or (b) if the ten-day average closing price is greater than $68.00 per share, the number of common OP units is determined by dividing (i) the sum of (A) $27.00 plus (B) 25 percent of the amount by which the ten-day average closing price exceeds $68.00 per share, by (ii) the ten-day average closing price. The current preferred distribution rate is 3.8 percent on the Extended Units and 6.5 percent on all other Aspen preferred OP units. On January 2, 2024 (or January 2, 2034 with respect to the Extended Units), we are required to redeem for cash all Aspen preferred OP units that have not been converted to common OP units. As of June 30, 2020, 270,000 of the Extended Units and 1,013,819 other Aspen preferred units were outstanding.</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Lines of Credit</w:t>
      </w:r>
    </w:p>
    <w:p>
      <w:pPr>
        <w:spacing w:after="0" w:line="25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i w:val="1"/>
          <w:iCs w:val="1"/>
          <w:color w:val="auto"/>
        </w:rPr>
        <w:t xml:space="preserve">Credit agreement - </w:t>
      </w:r>
      <w:r>
        <w:rPr>
          <w:rFonts w:ascii="Arial" w:cs="Arial" w:eastAsia="Arial" w:hAnsi="Arial"/>
          <w:sz w:val="18"/>
          <w:szCs w:val="18"/>
          <w:color w:val="auto"/>
        </w:rPr>
        <w:t>In May 2019, we amended and restated our credit agreement with Citibank, N.A. and certain other lenders. Pursuant to the credit</w:t>
      </w:r>
      <w:r>
        <w:rPr>
          <w:rFonts w:ascii="Arial" w:cs="Arial" w:eastAsia="Arial" w:hAnsi="Arial"/>
          <w:sz w:val="18"/>
          <w:szCs w:val="18"/>
          <w:i w:val="1"/>
          <w:iCs w:val="1"/>
          <w:color w:val="auto"/>
        </w:rPr>
        <w:t xml:space="preserve"> </w:t>
      </w:r>
      <w:r>
        <w:rPr>
          <w:rFonts w:ascii="Arial" w:cs="Arial" w:eastAsia="Arial" w:hAnsi="Arial"/>
          <w:sz w:val="18"/>
          <w:szCs w:val="18"/>
          <w:color w:val="auto"/>
        </w:rPr>
        <w:t>agreement, we entered into a senior credit facility with Citibank and certain lenders in the amount of $750.0 million, comprised of a $650.0 million revolving loan, with the ability to use up to $100.0 million for advances in Australian dollars, and a $100.0 million term loan (the “A&amp;R Facility”). The A&amp;R Credit Agreement has a four-year term ending May 21, 2023, which can be extended for two additional six-month periods, subject to the satisfaction of certain conditions as defined in the credit agreement. The credit agreement also provides for additional commitments in an amount not to exceed $350.0 million. The funding of these additional commitments is subject to certain conditions, including obtaining the consent of the lenders, some of which are outside of our control. If additional borrowings are made pursuant to any such additional commitments, the aggregate borrowing limit under the A&amp;R Facility may be increased up to $1.1 billion.</w:t>
      </w:r>
    </w:p>
    <w:p>
      <w:pPr>
        <w:spacing w:after="0" w:line="21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A&amp;R Facility bears interest at a floating rate based on the Eurodollar rate or Bank Bill Swap Bid Rate plus a margin that is determined based on our leverage ratio calculated in accordance with the credit agreement, which margin can range from 1.20 percent to 2.10 percent for the revolving loan and 1.20 percent to 2.05 percent for the term loan. As of June 30, 2020, the margin based on our leverage ratio was 1.2 percent on the revolving loan and 1.2 percent on the term loan. We had $63.9 million and zero of borrowings on the revolving loan and the term loan, respectively, as of June 30, 2020. We had $123.6 million of borrowings on the revolving loan and no borrowings on the term loan, as of December 31, 2019.</w:t>
      </w:r>
    </w:p>
    <w:p>
      <w:pPr>
        <w:spacing w:after="0" w:line="20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A&amp;R Facility provides us with the ability to issue letters of credit. Our issuance of letters of credit does not increase our borrowings outstanding under our line of credit but does reduce the borrowing amount available. At June 30, 2020 and December 31, 2019, we had approximately $3.1 million and $2.8 million of outstanding letters of credit, respectively.</w:t>
      </w:r>
    </w:p>
    <w:p>
      <w:pPr>
        <w:spacing w:after="0" w:line="21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Floor plan - </w:t>
      </w:r>
      <w:r>
        <w:rPr>
          <w:rFonts w:ascii="Arial" w:cs="Arial" w:eastAsia="Arial" w:hAnsi="Arial"/>
          <w:sz w:val="18"/>
          <w:szCs w:val="18"/>
          <w:color w:val="auto"/>
        </w:rPr>
        <w:t>We have a $12.0 million manufactured home floor plan facility renewable indefinitely until our lender provides us at least a twelve month</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notice of their intent to terminate the agreement. The interest rate is 100 basis points over the greater of the prime rate as quoted in the </w:t>
      </w:r>
      <w:r>
        <w:rPr>
          <w:rFonts w:ascii="Arial" w:cs="Arial" w:eastAsia="Arial" w:hAnsi="Arial"/>
          <w:sz w:val="18"/>
          <w:szCs w:val="18"/>
          <w:i w:val="1"/>
          <w:iCs w:val="1"/>
          <w:color w:val="auto"/>
        </w:rPr>
        <w:t>Wall Street Journal</w:t>
      </w:r>
      <w:r>
        <w:rPr>
          <w:rFonts w:ascii="Arial" w:cs="Arial" w:eastAsia="Arial" w:hAnsi="Arial"/>
          <w:sz w:val="18"/>
          <w:szCs w:val="18"/>
          <w:color w:val="auto"/>
        </w:rPr>
        <w:t xml:space="preserve"> on the first business day of each month or 5.0 percent. At June 30, 2020, the effective interest rate was 6.0 percent. The outstanding balance was $1.4 million as of June 30, 2020 and $3.3 million as of December 31, 2019. These balances are recorded within the line of credit line item on the Consolidated Balance Sheets.</w:t>
      </w:r>
    </w:p>
    <w:p>
      <w:pPr>
        <w:sectPr>
          <w:pgSz w:w="11900" w:h="16838" w:orient="portrait"/>
          <w:cols w:equalWidth="0" w:num="1">
            <w:col w:w="11240"/>
          </w:cols>
          <w:pgMar w:left="320" w:top="12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type w:val="continuous"/>
        </w:sectPr>
      </w:pPr>
    </w:p>
    <w:bookmarkStart w:id="20" w:name="page21"/>
    <w:bookmarkEnd w:id="20"/>
    <w:p>
      <w:pPr>
        <w:jc w:val="center"/>
        <w:spacing w:after="0"/>
        <w:rPr>
          <w:sz w:val="20"/>
          <w:szCs w:val="20"/>
          <w:color w:val="auto"/>
        </w:rPr>
      </w:pPr>
      <w:r>
        <w:rPr>
          <w:rFonts w:ascii="Arial" w:cs="Arial" w:eastAsia="Arial" w:hAnsi="Arial"/>
          <w:sz w:val="16"/>
          <w:szCs w:val="16"/>
          <w:b w:val="1"/>
          <w:bCs w:val="1"/>
          <w:color w:val="auto"/>
        </w:rPr>
        <w:t>SUN COMMUNITIES, INC.</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 -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27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Other </w:t>
      </w:r>
      <w:r>
        <w:rPr>
          <w:rFonts w:ascii="Arial" w:cs="Arial" w:eastAsia="Arial" w:hAnsi="Arial"/>
          <w:sz w:val="18"/>
          <w:szCs w:val="18"/>
          <w:color w:val="auto"/>
        </w:rPr>
        <w:t>- In October 2019, we assumed a term loan facility with Citibank N.A. (“Citibank”), in the amount of $58.0 million in relation to an acquisition. The</w:t>
      </w:r>
      <w:r>
        <w:rPr>
          <w:rFonts w:ascii="Arial" w:cs="Arial" w:eastAsia="Arial" w:hAnsi="Arial"/>
          <w:sz w:val="18"/>
          <w:szCs w:val="18"/>
          <w:i w:val="1"/>
          <w:iCs w:val="1"/>
          <w:color w:val="auto"/>
        </w:rPr>
        <w:t xml:space="preserve"> </w:t>
      </w:r>
      <w:r>
        <w:rPr>
          <w:rFonts w:ascii="Arial" w:cs="Arial" w:eastAsia="Arial" w:hAnsi="Arial"/>
          <w:sz w:val="18"/>
          <w:szCs w:val="18"/>
          <w:color w:val="auto"/>
        </w:rPr>
        <w:t>term loan has a four-year term ending October 29, 2023, and bears interest at a floating rate based on the Eurodollar rate or Prime rate. The outstanding balance was $50.0 million at June 30, 2020 and $57.0 million at December 31, 2019, respectively. These balances are recorded within the line of credit line item on the Consolidated Balance Sheets.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Covenants</w:t>
      </w:r>
    </w:p>
    <w:p>
      <w:pPr>
        <w:spacing w:after="0" w:line="2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Collateralized term loans and Lines of credit are subject to various financial and other covenants. The most restrictive is pursuant to the terms of the A&amp;R Facility, and contains minimum fixed charge coverage ratio and net worth requirements, and maximum leverage, distribution ratios and variable rate indebtedness. At June 30, 2020, we were in compliance with all covenants.</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addition, certain of our subsidiary borrowers own properties that secure loans. These subsidiaries are consolidated within our accompanying Consolidated Financial Statements, however, each of these subsidiaries’ assets and credit are not available to satisfy our debts and other obligations, any of our other subsidiaries or any other person or entity.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Off-Balance Sheet Arrangements - Nonconsolidated Affiliate Indebtedness</w:t>
      </w:r>
    </w:p>
    <w:p>
      <w:pPr>
        <w:spacing w:after="0" w:line="25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have a 40 percent investment in GTSC, a nonconsolidated affiliate. During September 2019, GTSC entered into a warehouse line of credit with a maximum loan amount of $125.0 million. During February 2020, the maximum amount was increased to $140.0 million. As of June 30, 2020, the aggregate carrying amount of debt, including both our and our partners’ share, incurred by GTSC was approximately $140.0 million (of which our proportionate share is approximately $56.0 million). The debt bears interest at a variable rate based on LIBOR plus 1.65 percent per annum and matures on September 15, 2023. As of December 31, 2019, the aggregate carrying amount of debt, including both our and our partner’s share, incurred by GTSC was approximately $123.4 million (of which our proportionate share is approximately $49.4 million).</w:t>
      </w:r>
    </w:p>
    <w:p>
      <w:pPr>
        <w:spacing w:after="0" w:line="201" w:lineRule="exact"/>
        <w:rPr>
          <w:sz w:val="20"/>
          <w:szCs w:val="20"/>
          <w:color w:val="auto"/>
        </w:rPr>
      </w:pPr>
    </w:p>
    <w:p>
      <w:pPr>
        <w:ind w:left="420" w:hanging="412"/>
        <w:spacing w:after="0"/>
        <w:tabs>
          <w:tab w:leader="none" w:pos="42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Equity and Temporary Equity</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Public Equity Offerings</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May 2020, we closed an underwritten registered public offering of 4,968,000 shares of common stock. Proceeds from the offering were $633.1 million after deducting expenses related to the offering. We used the net proceeds of this offering to repay borrowings outstanding under the revolving loan under our senior credit facility.We intend to use the remaining net proceeds of this offering to fund possible future acquisitions, for working capital and general corporate purposes.</w:t>
      </w:r>
    </w:p>
    <w:p>
      <w:pPr>
        <w:spacing w:after="0" w:line="21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May 2019, we closed an underwritten registered public offering of 3,737,500 shares of common stock. Proceeds from the offering were $452.1 million after deducting expenses related to the offering. We used the net proceeds of this offering to repay borrowings outstanding under the revolving loan under our senior credit facility.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At the Market Offering Sales Agreement</w:t>
      </w:r>
    </w:p>
    <w:p>
      <w:pPr>
        <w:spacing w:after="0" w:line="252"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In July 2017, we entered into an at the market offering sales agreement (the “Sales Agreement”) with certain sales agents (collectively, the “Sales Agents”), whereby we may offer and sell shares of our common stock, having an aggregate offering price of up to $450.0 million, from time to time through the Sales Agents. The Sales Agents are entitled to compensation in an agreed amount not to exceed 2.0 percent of the gross price per share for any shares sold under the Sales Agreement. Through June 30, 2020, we have sold shares of our common stock for gross proceeds of $163.8 million under the Sales Agreement. There were no issuances of common stock under the Sales Agreement during the six months ended June 30, 2020 or the year ended December 31, 2019.</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Issuances of Common Stock and Common OP Units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In May 2020, in connection with the acquisition of the Forest Springs community, we issued 82,420 Common OP units.</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October 2019, in connection with the acquisition of the Jensen Portfolio, we issued 1,972,876 shares of common stock, net of fractional shares paid in cash.</w:t>
      </w:r>
    </w:p>
    <w:p>
      <w:pPr>
        <w:sectPr>
          <w:pgSz w:w="11900" w:h="16838" w:orient="portrait"/>
          <w:cols w:equalWidth="0" w:num="1">
            <w:col w:w="11240"/>
          </w:cols>
          <w:pgMar w:left="320" w:top="12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type w:val="continuous"/>
        </w:sectPr>
      </w:pPr>
    </w:p>
    <w:bookmarkStart w:id="21" w:name="page22"/>
    <w:bookmarkEnd w:id="21"/>
    <w:p>
      <w:pPr>
        <w:jc w:val="center"/>
        <w:spacing w:after="0"/>
        <w:rPr>
          <w:sz w:val="20"/>
          <w:szCs w:val="20"/>
          <w:color w:val="auto"/>
        </w:rPr>
      </w:pPr>
      <w:r>
        <w:rPr>
          <w:rFonts w:ascii="Arial" w:cs="Arial" w:eastAsia="Arial" w:hAnsi="Arial"/>
          <w:sz w:val="16"/>
          <w:szCs w:val="16"/>
          <w:b w:val="1"/>
          <w:bCs w:val="1"/>
          <w:color w:val="auto"/>
        </w:rPr>
        <w:t>SUN COMMUNITIES, INC.</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 -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Issuance of Series E Preferred OP Units</w:t>
      </w:r>
    </w:p>
    <w:p>
      <w:pPr>
        <w:spacing w:after="0" w:line="25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January 2020, we issued 90,000 Series E preferred OP units in connection with the acquisition of Cape Cod RV Resort. The Series E preferred OP units have a stated issuance price of $100.00 per OP Unit and carry a preferred return of 5.25 percent until the second anniversary of the issuance date. Commencing with the second anniversary of the issuance date, the Series E Preferred OP Units carry a preferred return of 5.50 percent. Commencing the first anniversary of the issuance date, subject to certain limitations, each Series E Preferred OP Unit can be exchanged for our common stock equal to the quotient obtained by dividing $100.00 by $145.00 (as such ratio is subject to adjustments for certain capital events). As of June 30, 2020, 90,000 Series E preferred OP Units were outstanding. Refer to Note 3, “Real Estate Acquisitions,” for additional information.</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Temporary Equity</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7"/>
          <w:szCs w:val="17"/>
          <w:i w:val="1"/>
          <w:iCs w:val="1"/>
          <w:color w:val="auto"/>
        </w:rPr>
        <w:t xml:space="preserve">Issuance of Series F Preferred OP Units - </w:t>
      </w:r>
      <w:r>
        <w:rPr>
          <w:rFonts w:ascii="Arial" w:cs="Arial" w:eastAsia="Arial" w:hAnsi="Arial"/>
          <w:sz w:val="17"/>
          <w:szCs w:val="17"/>
          <w:color w:val="auto"/>
        </w:rPr>
        <w:t>In May 2020, we issued 90,000 Series F preferred OP units in connection with the acquisition of Forest Springs.</w:t>
      </w:r>
      <w:r>
        <w:rPr>
          <w:rFonts w:ascii="Arial" w:cs="Arial" w:eastAsia="Arial" w:hAnsi="Arial"/>
          <w:sz w:val="17"/>
          <w:szCs w:val="17"/>
          <w:i w:val="1"/>
          <w:iCs w:val="1"/>
          <w:color w:val="auto"/>
        </w:rPr>
        <w:t xml:space="preserve"> </w:t>
      </w:r>
      <w:r>
        <w:rPr>
          <w:rFonts w:ascii="Arial" w:cs="Arial" w:eastAsia="Arial" w:hAnsi="Arial"/>
          <w:sz w:val="17"/>
          <w:szCs w:val="17"/>
          <w:color w:val="auto"/>
        </w:rPr>
        <w:t>The Series F preferred OP units have a stated issuance price of $100.0 per OP unit and carry a preferred return of 3.0 percent. Subject to certain limitations, at any time after the Series F issuance date, each Series F preferred OP Unit can be exchanged for a number of shares of our common stock equal to the quotient obtained by dividing $100.00 by $160.00 (as such ratio is subject to adjustments for certain capital events) at the holder’s option. The holders may require redemption in cash after the fifth anniversary of the Series F issuance date or upon the holder’s death. As of June 30, 2020, 90,000 Series F preferred OP units were outstanding. Refer to Note 3, “Real Estate Acquisitions,” for additional information.</w:t>
      </w:r>
    </w:p>
    <w:p>
      <w:pPr>
        <w:spacing w:after="0" w:line="202" w:lineRule="exact"/>
        <w:rPr>
          <w:sz w:val="20"/>
          <w:szCs w:val="20"/>
          <w:color w:val="auto"/>
        </w:rPr>
      </w:pPr>
    </w:p>
    <w:p>
      <w:pPr>
        <w:jc w:val="both"/>
        <w:spacing w:after="0" w:line="275" w:lineRule="auto"/>
        <w:rPr>
          <w:sz w:val="20"/>
          <w:szCs w:val="20"/>
          <w:color w:val="auto"/>
        </w:rPr>
      </w:pPr>
      <w:r>
        <w:rPr>
          <w:rFonts w:ascii="Arial" w:cs="Arial" w:eastAsia="Arial" w:hAnsi="Arial"/>
          <w:sz w:val="17"/>
          <w:szCs w:val="17"/>
          <w:i w:val="1"/>
          <w:iCs w:val="1"/>
          <w:color w:val="auto"/>
        </w:rPr>
        <w:t xml:space="preserve">Equity Interests - NG Sun Whitewater LLC - </w:t>
      </w:r>
      <w:r>
        <w:rPr>
          <w:rFonts w:ascii="Arial" w:cs="Arial" w:eastAsia="Arial" w:hAnsi="Arial"/>
          <w:sz w:val="17"/>
          <w:szCs w:val="17"/>
          <w:color w:val="auto"/>
        </w:rPr>
        <w:t>In August 2019, in connection with the investment in land at the property known as Whitewater, NG Sun</w:t>
      </w:r>
      <w:r>
        <w:rPr>
          <w:rFonts w:ascii="Arial" w:cs="Arial" w:eastAsia="Arial" w:hAnsi="Arial"/>
          <w:sz w:val="17"/>
          <w:szCs w:val="17"/>
          <w:i w:val="1"/>
          <w:iCs w:val="1"/>
          <w:color w:val="auto"/>
        </w:rPr>
        <w:t xml:space="preserve"> </w:t>
      </w:r>
      <w:r>
        <w:rPr>
          <w:rFonts w:ascii="Arial" w:cs="Arial" w:eastAsia="Arial" w:hAnsi="Arial"/>
          <w:sz w:val="17"/>
          <w:szCs w:val="17"/>
          <w:color w:val="auto"/>
        </w:rPr>
        <w:t>Whitewater LLC purchased $2.4 million of common equity interest in Sun NG Whitewater RV Resorts LLC (referred to as “Equity Interests - NG Sun Whitewater LLC”). The Equity Interests - NG Sun Whitewater LLC do not have a fixed maturity date. Upon the occurrence of certain events, either NG Sun Whitewater LLC or Sun NG LLC, our subsidiary, can trigger a process under which we may be required to purchase the Equity Interests - NG Sun Whitewater LLC from NG Sun Whitewater LLC. Refer to Note 7, “Consolidated Variable Interest Entities,” for additional information.</w:t>
      </w:r>
    </w:p>
    <w:p>
      <w:pPr>
        <w:spacing w:after="0" w:line="203" w:lineRule="exact"/>
        <w:rPr>
          <w:sz w:val="20"/>
          <w:szCs w:val="20"/>
          <w:color w:val="auto"/>
        </w:rPr>
      </w:pPr>
    </w:p>
    <w:p>
      <w:pPr>
        <w:jc w:val="both"/>
        <w:spacing w:after="0" w:line="291" w:lineRule="auto"/>
        <w:rPr>
          <w:sz w:val="20"/>
          <w:szCs w:val="20"/>
          <w:color w:val="auto"/>
        </w:rPr>
      </w:pPr>
      <w:r>
        <w:rPr>
          <w:rFonts w:ascii="Arial" w:cs="Arial" w:eastAsia="Arial" w:hAnsi="Arial"/>
          <w:sz w:val="16"/>
          <w:szCs w:val="16"/>
          <w:i w:val="1"/>
          <w:iCs w:val="1"/>
          <w:color w:val="auto"/>
        </w:rPr>
        <w:t xml:space="preserve">Issuance of Series D Preferred OP Units - </w:t>
      </w:r>
      <w:r>
        <w:rPr>
          <w:rFonts w:ascii="Arial" w:cs="Arial" w:eastAsia="Arial" w:hAnsi="Arial"/>
          <w:sz w:val="16"/>
          <w:szCs w:val="16"/>
          <w:color w:val="auto"/>
        </w:rPr>
        <w:t>In February 2019, we issued 488,958 Series D preferred OP units in connection with the acquisition of Country</w:t>
      </w:r>
      <w:r>
        <w:rPr>
          <w:rFonts w:ascii="Arial" w:cs="Arial" w:eastAsia="Arial" w:hAnsi="Arial"/>
          <w:sz w:val="16"/>
          <w:szCs w:val="16"/>
          <w:i w:val="1"/>
          <w:iCs w:val="1"/>
          <w:color w:val="auto"/>
        </w:rPr>
        <w:t xml:space="preserve"> </w:t>
      </w:r>
      <w:r>
        <w:rPr>
          <w:rFonts w:ascii="Arial" w:cs="Arial" w:eastAsia="Arial" w:hAnsi="Arial"/>
          <w:sz w:val="16"/>
          <w:szCs w:val="16"/>
          <w:color w:val="auto"/>
        </w:rPr>
        <w:t>Village Estates. The Series D preferred OP units have a stated issuance price of $100.00 per OP Unit and carry a preferred return of 3.75 percent until the second anniversary of the issuance date. Commencing with the second anniversary of the issuance date, the Series D Preferred OP Units carry a preferred return of 4.0 percent. Commencing with the first anniversary of the issuance date, each Series D Preferred OP Unit can be exchanged for our common stock equal to the quotient obtained by dividing $100.00 by $125.00 (as such ratio is subject to adjustments for certain capital events) at the holder’s option. The holders may require redemption in cash after the fifth anniversary of the Series D issuance date or upon the holder’s death. As of June 30, 2020, 488,958 Series D preferred OP units were outstanding. Refer to Note 3, “Real Estate Acquisitions,” for additional information.</w:t>
      </w:r>
    </w:p>
    <w:p>
      <w:pPr>
        <w:spacing w:after="0" w:line="19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i w:val="1"/>
          <w:iCs w:val="1"/>
          <w:color w:val="auto"/>
        </w:rPr>
        <w:t xml:space="preserve">Equity Interests - NG Sun LLC - </w:t>
      </w:r>
      <w:r>
        <w:rPr>
          <w:rFonts w:ascii="Arial" w:cs="Arial" w:eastAsia="Arial" w:hAnsi="Arial"/>
          <w:sz w:val="17"/>
          <w:szCs w:val="17"/>
          <w:color w:val="auto"/>
        </w:rPr>
        <w:t>In June 2018, in connection with the investment in Sun NG Resorts, unrelated third parties purchased $6.5 million of</w:t>
      </w:r>
      <w:r>
        <w:rPr>
          <w:rFonts w:ascii="Arial" w:cs="Arial" w:eastAsia="Arial" w:hAnsi="Arial"/>
          <w:sz w:val="17"/>
          <w:szCs w:val="17"/>
          <w:i w:val="1"/>
          <w:iCs w:val="1"/>
          <w:color w:val="auto"/>
        </w:rPr>
        <w:t xml:space="preserve"> </w:t>
      </w:r>
      <w:r>
        <w:rPr>
          <w:rFonts w:ascii="Arial" w:cs="Arial" w:eastAsia="Arial" w:hAnsi="Arial"/>
          <w:sz w:val="17"/>
          <w:szCs w:val="17"/>
          <w:color w:val="auto"/>
        </w:rPr>
        <w:t>Series B preferred equity interests and $15.4 million of common equity interest in Sun NG Resorts (herein jointly referred to as “Equity Interest - NG Sun LLC”). The Series B preferred equity interests carry a preferred return at a rate that, at any time, is equal to the interest rate on Sun NG Resorts’ indebtedness at such time. The current rate of return is 5.0 percent. The Equity Interests - NG Sun LLC do not have a fixed maturity date and can be redeemed in the fourth quarter of 2022 at the holders’ option. Sun NG LLC, our subsidiary, has the right during certain periods each year, with or without cause, or for cause at any time, to elect to buy NG Sun LLC’s interest. During a limited period in 2022, NG Sun LLC has the right to put its interest to Sun NG LLC. If either party exercises their option, the property management agreement will be terminated, and we are required to purchase the remaining interests of NG Sun LLC and the property management agreement at fair value. Refer to Note 7, “Consolidated Variable Interest Entities,” and Note 8, “Debt and Lines of Credit,” for additional information.</w:t>
      </w:r>
    </w:p>
    <w:p>
      <w:pPr>
        <w:spacing w:after="0" w:line="208" w:lineRule="exact"/>
        <w:rPr>
          <w:sz w:val="20"/>
          <w:szCs w:val="20"/>
          <w:color w:val="auto"/>
        </w:rPr>
      </w:pPr>
    </w:p>
    <w:p>
      <w:pPr>
        <w:jc w:val="both"/>
        <w:spacing w:after="0" w:line="275" w:lineRule="auto"/>
        <w:rPr>
          <w:sz w:val="20"/>
          <w:szCs w:val="20"/>
          <w:color w:val="auto"/>
        </w:rPr>
      </w:pPr>
      <w:r>
        <w:rPr>
          <w:rFonts w:ascii="Arial" w:cs="Arial" w:eastAsia="Arial" w:hAnsi="Arial"/>
          <w:sz w:val="17"/>
          <w:szCs w:val="17"/>
          <w:i w:val="1"/>
          <w:iCs w:val="1"/>
          <w:color w:val="auto"/>
        </w:rPr>
        <w:t xml:space="preserve">Series A-4 Preferred OP Units - </w:t>
      </w:r>
      <w:r>
        <w:rPr>
          <w:rFonts w:ascii="Arial" w:cs="Arial" w:eastAsia="Arial" w:hAnsi="Arial"/>
          <w:sz w:val="17"/>
          <w:szCs w:val="17"/>
          <w:color w:val="auto"/>
        </w:rPr>
        <w:t>On December 13, 2019, all outstanding shares of our 6.50% Series A-4 Cumulative Convertible Preferred Stock, and all of</w:t>
      </w:r>
      <w:r>
        <w:rPr>
          <w:rFonts w:ascii="Arial" w:cs="Arial" w:eastAsia="Arial" w:hAnsi="Arial"/>
          <w:sz w:val="17"/>
          <w:szCs w:val="17"/>
          <w:i w:val="1"/>
          <w:iCs w:val="1"/>
          <w:color w:val="auto"/>
        </w:rPr>
        <w:t xml:space="preserve"> </w:t>
      </w:r>
      <w:r>
        <w:rPr>
          <w:rFonts w:ascii="Arial" w:cs="Arial" w:eastAsia="Arial" w:hAnsi="Arial"/>
          <w:sz w:val="17"/>
          <w:szCs w:val="17"/>
          <w:color w:val="auto"/>
        </w:rPr>
        <w:t>the Operating Partnership’s Series A-4 Preferred OP Units were converted into common stock and common OP units, respectively. All 1,031,747 shares of Series A-4 preferred stock were converted into 458,541 shares of common stock (net of fractional shares paid in cash). All 405,656 Series A-4 preferred OP units were converted into 180,277 common OP units (net of fractional units paid in cash). The Series A-4 preferred shares and units were issued to the sellers of the American Land Lease portfolio which we acquired in 2014 and 2015.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22" w:name="page23"/>
    <w:bookmarkEnd w:id="22"/>
    <w:p>
      <w:pPr>
        <w:jc w:val="center"/>
        <w:ind w:right="-19"/>
        <w:spacing w:after="0"/>
        <w:rPr>
          <w:sz w:val="20"/>
          <w:szCs w:val="20"/>
          <w:color w:val="auto"/>
        </w:rPr>
      </w:pPr>
      <w:r>
        <w:rPr>
          <w:rFonts w:ascii="Arial" w:cs="Arial" w:eastAsia="Arial" w:hAnsi="Arial"/>
          <w:sz w:val="16"/>
          <w:szCs w:val="16"/>
          <w:b w:val="1"/>
          <w:bCs w:val="1"/>
          <w:color w:val="auto"/>
        </w:rPr>
        <w:t>SUN COMMUNITIES, INC.</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NOTES TO CONSOLIDATED FINANCIAL STATEMENTS - (Continued)</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Conversions</w:t>
      </w:r>
    </w:p>
    <w:p>
      <w:pPr>
        <w:spacing w:after="0" w:line="252" w:lineRule="exact"/>
        <w:rPr>
          <w:sz w:val="20"/>
          <w:szCs w:val="20"/>
          <w:color w:val="auto"/>
        </w:rPr>
      </w:pPr>
    </w:p>
    <w:p>
      <w:pPr>
        <w:spacing w:after="0" w:line="277" w:lineRule="auto"/>
        <w:rPr>
          <w:sz w:val="20"/>
          <w:szCs w:val="20"/>
          <w:color w:val="auto"/>
        </w:rPr>
      </w:pPr>
      <w:r>
        <w:rPr>
          <w:rFonts w:ascii="Arial" w:cs="Arial" w:eastAsia="Arial" w:hAnsi="Arial"/>
          <w:sz w:val="18"/>
          <w:szCs w:val="18"/>
          <w:i w:val="1"/>
          <w:iCs w:val="1"/>
          <w:color w:val="auto"/>
        </w:rPr>
        <w:t xml:space="preserve">Conversions to Common Stock - </w:t>
      </w:r>
      <w:r>
        <w:rPr>
          <w:rFonts w:ascii="Arial" w:cs="Arial" w:eastAsia="Arial" w:hAnsi="Arial"/>
          <w:sz w:val="18"/>
          <w:szCs w:val="18"/>
          <w:color w:val="auto"/>
        </w:rPr>
        <w:t>Subject to certain limitations, holders can convert certain series of stock and OP units to shares of our common stock at</w:t>
      </w:r>
      <w:r>
        <w:rPr>
          <w:rFonts w:ascii="Arial" w:cs="Arial" w:eastAsia="Arial" w:hAnsi="Arial"/>
          <w:sz w:val="18"/>
          <w:szCs w:val="18"/>
          <w:i w:val="1"/>
          <w:iCs w:val="1"/>
          <w:color w:val="auto"/>
        </w:rPr>
        <w:t xml:space="preserve"> </w:t>
      </w:r>
      <w:r>
        <w:rPr>
          <w:rFonts w:ascii="Arial" w:cs="Arial" w:eastAsia="Arial" w:hAnsi="Arial"/>
          <w:sz w:val="18"/>
          <w:szCs w:val="18"/>
          <w:color w:val="auto"/>
        </w:rPr>
        <w:t>any time. Below is the activity of conversions during the six months ended June 30, 2020 and 2019:</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4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780" w:type="dxa"/>
            <w:vAlign w:val="bottom"/>
            <w:gridSpan w:val="3"/>
          </w:tcPr>
          <w:p>
            <w:pPr>
              <w:jc w:val="center"/>
              <w:ind w:right="220"/>
              <w:spacing w:after="0"/>
              <w:rPr>
                <w:sz w:val="20"/>
                <w:szCs w:val="20"/>
                <w:color w:val="auto"/>
              </w:rPr>
            </w:pPr>
            <w:r>
              <w:rPr>
                <w:rFonts w:ascii="Arial" w:cs="Arial" w:eastAsia="Arial" w:hAnsi="Arial"/>
                <w:sz w:val="15"/>
                <w:szCs w:val="15"/>
                <w:b w:val="1"/>
                <w:bCs w:val="1"/>
                <w:color w:val="auto"/>
                <w:w w:val="92"/>
              </w:rPr>
              <w:t>Six Months Ended</w:t>
            </w:r>
          </w:p>
        </w:tc>
        <w:tc>
          <w:tcPr>
            <w:tcW w:w="2580" w:type="dxa"/>
            <w:vAlign w:val="bottom"/>
            <w:gridSpan w:val="2"/>
          </w:tcPr>
          <w:p>
            <w:pPr>
              <w:jc w:val="right"/>
              <w:ind w:right="604"/>
              <w:spacing w:after="0"/>
              <w:rPr>
                <w:sz w:val="20"/>
                <w:szCs w:val="20"/>
                <w:color w:val="auto"/>
              </w:rPr>
            </w:pPr>
            <w:r>
              <w:rPr>
                <w:rFonts w:ascii="Arial" w:cs="Arial" w:eastAsia="Arial" w:hAnsi="Arial"/>
                <w:sz w:val="15"/>
                <w:szCs w:val="15"/>
                <w:b w:val="1"/>
                <w:bCs w:val="1"/>
                <w:color w:val="auto"/>
              </w:rPr>
              <w:t>Six Months Ended</w:t>
            </w:r>
          </w:p>
        </w:tc>
      </w:tr>
      <w:tr>
        <w:trPr>
          <w:trHeight w:val="220"/>
        </w:trPr>
        <w:tc>
          <w:tcPr>
            <w:tcW w:w="40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780" w:type="dxa"/>
            <w:vAlign w:val="bottom"/>
            <w:gridSpan w:val="3"/>
          </w:tcPr>
          <w:p>
            <w:pPr>
              <w:jc w:val="center"/>
              <w:ind w:right="220"/>
              <w:spacing w:after="0"/>
              <w:rPr>
                <w:sz w:val="20"/>
                <w:szCs w:val="20"/>
                <w:color w:val="auto"/>
              </w:rPr>
            </w:pPr>
            <w:r>
              <w:rPr>
                <w:rFonts w:ascii="Arial" w:cs="Arial" w:eastAsia="Arial" w:hAnsi="Arial"/>
                <w:sz w:val="15"/>
                <w:szCs w:val="15"/>
                <w:b w:val="1"/>
                <w:bCs w:val="1"/>
                <w:color w:val="auto"/>
                <w:w w:val="90"/>
              </w:rPr>
              <w:t>June 30, 2020</w:t>
            </w:r>
          </w:p>
        </w:tc>
        <w:tc>
          <w:tcPr>
            <w:tcW w:w="2580" w:type="dxa"/>
            <w:vAlign w:val="bottom"/>
            <w:gridSpan w:val="2"/>
          </w:tcPr>
          <w:p>
            <w:pPr>
              <w:jc w:val="right"/>
              <w:ind w:right="764"/>
              <w:spacing w:after="0"/>
              <w:rPr>
                <w:sz w:val="20"/>
                <w:szCs w:val="20"/>
                <w:color w:val="auto"/>
              </w:rPr>
            </w:pPr>
            <w:r>
              <w:rPr>
                <w:rFonts w:ascii="Arial" w:cs="Arial" w:eastAsia="Arial" w:hAnsi="Arial"/>
                <w:sz w:val="15"/>
                <w:szCs w:val="15"/>
                <w:b w:val="1"/>
                <w:bCs w:val="1"/>
                <w:color w:val="auto"/>
              </w:rPr>
              <w:t>June 30, 2019</w:t>
            </w:r>
          </w:p>
        </w:tc>
      </w:tr>
      <w:tr>
        <w:trPr>
          <w:trHeight w:val="169"/>
        </w:trPr>
        <w:tc>
          <w:tcPr>
            <w:tcW w:w="4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Borders>
              <w:top w:val="single" w:sz="8" w:color="auto"/>
            </w:tcBorders>
          </w:tcPr>
          <w:p>
            <w:pPr>
              <w:jc w:val="right"/>
              <w:ind w:right="104"/>
              <w:spacing w:after="0" w:line="169" w:lineRule="exact"/>
              <w:rPr>
                <w:sz w:val="20"/>
                <w:szCs w:val="20"/>
                <w:color w:val="auto"/>
              </w:rPr>
            </w:pPr>
            <w:r>
              <w:rPr>
                <w:rFonts w:ascii="Arial" w:cs="Arial" w:eastAsia="Arial" w:hAnsi="Arial"/>
                <w:sz w:val="15"/>
                <w:szCs w:val="15"/>
                <w:b w:val="1"/>
                <w:bCs w:val="1"/>
                <w:color w:val="auto"/>
              </w:rPr>
              <w:t>Units/Shares</w:t>
            </w:r>
          </w:p>
        </w:tc>
        <w:tc>
          <w:tcPr>
            <w:tcW w:w="130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Borders>
              <w:top w:val="single" w:sz="8" w:color="auto"/>
            </w:tcBorders>
          </w:tcPr>
          <w:p>
            <w:pPr>
              <w:jc w:val="right"/>
              <w:ind w:right="124"/>
              <w:spacing w:after="0" w:line="169" w:lineRule="exact"/>
              <w:rPr>
                <w:sz w:val="20"/>
                <w:szCs w:val="20"/>
                <w:color w:val="auto"/>
              </w:rPr>
            </w:pPr>
            <w:r>
              <w:rPr>
                <w:rFonts w:ascii="Arial" w:cs="Arial" w:eastAsia="Arial" w:hAnsi="Arial"/>
                <w:sz w:val="15"/>
                <w:szCs w:val="15"/>
                <w:b w:val="1"/>
                <w:bCs w:val="1"/>
                <w:color w:val="auto"/>
              </w:rPr>
              <w:t>Units/Shares</w:t>
            </w:r>
          </w:p>
        </w:tc>
        <w:tc>
          <w:tcPr>
            <w:tcW w:w="1300" w:type="dxa"/>
            <w:vAlign w:val="bottom"/>
            <w:tcBorders>
              <w:top w:val="single" w:sz="8" w:color="auto"/>
            </w:tcBorders>
          </w:tcPr>
          <w:p>
            <w:pPr>
              <w:spacing w:after="0"/>
              <w:rPr>
                <w:sz w:val="14"/>
                <w:szCs w:val="14"/>
                <w:color w:val="auto"/>
              </w:rPr>
            </w:pPr>
          </w:p>
        </w:tc>
      </w:tr>
      <w:tr>
        <w:trPr>
          <w:trHeight w:val="202"/>
        </w:trPr>
        <w:tc>
          <w:tcPr>
            <w:tcW w:w="4060" w:type="dxa"/>
            <w:vAlign w:val="bottom"/>
            <w:tcBorders>
              <w:bottom w:val="single" w:sz="8" w:color="auto"/>
            </w:tcBorders>
          </w:tcPr>
          <w:p>
            <w:pPr>
              <w:ind w:left="20"/>
              <w:spacing w:after="0"/>
              <w:rPr>
                <w:sz w:val="20"/>
                <w:szCs w:val="20"/>
                <w:color w:val="auto"/>
              </w:rPr>
            </w:pPr>
            <w:r>
              <w:rPr>
                <w:rFonts w:ascii="Arial" w:cs="Arial" w:eastAsia="Arial" w:hAnsi="Arial"/>
                <w:sz w:val="15"/>
                <w:szCs w:val="15"/>
                <w:b w:val="1"/>
                <w:bCs w:val="1"/>
                <w:color w:val="auto"/>
              </w:rPr>
              <w:t>Series</w:t>
            </w:r>
          </w:p>
        </w:tc>
        <w:tc>
          <w:tcPr>
            <w:tcW w:w="220" w:type="dxa"/>
            <w:vAlign w:val="bottom"/>
            <w:tcBorders>
              <w:bottom w:val="single" w:sz="8" w:color="CCEEFF"/>
            </w:tcBorders>
          </w:tcPr>
          <w:p>
            <w:pPr>
              <w:spacing w:after="0"/>
              <w:rPr>
                <w:sz w:val="17"/>
                <w:szCs w:val="17"/>
                <w:color w:val="auto"/>
              </w:rPr>
            </w:pPr>
          </w:p>
        </w:tc>
        <w:tc>
          <w:tcPr>
            <w:tcW w:w="132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b w:val="1"/>
                <w:bCs w:val="1"/>
                <w:color w:val="auto"/>
                <w:w w:val="98"/>
              </w:rPr>
              <w:t>Conversion Rate</w:t>
            </w:r>
          </w:p>
        </w:tc>
        <w:tc>
          <w:tcPr>
            <w:tcW w:w="220" w:type="dxa"/>
            <w:vAlign w:val="bottom"/>
            <w:tcBorders>
              <w:bottom w:val="single" w:sz="8" w:color="CCEEFF"/>
            </w:tcBorders>
          </w:tcPr>
          <w:p>
            <w:pPr>
              <w:spacing w:after="0"/>
              <w:rPr>
                <w:sz w:val="17"/>
                <w:szCs w:val="17"/>
                <w:color w:val="auto"/>
              </w:rPr>
            </w:pPr>
          </w:p>
        </w:tc>
        <w:tc>
          <w:tcPr>
            <w:tcW w:w="1260" w:type="dxa"/>
            <w:vAlign w:val="bottom"/>
            <w:tcBorders>
              <w:bottom w:val="single" w:sz="8" w:color="auto"/>
            </w:tcBorders>
          </w:tcPr>
          <w:p>
            <w:pPr>
              <w:jc w:val="right"/>
              <w:ind w:right="184"/>
              <w:spacing w:after="0"/>
              <w:rPr>
                <w:sz w:val="20"/>
                <w:szCs w:val="20"/>
                <w:color w:val="auto"/>
              </w:rPr>
            </w:pPr>
            <w:r>
              <w:rPr>
                <w:rFonts w:ascii="Arial" w:cs="Arial" w:eastAsia="Arial" w:hAnsi="Arial"/>
                <w:sz w:val="15"/>
                <w:szCs w:val="15"/>
                <w:b w:val="1"/>
                <w:bCs w:val="1"/>
                <w:color w:val="auto"/>
              </w:rPr>
              <w:t>Converted</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99"/>
              </w:rPr>
              <w:t xml:space="preserve">Common Stock </w:t>
            </w:r>
            <w:r>
              <w:rPr>
                <w:rFonts w:ascii="Arial" w:cs="Arial" w:eastAsia="Arial" w:hAnsi="Arial"/>
                <w:sz w:val="9"/>
                <w:szCs w:val="9"/>
                <w:b w:val="1"/>
                <w:bCs w:val="1"/>
                <w:color w:val="auto"/>
                <w:w w:val="99"/>
              </w:rPr>
              <w:t>(1)</w:t>
            </w:r>
          </w:p>
        </w:tc>
        <w:tc>
          <w:tcPr>
            <w:tcW w:w="220" w:type="dxa"/>
            <w:vAlign w:val="bottom"/>
            <w:tcBorders>
              <w:bottom w:val="single" w:sz="8" w:color="CCEEFF"/>
            </w:tcBorders>
          </w:tcPr>
          <w:p>
            <w:pPr>
              <w:spacing w:after="0"/>
              <w:rPr>
                <w:sz w:val="17"/>
                <w:szCs w:val="17"/>
                <w:color w:val="auto"/>
              </w:rPr>
            </w:pPr>
          </w:p>
        </w:tc>
        <w:tc>
          <w:tcPr>
            <w:tcW w:w="1280" w:type="dxa"/>
            <w:vAlign w:val="bottom"/>
            <w:tcBorders>
              <w:bottom w:val="single" w:sz="8" w:color="auto"/>
            </w:tcBorders>
          </w:tcPr>
          <w:p>
            <w:pPr>
              <w:jc w:val="right"/>
              <w:ind w:right="204"/>
              <w:spacing w:after="0"/>
              <w:rPr>
                <w:sz w:val="20"/>
                <w:szCs w:val="20"/>
                <w:color w:val="auto"/>
              </w:rPr>
            </w:pPr>
            <w:r>
              <w:rPr>
                <w:rFonts w:ascii="Arial" w:cs="Arial" w:eastAsia="Arial" w:hAnsi="Arial"/>
                <w:sz w:val="15"/>
                <w:szCs w:val="15"/>
                <w:b w:val="1"/>
                <w:bCs w:val="1"/>
                <w:color w:val="auto"/>
              </w:rPr>
              <w:t>Converted</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99"/>
              </w:rPr>
              <w:t xml:space="preserve">Common Stock </w:t>
            </w:r>
            <w:r>
              <w:rPr>
                <w:rFonts w:ascii="Arial" w:cs="Arial" w:eastAsia="Arial" w:hAnsi="Arial"/>
                <w:sz w:val="9"/>
                <w:szCs w:val="9"/>
                <w:b w:val="1"/>
                <w:bCs w:val="1"/>
                <w:color w:val="auto"/>
                <w:w w:val="99"/>
              </w:rPr>
              <w:t>(1)</w:t>
            </w:r>
          </w:p>
        </w:tc>
      </w:tr>
      <w:tr>
        <w:trPr>
          <w:trHeight w:val="213"/>
        </w:trPr>
        <w:tc>
          <w:tcPr>
            <w:tcW w:w="428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Common OP unit</w:t>
            </w:r>
          </w:p>
        </w:tc>
        <w:tc>
          <w:tcPr>
            <w:tcW w:w="132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1.0000</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26,105</w:t>
            </w:r>
          </w:p>
        </w:tc>
        <w:tc>
          <w:tcPr>
            <w:tcW w:w="130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26,105</w:t>
            </w: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436,177</w:t>
            </w:r>
          </w:p>
        </w:tc>
        <w:tc>
          <w:tcPr>
            <w:tcW w:w="130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rPr>
              <w:t>436,177</w:t>
            </w:r>
          </w:p>
        </w:tc>
      </w:tr>
      <w:tr>
        <w:trPr>
          <w:trHeight w:val="212"/>
        </w:trPr>
        <w:tc>
          <w:tcPr>
            <w:tcW w:w="4280" w:type="dxa"/>
            <w:vAlign w:val="bottom"/>
            <w:gridSpan w:val="2"/>
          </w:tcPr>
          <w:p>
            <w:pPr>
              <w:ind w:left="20"/>
              <w:spacing w:after="0"/>
              <w:rPr>
                <w:sz w:val="20"/>
                <w:szCs w:val="20"/>
                <w:color w:val="auto"/>
              </w:rPr>
            </w:pPr>
            <w:r>
              <w:rPr>
                <w:rFonts w:ascii="Arial" w:cs="Arial" w:eastAsia="Arial" w:hAnsi="Arial"/>
                <w:sz w:val="15"/>
                <w:szCs w:val="15"/>
                <w:color w:val="auto"/>
              </w:rPr>
              <w:t>Series A-1 preferred OP unit</w:t>
            </w:r>
          </w:p>
        </w:tc>
        <w:tc>
          <w:tcPr>
            <w:tcW w:w="1320" w:type="dxa"/>
            <w:vAlign w:val="bottom"/>
          </w:tcPr>
          <w:p>
            <w:pPr>
              <w:jc w:val="right"/>
              <w:ind w:right="64"/>
              <w:spacing w:after="0"/>
              <w:rPr>
                <w:sz w:val="20"/>
                <w:szCs w:val="20"/>
                <w:color w:val="auto"/>
              </w:rPr>
            </w:pPr>
            <w:r>
              <w:rPr>
                <w:rFonts w:ascii="Arial" w:cs="Arial" w:eastAsia="Arial" w:hAnsi="Arial"/>
                <w:sz w:val="15"/>
                <w:szCs w:val="15"/>
                <w:color w:val="auto"/>
              </w:rPr>
              <w:t>2.4390</w:t>
            </w:r>
          </w:p>
        </w:tc>
        <w:tc>
          <w:tcPr>
            <w:tcW w:w="220" w:type="dxa"/>
            <w:vAlign w:val="bottom"/>
          </w:tcPr>
          <w:p>
            <w:pPr>
              <w:spacing w:after="0"/>
              <w:rPr>
                <w:sz w:val="18"/>
                <w:szCs w:val="18"/>
                <w:color w:val="auto"/>
              </w:rPr>
            </w:pPr>
          </w:p>
        </w:tc>
        <w:tc>
          <w:tcPr>
            <w:tcW w:w="1260" w:type="dxa"/>
            <w:vAlign w:val="bottom"/>
          </w:tcPr>
          <w:p>
            <w:pPr>
              <w:jc w:val="right"/>
              <w:ind w:right="4"/>
              <w:spacing w:after="0"/>
              <w:rPr>
                <w:sz w:val="20"/>
                <w:szCs w:val="20"/>
                <w:color w:val="auto"/>
              </w:rPr>
            </w:pPr>
            <w:r>
              <w:rPr>
                <w:rFonts w:ascii="Arial" w:cs="Arial" w:eastAsia="Arial" w:hAnsi="Arial"/>
                <w:sz w:val="15"/>
                <w:szCs w:val="15"/>
                <w:color w:val="auto"/>
              </w:rPr>
              <w:t>9,114</w:t>
            </w:r>
          </w:p>
        </w:tc>
        <w:tc>
          <w:tcPr>
            <w:tcW w:w="1300" w:type="dxa"/>
            <w:vAlign w:val="bottom"/>
          </w:tcPr>
          <w:p>
            <w:pPr>
              <w:jc w:val="right"/>
              <w:ind w:right="64"/>
              <w:spacing w:after="0"/>
              <w:rPr>
                <w:sz w:val="20"/>
                <w:szCs w:val="20"/>
                <w:color w:val="auto"/>
              </w:rPr>
            </w:pPr>
            <w:r>
              <w:rPr>
                <w:rFonts w:ascii="Arial" w:cs="Arial" w:eastAsia="Arial" w:hAnsi="Arial"/>
                <w:sz w:val="15"/>
                <w:szCs w:val="15"/>
                <w:color w:val="auto"/>
              </w:rPr>
              <w:t>22,226</w:t>
            </w:r>
          </w:p>
        </w:tc>
        <w:tc>
          <w:tcPr>
            <w:tcW w:w="220" w:type="dxa"/>
            <w:vAlign w:val="bottom"/>
          </w:tcPr>
          <w:p>
            <w:pPr>
              <w:spacing w:after="0"/>
              <w:rPr>
                <w:sz w:val="18"/>
                <w:szCs w:val="18"/>
                <w:color w:val="auto"/>
              </w:rPr>
            </w:pPr>
          </w:p>
        </w:tc>
        <w:tc>
          <w:tcPr>
            <w:tcW w:w="1280" w:type="dxa"/>
            <w:vAlign w:val="bottom"/>
          </w:tcPr>
          <w:p>
            <w:pPr>
              <w:jc w:val="right"/>
              <w:ind w:right="24"/>
              <w:spacing w:after="0"/>
              <w:rPr>
                <w:sz w:val="20"/>
                <w:szCs w:val="20"/>
                <w:color w:val="auto"/>
              </w:rPr>
            </w:pPr>
            <w:r>
              <w:rPr>
                <w:rFonts w:ascii="Arial" w:cs="Arial" w:eastAsia="Arial" w:hAnsi="Arial"/>
                <w:sz w:val="15"/>
                <w:szCs w:val="15"/>
                <w:color w:val="auto"/>
              </w:rPr>
              <w:t>7,950</w:t>
            </w:r>
          </w:p>
        </w:tc>
        <w:tc>
          <w:tcPr>
            <w:tcW w:w="1300" w:type="dxa"/>
            <w:vAlign w:val="bottom"/>
          </w:tcPr>
          <w:p>
            <w:pPr>
              <w:jc w:val="right"/>
              <w:ind w:right="84"/>
              <w:spacing w:after="0"/>
              <w:rPr>
                <w:sz w:val="20"/>
                <w:szCs w:val="20"/>
                <w:color w:val="auto"/>
              </w:rPr>
            </w:pPr>
            <w:r>
              <w:rPr>
                <w:rFonts w:ascii="Arial" w:cs="Arial" w:eastAsia="Arial" w:hAnsi="Arial"/>
                <w:sz w:val="15"/>
                <w:szCs w:val="15"/>
                <w:color w:val="auto"/>
              </w:rPr>
              <w:t>19,387</w:t>
            </w:r>
          </w:p>
        </w:tc>
      </w:tr>
      <w:tr>
        <w:trPr>
          <w:trHeight w:val="220"/>
        </w:trPr>
        <w:tc>
          <w:tcPr>
            <w:tcW w:w="428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Series A-4 preferred OP unit</w:t>
            </w:r>
          </w:p>
        </w:tc>
        <w:tc>
          <w:tcPr>
            <w:tcW w:w="132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0.4444</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w:t>
            </w:r>
          </w:p>
        </w:tc>
        <w:tc>
          <w:tcPr>
            <w:tcW w:w="1520" w:type="dxa"/>
            <w:vAlign w:val="bottom"/>
            <w:gridSpan w:val="2"/>
            <w:shd w:val="clear" w:color="auto" w:fill="CCEEFF"/>
          </w:tcPr>
          <w:p>
            <w:pPr>
              <w:jc w:val="right"/>
              <w:ind w:right="360"/>
              <w:spacing w:after="0"/>
              <w:rPr>
                <w:sz w:val="20"/>
                <w:szCs w:val="20"/>
                <w:color w:val="auto"/>
              </w:rPr>
            </w:pPr>
            <w:r>
              <w:rPr>
                <w:rFonts w:ascii="Arial" w:cs="Arial" w:eastAsia="Arial" w:hAnsi="Arial"/>
                <w:sz w:val="15"/>
                <w:szCs w:val="15"/>
                <w:color w:val="auto"/>
              </w:rPr>
              <w:t>—</w:t>
            </w:r>
          </w:p>
        </w:tc>
        <w:tc>
          <w:tcPr>
            <w:tcW w:w="12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4,708</w:t>
            </w:r>
          </w:p>
        </w:tc>
        <w:tc>
          <w:tcPr>
            <w:tcW w:w="130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rPr>
              <w:t>2,092</w:t>
            </w:r>
          </w:p>
        </w:tc>
      </w:tr>
      <w:tr>
        <w:trPr>
          <w:trHeight w:val="208"/>
        </w:trPr>
        <w:tc>
          <w:tcPr>
            <w:tcW w:w="4280" w:type="dxa"/>
            <w:vAlign w:val="bottom"/>
            <w:gridSpan w:val="2"/>
          </w:tcPr>
          <w:p>
            <w:pPr>
              <w:ind w:left="20"/>
              <w:spacing w:after="0"/>
              <w:rPr>
                <w:sz w:val="20"/>
                <w:szCs w:val="20"/>
                <w:color w:val="auto"/>
              </w:rPr>
            </w:pPr>
            <w:r>
              <w:rPr>
                <w:rFonts w:ascii="Arial" w:cs="Arial" w:eastAsia="Arial" w:hAnsi="Arial"/>
                <w:sz w:val="15"/>
                <w:szCs w:val="15"/>
                <w:color w:val="auto"/>
              </w:rPr>
              <w:t>Series A-4 preferred stock</w:t>
            </w:r>
          </w:p>
        </w:tc>
        <w:tc>
          <w:tcPr>
            <w:tcW w:w="1320" w:type="dxa"/>
            <w:vAlign w:val="bottom"/>
          </w:tcPr>
          <w:p>
            <w:pPr>
              <w:jc w:val="right"/>
              <w:ind w:right="64"/>
              <w:spacing w:after="0"/>
              <w:rPr>
                <w:sz w:val="20"/>
                <w:szCs w:val="20"/>
                <w:color w:val="auto"/>
              </w:rPr>
            </w:pPr>
            <w:r>
              <w:rPr>
                <w:rFonts w:ascii="Arial" w:cs="Arial" w:eastAsia="Arial" w:hAnsi="Arial"/>
                <w:sz w:val="15"/>
                <w:szCs w:val="15"/>
                <w:color w:val="auto"/>
              </w:rPr>
              <w:t>0.4444</w:t>
            </w:r>
          </w:p>
        </w:tc>
        <w:tc>
          <w:tcPr>
            <w:tcW w:w="220" w:type="dxa"/>
            <w:vAlign w:val="bottom"/>
          </w:tcPr>
          <w:p>
            <w:pPr>
              <w:spacing w:after="0"/>
              <w:rPr>
                <w:sz w:val="18"/>
                <w:szCs w:val="18"/>
                <w:color w:val="auto"/>
              </w:rPr>
            </w:pPr>
          </w:p>
        </w:tc>
        <w:tc>
          <w:tcPr>
            <w:tcW w:w="1260" w:type="dxa"/>
            <w:vAlign w:val="bottom"/>
          </w:tcPr>
          <w:p>
            <w:pPr>
              <w:jc w:val="right"/>
              <w:ind w:right="24"/>
              <w:spacing w:after="0"/>
              <w:rPr>
                <w:sz w:val="20"/>
                <w:szCs w:val="20"/>
                <w:color w:val="auto"/>
              </w:rPr>
            </w:pPr>
            <w:r>
              <w:rPr>
                <w:rFonts w:ascii="Arial" w:cs="Arial" w:eastAsia="Arial" w:hAnsi="Arial"/>
                <w:sz w:val="15"/>
                <w:szCs w:val="15"/>
                <w:color w:val="auto"/>
              </w:rPr>
              <w:t>—</w:t>
            </w:r>
          </w:p>
        </w:tc>
        <w:tc>
          <w:tcPr>
            <w:tcW w:w="1520" w:type="dxa"/>
            <w:vAlign w:val="bottom"/>
            <w:gridSpan w:val="2"/>
          </w:tcPr>
          <w:p>
            <w:pPr>
              <w:jc w:val="right"/>
              <w:ind w:right="360"/>
              <w:spacing w:after="0"/>
              <w:rPr>
                <w:sz w:val="20"/>
                <w:szCs w:val="20"/>
                <w:color w:val="auto"/>
              </w:rPr>
            </w:pPr>
            <w:r>
              <w:rPr>
                <w:rFonts w:ascii="Arial" w:cs="Arial" w:eastAsia="Arial" w:hAnsi="Arial"/>
                <w:sz w:val="15"/>
                <w:szCs w:val="15"/>
                <w:color w:val="auto"/>
              </w:rPr>
              <w:t>—</w:t>
            </w:r>
          </w:p>
        </w:tc>
        <w:tc>
          <w:tcPr>
            <w:tcW w:w="1280" w:type="dxa"/>
            <w:vAlign w:val="bottom"/>
          </w:tcPr>
          <w:p>
            <w:pPr>
              <w:jc w:val="right"/>
              <w:ind w:right="24"/>
              <w:spacing w:after="0"/>
              <w:rPr>
                <w:sz w:val="20"/>
                <w:szCs w:val="20"/>
                <w:color w:val="auto"/>
              </w:rPr>
            </w:pPr>
            <w:r>
              <w:rPr>
                <w:rFonts w:ascii="Arial" w:cs="Arial" w:eastAsia="Arial" w:hAnsi="Arial"/>
                <w:sz w:val="15"/>
                <w:szCs w:val="15"/>
                <w:color w:val="auto"/>
              </w:rPr>
              <w:t>11,288</w:t>
            </w:r>
          </w:p>
        </w:tc>
        <w:tc>
          <w:tcPr>
            <w:tcW w:w="1300" w:type="dxa"/>
            <w:vAlign w:val="bottom"/>
          </w:tcPr>
          <w:p>
            <w:pPr>
              <w:jc w:val="right"/>
              <w:ind w:right="84"/>
              <w:spacing w:after="0"/>
              <w:rPr>
                <w:sz w:val="20"/>
                <w:szCs w:val="20"/>
                <w:color w:val="auto"/>
              </w:rPr>
            </w:pPr>
            <w:r>
              <w:rPr>
                <w:rFonts w:ascii="Arial" w:cs="Arial" w:eastAsia="Arial" w:hAnsi="Arial"/>
                <w:sz w:val="15"/>
                <w:szCs w:val="15"/>
                <w:color w:val="auto"/>
              </w:rPr>
              <w:t>5,016</w:t>
            </w:r>
          </w:p>
        </w:tc>
      </w:tr>
    </w:tbl>
    <w:p>
      <w:pPr>
        <w:spacing w:after="0" w:line="113" w:lineRule="exact"/>
        <w:rPr>
          <w:sz w:val="20"/>
          <w:szCs w:val="20"/>
          <w:color w:val="auto"/>
        </w:rPr>
      </w:pPr>
    </w:p>
    <w:p>
      <w:pPr>
        <w:ind w:left="160" w:hanging="152"/>
        <w:spacing w:after="0"/>
        <w:tabs>
          <w:tab w:leader="none" w:pos="160" w:val="left"/>
        </w:tabs>
        <w:numPr>
          <w:ilvl w:val="0"/>
          <w:numId w:val="15"/>
        </w:numPr>
        <w:rPr>
          <w:rFonts w:ascii="Arial" w:cs="Arial" w:eastAsia="Arial" w:hAnsi="Arial"/>
          <w:sz w:val="18"/>
          <w:szCs w:val="18"/>
          <w:i w:val="1"/>
          <w:iCs w:val="1"/>
          <w:color w:val="auto"/>
          <w:vertAlign w:val="superscript"/>
        </w:rPr>
      </w:pPr>
      <w:r>
        <w:rPr>
          <w:rFonts w:ascii="Arial" w:cs="Arial" w:eastAsia="Arial" w:hAnsi="Arial"/>
          <w:sz w:val="14"/>
          <w:szCs w:val="14"/>
          <w:color w:val="auto"/>
        </w:rPr>
        <w:t>Calculation may yield minor differences due to rounding incorporated in the above numbers.</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Distributions declared for the three months ended June 30, 2020 were as follows: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jc w:val="center"/>
              <w:ind w:right="64"/>
              <w:spacing w:after="0"/>
              <w:rPr>
                <w:sz w:val="20"/>
                <w:szCs w:val="20"/>
                <w:color w:val="auto"/>
              </w:rPr>
            </w:pPr>
            <w:r>
              <w:rPr>
                <w:rFonts w:ascii="Arial" w:cs="Arial" w:eastAsia="Arial" w:hAnsi="Arial"/>
                <w:sz w:val="15"/>
                <w:szCs w:val="15"/>
                <w:b w:val="1"/>
                <w:bCs w:val="1"/>
                <w:color w:val="auto"/>
                <w:w w:val="89"/>
              </w:rPr>
              <w:t>Total</w:t>
            </w:r>
          </w:p>
        </w:tc>
      </w:tr>
      <w:tr>
        <w:trPr>
          <w:trHeight w:val="162"/>
        </w:trPr>
        <w:tc>
          <w:tcPr>
            <w:tcW w:w="5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0" w:type="dxa"/>
            <w:vAlign w:val="bottom"/>
            <w:gridSpan w:val="3"/>
          </w:tcPr>
          <w:p>
            <w:pPr>
              <w:jc w:val="center"/>
              <w:ind w:right="220"/>
              <w:spacing w:after="0" w:line="162" w:lineRule="exact"/>
              <w:rPr>
                <w:sz w:val="20"/>
                <w:szCs w:val="20"/>
                <w:color w:val="auto"/>
              </w:rPr>
            </w:pPr>
            <w:r>
              <w:rPr>
                <w:rFonts w:ascii="Arial" w:cs="Arial" w:eastAsia="Arial" w:hAnsi="Arial"/>
                <w:sz w:val="15"/>
                <w:szCs w:val="15"/>
                <w:b w:val="1"/>
                <w:bCs w:val="1"/>
                <w:color w:val="auto"/>
                <w:w w:val="94"/>
              </w:rPr>
              <w:t>Distribution per</w:t>
            </w:r>
          </w:p>
        </w:tc>
        <w:tc>
          <w:tcPr>
            <w:tcW w:w="140" w:type="dxa"/>
            <w:vAlign w:val="bottom"/>
          </w:tcPr>
          <w:p>
            <w:pPr>
              <w:spacing w:after="0"/>
              <w:rPr>
                <w:sz w:val="14"/>
                <w:szCs w:val="14"/>
                <w:color w:val="auto"/>
              </w:rPr>
            </w:pPr>
          </w:p>
        </w:tc>
        <w:tc>
          <w:tcPr>
            <w:tcW w:w="1060" w:type="dxa"/>
            <w:vAlign w:val="bottom"/>
          </w:tcPr>
          <w:p>
            <w:pPr>
              <w:jc w:val="center"/>
              <w:ind w:right="64"/>
              <w:spacing w:after="0" w:line="162" w:lineRule="exact"/>
              <w:rPr>
                <w:sz w:val="20"/>
                <w:szCs w:val="20"/>
                <w:color w:val="auto"/>
              </w:rPr>
            </w:pPr>
            <w:r>
              <w:rPr>
                <w:rFonts w:ascii="Arial" w:cs="Arial" w:eastAsia="Arial" w:hAnsi="Arial"/>
                <w:sz w:val="15"/>
                <w:szCs w:val="15"/>
                <w:b w:val="1"/>
                <w:bCs w:val="1"/>
                <w:color w:val="auto"/>
                <w:w w:val="94"/>
              </w:rPr>
              <w:t>Distribution</w:t>
            </w:r>
          </w:p>
        </w:tc>
      </w:tr>
      <w:tr>
        <w:trPr>
          <w:trHeight w:val="202"/>
        </w:trPr>
        <w:tc>
          <w:tcPr>
            <w:tcW w:w="5620" w:type="dxa"/>
            <w:vAlign w:val="bottom"/>
            <w:tcBorders>
              <w:bottom w:val="single" w:sz="8" w:color="auto"/>
            </w:tcBorders>
          </w:tcPr>
          <w:p>
            <w:pPr>
              <w:ind w:left="20"/>
              <w:spacing w:after="0"/>
              <w:rPr>
                <w:sz w:val="20"/>
                <w:szCs w:val="20"/>
                <w:color w:val="auto"/>
              </w:rPr>
            </w:pPr>
            <w:r>
              <w:rPr>
                <w:rFonts w:ascii="Arial" w:cs="Arial" w:eastAsia="Arial" w:hAnsi="Arial"/>
                <w:sz w:val="15"/>
                <w:szCs w:val="15"/>
                <w:b w:val="1"/>
                <w:bCs w:val="1"/>
                <w:color w:val="auto"/>
              </w:rPr>
              <w:t>Cash Distributions</w:t>
            </w:r>
          </w:p>
        </w:tc>
        <w:tc>
          <w:tcPr>
            <w:tcW w:w="200" w:type="dxa"/>
            <w:vAlign w:val="bottom"/>
            <w:tcBorders>
              <w:bottom w:val="single" w:sz="8" w:color="CCEEFF"/>
            </w:tcBorders>
          </w:tcPr>
          <w:p>
            <w:pPr>
              <w:spacing w:after="0"/>
              <w:rPr>
                <w:sz w:val="17"/>
                <w:szCs w:val="17"/>
                <w:color w:val="auto"/>
              </w:rPr>
            </w:pPr>
          </w:p>
        </w:tc>
        <w:tc>
          <w:tcPr>
            <w:tcW w:w="1180" w:type="dxa"/>
            <w:vAlign w:val="bottom"/>
            <w:tcBorders>
              <w:bottom w:val="single" w:sz="8" w:color="auto"/>
            </w:tcBorders>
          </w:tcPr>
          <w:p>
            <w:pPr>
              <w:jc w:val="right"/>
              <w:ind w:right="104"/>
              <w:spacing w:after="0"/>
              <w:rPr>
                <w:sz w:val="20"/>
                <w:szCs w:val="20"/>
                <w:color w:val="auto"/>
              </w:rPr>
            </w:pPr>
            <w:r>
              <w:rPr>
                <w:rFonts w:ascii="Arial" w:cs="Arial" w:eastAsia="Arial" w:hAnsi="Arial"/>
                <w:sz w:val="15"/>
                <w:szCs w:val="15"/>
                <w:b w:val="1"/>
                <w:bCs w:val="1"/>
                <w:color w:val="auto"/>
              </w:rPr>
              <w:t>Record Date</w:t>
            </w:r>
          </w:p>
        </w:tc>
        <w:tc>
          <w:tcPr>
            <w:tcW w:w="220" w:type="dxa"/>
            <w:vAlign w:val="bottom"/>
            <w:tcBorders>
              <w:bottom w:val="single" w:sz="8" w:color="CCEEFF"/>
            </w:tcBorders>
          </w:tcPr>
          <w:p>
            <w:pPr>
              <w:spacing w:after="0"/>
              <w:rPr>
                <w:sz w:val="17"/>
                <w:szCs w:val="17"/>
                <w:color w:val="auto"/>
              </w:rPr>
            </w:pPr>
          </w:p>
        </w:tc>
        <w:tc>
          <w:tcPr>
            <w:tcW w:w="118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b w:val="1"/>
                <w:bCs w:val="1"/>
                <w:color w:val="auto"/>
              </w:rPr>
              <w:t>Payment Date</w:t>
            </w:r>
          </w:p>
        </w:tc>
        <w:tc>
          <w:tcPr>
            <w:tcW w:w="2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center"/>
              <w:ind w:right="164"/>
              <w:spacing w:after="0"/>
              <w:rPr>
                <w:sz w:val="20"/>
                <w:szCs w:val="20"/>
                <w:color w:val="auto"/>
              </w:rPr>
            </w:pPr>
            <w:r>
              <w:rPr>
                <w:rFonts w:ascii="Arial" w:cs="Arial" w:eastAsia="Arial" w:hAnsi="Arial"/>
                <w:sz w:val="15"/>
                <w:szCs w:val="15"/>
                <w:b w:val="1"/>
                <w:bCs w:val="1"/>
                <w:color w:val="auto"/>
                <w:w w:val="91"/>
              </w:rPr>
              <w:t>Share</w:t>
            </w:r>
          </w:p>
        </w:tc>
        <w:tc>
          <w:tcPr>
            <w:tcW w:w="2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center"/>
              <w:ind w:right="64"/>
              <w:spacing w:after="0"/>
              <w:rPr>
                <w:sz w:val="20"/>
                <w:szCs w:val="20"/>
                <w:color w:val="auto"/>
              </w:rPr>
            </w:pPr>
            <w:r>
              <w:rPr>
                <w:rFonts w:ascii="Arial" w:cs="Arial" w:eastAsia="Arial" w:hAnsi="Arial"/>
                <w:sz w:val="15"/>
                <w:szCs w:val="15"/>
                <w:b w:val="1"/>
                <w:bCs w:val="1"/>
                <w:color w:val="auto"/>
                <w:w w:val="88"/>
              </w:rPr>
              <w:t>(thousands)</w:t>
            </w:r>
          </w:p>
        </w:tc>
      </w:tr>
      <w:tr>
        <w:trPr>
          <w:trHeight w:val="213"/>
        </w:trPr>
        <w:tc>
          <w:tcPr>
            <w:tcW w:w="582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Common Stock, Common OP units and Restricted Stock</w:t>
            </w: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6/30/2020</w:t>
            </w: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7/15/2020</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w w:val="95"/>
              </w:rPr>
              <w:t>$</w:t>
            </w:r>
          </w:p>
        </w:tc>
        <w:tc>
          <w:tcPr>
            <w:tcW w:w="94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rPr>
              <w:t>0.79</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6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rPr>
              <w:t>79,593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23" w:name="page24"/>
    <w:bookmarkEnd w:id="23"/>
    <w:p>
      <w:pPr>
        <w:jc w:val="center"/>
        <w:spacing w:after="0"/>
        <w:rPr>
          <w:sz w:val="20"/>
          <w:szCs w:val="20"/>
          <w:color w:val="auto"/>
        </w:rPr>
      </w:pPr>
      <w:r>
        <w:rPr>
          <w:rFonts w:ascii="Arial" w:cs="Arial" w:eastAsia="Arial" w:hAnsi="Arial"/>
          <w:sz w:val="16"/>
          <w:szCs w:val="16"/>
          <w:b w:val="1"/>
          <w:bCs w:val="1"/>
          <w:color w:val="auto"/>
        </w:rPr>
        <w:t>SUN COMMUNITIES, INC.</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 -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500" w:hanging="492"/>
        <w:spacing w:after="0"/>
        <w:tabs>
          <w:tab w:leader="none" w:pos="50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Share-Based Compensation</w:t>
      </w:r>
    </w:p>
    <w:p>
      <w:pPr>
        <w:spacing w:after="0" w:line="256"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As of June 30, 2020, we had two share-based compensation plans: the Sun Communities, Inc. 2015 Equity Incentive Plan (“2015 Equity Incentive Plan”) and the First Amended and Restated 2004 Non-Employee Director Option Plan (“2004 Non-Employee Director Option Plan”). We believe granting equity awards will provide certain executives, key employees and directors additional incentives to promote our financial success and promote employee and director retention by providing an opportunity to acquire or increase the direct proprietary interest of those individuals in our operations and future.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During the six months ended June 30, 2020 and 2019, shares were granted as follows: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jc w:val="center"/>
              <w:ind w:right="69"/>
              <w:spacing w:after="0"/>
              <w:rPr>
                <w:sz w:val="20"/>
                <w:szCs w:val="20"/>
                <w:color w:val="auto"/>
              </w:rPr>
            </w:pPr>
            <w:r>
              <w:rPr>
                <w:rFonts w:ascii="Arial" w:cs="Arial" w:eastAsia="Arial" w:hAnsi="Arial"/>
                <w:sz w:val="15"/>
                <w:szCs w:val="15"/>
                <w:b w:val="1"/>
                <w:bCs w:val="1"/>
                <w:color w:val="auto"/>
                <w:w w:val="96"/>
              </w:rPr>
              <w:t>Grant Date</w:t>
            </w:r>
          </w:p>
        </w:tc>
        <w:tc>
          <w:tcPr>
            <w:tcW w:w="2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jc w:val="right"/>
              <w:ind w:right="169"/>
              <w:spacing w:after="0" w:line="162" w:lineRule="exact"/>
              <w:rPr>
                <w:sz w:val="20"/>
                <w:szCs w:val="20"/>
                <w:color w:val="auto"/>
              </w:rPr>
            </w:pPr>
            <w:r>
              <w:rPr>
                <w:rFonts w:ascii="Arial" w:cs="Arial" w:eastAsia="Arial" w:hAnsi="Arial"/>
                <w:sz w:val="15"/>
                <w:szCs w:val="15"/>
                <w:b w:val="1"/>
                <w:bCs w:val="1"/>
                <w:color w:val="auto"/>
              </w:rPr>
              <w:t>Shares</w:t>
            </w:r>
          </w:p>
        </w:tc>
        <w:tc>
          <w:tcPr>
            <w:tcW w:w="280" w:type="dxa"/>
            <w:vAlign w:val="bottom"/>
          </w:tcPr>
          <w:p>
            <w:pPr>
              <w:spacing w:after="0"/>
              <w:rPr>
                <w:sz w:val="14"/>
                <w:szCs w:val="14"/>
                <w:color w:val="auto"/>
              </w:rPr>
            </w:pPr>
          </w:p>
        </w:tc>
        <w:tc>
          <w:tcPr>
            <w:tcW w:w="1100" w:type="dxa"/>
            <w:vAlign w:val="bottom"/>
            <w:gridSpan w:val="2"/>
          </w:tcPr>
          <w:p>
            <w:pPr>
              <w:jc w:val="center"/>
              <w:spacing w:after="0" w:line="162" w:lineRule="exact"/>
              <w:rPr>
                <w:sz w:val="20"/>
                <w:szCs w:val="20"/>
                <w:color w:val="auto"/>
              </w:rPr>
            </w:pPr>
            <w:r>
              <w:rPr>
                <w:rFonts w:ascii="Arial" w:cs="Arial" w:eastAsia="Arial" w:hAnsi="Arial"/>
                <w:sz w:val="15"/>
                <w:szCs w:val="15"/>
                <w:b w:val="1"/>
                <w:bCs w:val="1"/>
                <w:color w:val="auto"/>
                <w:w w:val="93"/>
              </w:rPr>
              <w:t>Fair Value Per</w:t>
            </w:r>
          </w:p>
        </w:tc>
        <w:tc>
          <w:tcPr>
            <w:tcW w:w="2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Pr>
          <w:p>
            <w:pPr>
              <w:jc w:val="center"/>
              <w:spacing w:after="0" w:line="162" w:lineRule="exact"/>
              <w:rPr>
                <w:sz w:val="20"/>
                <w:szCs w:val="20"/>
                <w:color w:val="auto"/>
              </w:rPr>
            </w:pPr>
            <w:r>
              <w:rPr>
                <w:rFonts w:ascii="Arial" w:cs="Arial" w:eastAsia="Arial" w:hAnsi="Arial"/>
                <w:sz w:val="15"/>
                <w:szCs w:val="15"/>
                <w:b w:val="1"/>
                <w:bCs w:val="1"/>
                <w:color w:val="auto"/>
                <w:w w:val="88"/>
              </w:rPr>
              <w:t>Vesting</w:t>
            </w: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4"/>
              </w:rPr>
              <w:t>Grant Period</w:t>
            </w:r>
          </w:p>
        </w:tc>
        <w:tc>
          <w:tcPr>
            <w:tcW w:w="120" w:type="dxa"/>
            <w:vAlign w:val="bottom"/>
            <w:tcBorders>
              <w:bottom w:val="single" w:sz="8" w:color="CCEEFF"/>
            </w:tcBorders>
          </w:tcPr>
          <w:p>
            <w:pPr>
              <w:spacing w:after="0"/>
              <w:rPr>
                <w:sz w:val="17"/>
                <w:szCs w:val="17"/>
                <w:color w:val="auto"/>
              </w:rPr>
            </w:pPr>
          </w:p>
        </w:tc>
        <w:tc>
          <w:tcPr>
            <w:tcW w:w="1400" w:type="dxa"/>
            <w:vAlign w:val="bottom"/>
            <w:tcBorders>
              <w:bottom w:val="single" w:sz="8" w:color="auto"/>
            </w:tcBorders>
          </w:tcPr>
          <w:p>
            <w:pPr>
              <w:ind w:left="540"/>
              <w:spacing w:after="0"/>
              <w:rPr>
                <w:sz w:val="20"/>
                <w:szCs w:val="20"/>
                <w:color w:val="auto"/>
              </w:rPr>
            </w:pPr>
            <w:r>
              <w:rPr>
                <w:rFonts w:ascii="Arial" w:cs="Arial" w:eastAsia="Arial" w:hAnsi="Arial"/>
                <w:sz w:val="15"/>
                <w:szCs w:val="15"/>
                <w:b w:val="1"/>
                <w:bCs w:val="1"/>
                <w:color w:val="auto"/>
              </w:rPr>
              <w:t>Type</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820" w:type="dxa"/>
            <w:vAlign w:val="bottom"/>
            <w:tcBorders>
              <w:bottom w:val="single" w:sz="8" w:color="auto"/>
            </w:tcBorders>
          </w:tcPr>
          <w:p>
            <w:pPr>
              <w:ind w:left="600"/>
              <w:spacing w:after="0"/>
              <w:rPr>
                <w:sz w:val="20"/>
                <w:szCs w:val="20"/>
                <w:color w:val="auto"/>
              </w:rPr>
            </w:pPr>
            <w:r>
              <w:rPr>
                <w:rFonts w:ascii="Arial" w:cs="Arial" w:eastAsia="Arial" w:hAnsi="Arial"/>
                <w:sz w:val="15"/>
                <w:szCs w:val="15"/>
                <w:b w:val="1"/>
                <w:bCs w:val="1"/>
                <w:color w:val="auto"/>
              </w:rPr>
              <w:t>Plan</w:t>
            </w:r>
          </w:p>
        </w:tc>
        <w:tc>
          <w:tcPr>
            <w:tcW w:w="120" w:type="dxa"/>
            <w:vAlign w:val="bottom"/>
            <w:tcBorders>
              <w:bottom w:val="single" w:sz="8" w:color="CCEEFF"/>
            </w:tcBorders>
          </w:tcPr>
          <w:p>
            <w:pPr>
              <w:spacing w:after="0"/>
              <w:rPr>
                <w:sz w:val="17"/>
                <w:szCs w:val="17"/>
                <w:color w:val="auto"/>
              </w:rPr>
            </w:pPr>
          </w:p>
        </w:tc>
        <w:tc>
          <w:tcPr>
            <w:tcW w:w="900" w:type="dxa"/>
            <w:vAlign w:val="bottom"/>
            <w:tcBorders>
              <w:bottom w:val="single" w:sz="8" w:color="auto"/>
            </w:tcBorders>
          </w:tcPr>
          <w:p>
            <w:pPr>
              <w:jc w:val="right"/>
              <w:ind w:right="109"/>
              <w:spacing w:after="0"/>
              <w:rPr>
                <w:sz w:val="20"/>
                <w:szCs w:val="20"/>
                <w:color w:val="auto"/>
              </w:rPr>
            </w:pPr>
            <w:r>
              <w:rPr>
                <w:rFonts w:ascii="Arial" w:cs="Arial" w:eastAsia="Arial" w:hAnsi="Arial"/>
                <w:sz w:val="15"/>
                <w:szCs w:val="15"/>
                <w:b w:val="1"/>
                <w:bCs w:val="1"/>
                <w:color w:val="auto"/>
              </w:rPr>
              <w:t>Granted</w:t>
            </w:r>
          </w:p>
        </w:tc>
        <w:tc>
          <w:tcPr>
            <w:tcW w:w="2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center"/>
              <w:ind w:right="69"/>
              <w:spacing w:after="0"/>
              <w:rPr>
                <w:sz w:val="20"/>
                <w:szCs w:val="20"/>
                <w:color w:val="auto"/>
              </w:rPr>
            </w:pPr>
            <w:r>
              <w:rPr>
                <w:rFonts w:ascii="Arial" w:cs="Arial" w:eastAsia="Arial" w:hAnsi="Arial"/>
                <w:sz w:val="15"/>
                <w:szCs w:val="15"/>
                <w:b w:val="1"/>
                <w:bCs w:val="1"/>
                <w:color w:val="auto"/>
                <w:w w:val="91"/>
              </w:rPr>
              <w:t>Share</w:t>
            </w:r>
          </w:p>
        </w:tc>
        <w:tc>
          <w:tcPr>
            <w:tcW w:w="280" w:type="dxa"/>
            <w:vAlign w:val="bottom"/>
            <w:tcBorders>
              <w:bottom w:val="single" w:sz="8" w:color="CCEEFF"/>
            </w:tcBorders>
          </w:tcPr>
          <w:p>
            <w:pPr>
              <w:spacing w:after="0"/>
              <w:rPr>
                <w:sz w:val="17"/>
                <w:szCs w:val="17"/>
                <w:color w:val="auto"/>
              </w:rPr>
            </w:pPr>
          </w:p>
        </w:tc>
        <w:tc>
          <w:tcPr>
            <w:tcW w:w="1420" w:type="dxa"/>
            <w:vAlign w:val="bottom"/>
            <w:tcBorders>
              <w:bottom w:val="single" w:sz="8" w:color="auto"/>
            </w:tcBorders>
          </w:tcPr>
          <w:p>
            <w:pPr>
              <w:ind w:left="280"/>
              <w:spacing w:after="0"/>
              <w:rPr>
                <w:sz w:val="20"/>
                <w:szCs w:val="20"/>
                <w:color w:val="auto"/>
              </w:rPr>
            </w:pPr>
            <w:r>
              <w:rPr>
                <w:rFonts w:ascii="Arial" w:cs="Arial" w:eastAsia="Arial" w:hAnsi="Arial"/>
                <w:sz w:val="15"/>
                <w:szCs w:val="15"/>
                <w:b w:val="1"/>
                <w:bCs w:val="1"/>
                <w:color w:val="auto"/>
              </w:rPr>
              <w:t>Vesting Type</w:t>
            </w:r>
          </w:p>
        </w:tc>
        <w:tc>
          <w:tcPr>
            <w:tcW w:w="140" w:type="dxa"/>
            <w:vAlign w:val="bottom"/>
            <w:tcBorders>
              <w:bottom w:val="single" w:sz="8" w:color="CCEEFF"/>
            </w:tcBorders>
          </w:tcPr>
          <w:p>
            <w:pPr>
              <w:spacing w:after="0"/>
              <w:rPr>
                <w:sz w:val="17"/>
                <w:szCs w:val="17"/>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4"/>
              </w:rPr>
              <w:t>Anniversary</w:t>
            </w:r>
          </w:p>
        </w:tc>
        <w:tc>
          <w:tcPr>
            <w:tcW w:w="110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b w:val="1"/>
                <w:bCs w:val="1"/>
                <w:color w:val="auto"/>
              </w:rPr>
              <w:t>Percentage</w:t>
            </w:r>
          </w:p>
        </w:tc>
        <w:tc>
          <w:tcPr>
            <w:tcW w:w="0" w:type="dxa"/>
            <w:vAlign w:val="bottom"/>
          </w:tcPr>
          <w:p>
            <w:pPr>
              <w:spacing w:after="0"/>
              <w:rPr>
                <w:sz w:val="1"/>
                <w:szCs w:val="1"/>
                <w:color w:val="auto"/>
              </w:rPr>
            </w:pPr>
          </w:p>
        </w:tc>
      </w:tr>
      <w:tr>
        <w:trPr>
          <w:trHeight w:val="122"/>
        </w:trPr>
        <w:tc>
          <w:tcPr>
            <w:tcW w:w="960" w:type="dxa"/>
            <w:vAlign w:val="bottom"/>
            <w:vMerge w:val="restart"/>
            <w:shd w:val="clear" w:color="auto" w:fill="CCEEFF"/>
          </w:tcPr>
          <w:p>
            <w:pPr>
              <w:jc w:val="center"/>
              <w:spacing w:after="0"/>
              <w:rPr>
                <w:sz w:val="20"/>
                <w:szCs w:val="20"/>
                <w:color w:val="auto"/>
              </w:rPr>
            </w:pPr>
            <w:r>
              <w:rPr>
                <w:rFonts w:ascii="Arial" w:cs="Arial" w:eastAsia="Arial" w:hAnsi="Arial"/>
                <w:sz w:val="15"/>
                <w:szCs w:val="15"/>
                <w:color w:val="auto"/>
                <w:w w:val="89"/>
              </w:rPr>
              <w:t>2020</w:t>
            </w:r>
          </w:p>
        </w:tc>
        <w:tc>
          <w:tcPr>
            <w:tcW w:w="120" w:type="dxa"/>
            <w:vAlign w:val="bottom"/>
            <w:shd w:val="clear" w:color="auto" w:fill="CCEEFF"/>
          </w:tcPr>
          <w:p>
            <w:pPr>
              <w:spacing w:after="0"/>
              <w:rPr>
                <w:sz w:val="10"/>
                <w:szCs w:val="10"/>
                <w:color w:val="auto"/>
              </w:rPr>
            </w:pPr>
          </w:p>
        </w:tc>
        <w:tc>
          <w:tcPr>
            <w:tcW w:w="1500" w:type="dxa"/>
            <w:vAlign w:val="bottom"/>
            <w:gridSpan w:val="2"/>
            <w:vMerge w:val="restart"/>
            <w:shd w:val="clear" w:color="auto" w:fill="CCEEFF"/>
          </w:tcPr>
          <w:p>
            <w:pPr>
              <w:ind w:left="20"/>
              <w:spacing w:after="0"/>
              <w:rPr>
                <w:sz w:val="20"/>
                <w:szCs w:val="20"/>
                <w:color w:val="auto"/>
              </w:rPr>
            </w:pPr>
            <w:r>
              <w:rPr>
                <w:rFonts w:ascii="Arial" w:cs="Arial" w:eastAsia="Arial" w:hAnsi="Arial"/>
                <w:sz w:val="15"/>
                <w:szCs w:val="15"/>
                <w:color w:val="auto"/>
              </w:rPr>
              <w:t>Key Employees</w:t>
            </w:r>
          </w:p>
        </w:tc>
        <w:tc>
          <w:tcPr>
            <w:tcW w:w="340" w:type="dxa"/>
            <w:vAlign w:val="bottom"/>
            <w:vMerge w:val="restart"/>
            <w:shd w:val="clear" w:color="auto" w:fill="CCEEFF"/>
          </w:tcPr>
          <w:p>
            <w:pPr>
              <w:ind w:left="20"/>
              <w:spacing w:after="0"/>
              <w:rPr>
                <w:sz w:val="20"/>
                <w:szCs w:val="20"/>
                <w:color w:val="auto"/>
              </w:rPr>
            </w:pPr>
            <w:r>
              <w:rPr>
                <w:rFonts w:ascii="Arial" w:cs="Arial" w:eastAsia="Arial" w:hAnsi="Arial"/>
                <w:sz w:val="15"/>
                <w:szCs w:val="15"/>
                <w:color w:val="auto"/>
                <w:w w:val="89"/>
              </w:rPr>
              <w:t>2015</w:t>
            </w:r>
          </w:p>
        </w:tc>
        <w:tc>
          <w:tcPr>
            <w:tcW w:w="1940" w:type="dxa"/>
            <w:vAlign w:val="bottom"/>
            <w:gridSpan w:val="2"/>
            <w:vMerge w:val="restart"/>
            <w:shd w:val="clear" w:color="auto" w:fill="CCEEFF"/>
          </w:tcPr>
          <w:p>
            <w:pPr>
              <w:ind w:left="20"/>
              <w:spacing w:after="0"/>
              <w:rPr>
                <w:sz w:val="20"/>
                <w:szCs w:val="20"/>
                <w:color w:val="auto"/>
              </w:rPr>
            </w:pPr>
            <w:r>
              <w:rPr>
                <w:rFonts w:ascii="Arial" w:cs="Arial" w:eastAsia="Arial" w:hAnsi="Arial"/>
                <w:sz w:val="15"/>
                <w:szCs w:val="15"/>
                <w:color w:val="auto"/>
              </w:rPr>
              <w:t>Equity Incentive Plan</w:t>
            </w:r>
          </w:p>
        </w:tc>
        <w:tc>
          <w:tcPr>
            <w:tcW w:w="900" w:type="dxa"/>
            <w:vAlign w:val="bottom"/>
            <w:vMerge w:val="restart"/>
            <w:shd w:val="clear" w:color="auto" w:fill="CCEEFF"/>
          </w:tcPr>
          <w:p>
            <w:pPr>
              <w:jc w:val="right"/>
              <w:ind w:right="69"/>
              <w:spacing w:after="0"/>
              <w:rPr>
                <w:sz w:val="20"/>
                <w:szCs w:val="20"/>
                <w:color w:val="auto"/>
              </w:rPr>
            </w:pPr>
            <w:r>
              <w:rPr>
                <w:rFonts w:ascii="Arial" w:cs="Arial" w:eastAsia="Arial" w:hAnsi="Arial"/>
                <w:sz w:val="15"/>
                <w:szCs w:val="15"/>
                <w:color w:val="auto"/>
              </w:rPr>
              <w:t>500</w:t>
            </w:r>
          </w:p>
        </w:tc>
        <w:tc>
          <w:tcPr>
            <w:tcW w:w="280" w:type="dxa"/>
            <w:vAlign w:val="bottom"/>
            <w:shd w:val="clear" w:color="auto" w:fill="CCEEFF"/>
          </w:tcPr>
          <w:p>
            <w:pPr>
              <w:spacing w:after="0"/>
              <w:rPr>
                <w:sz w:val="10"/>
                <w:szCs w:val="10"/>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960" w:type="dxa"/>
            <w:vAlign w:val="bottom"/>
            <w:vMerge w:val="restart"/>
            <w:shd w:val="clear" w:color="auto" w:fill="CCEEFF"/>
          </w:tcPr>
          <w:p>
            <w:pPr>
              <w:jc w:val="right"/>
              <w:ind w:right="89"/>
              <w:spacing w:after="0"/>
              <w:rPr>
                <w:sz w:val="20"/>
                <w:szCs w:val="20"/>
                <w:color w:val="auto"/>
              </w:rPr>
            </w:pPr>
            <w:r>
              <w:rPr>
                <w:rFonts w:ascii="Arial" w:cs="Arial" w:eastAsia="Arial" w:hAnsi="Arial"/>
                <w:sz w:val="15"/>
                <w:szCs w:val="15"/>
                <w:color w:val="auto"/>
              </w:rPr>
              <w:t>137.19</w:t>
            </w:r>
          </w:p>
        </w:tc>
        <w:tc>
          <w:tcPr>
            <w:tcW w:w="280" w:type="dxa"/>
            <w:vAlign w:val="bottom"/>
            <w:shd w:val="clear" w:color="auto" w:fill="CCEEFF"/>
          </w:tcPr>
          <w:p>
            <w:pPr>
              <w:ind w:left="20"/>
              <w:spacing w:after="0"/>
              <w:rPr>
                <w:sz w:val="20"/>
                <w:szCs w:val="20"/>
                <w:color w:val="auto"/>
              </w:rPr>
            </w:pPr>
            <w:r>
              <w:rPr>
                <w:rFonts w:ascii="Arial" w:cs="Arial" w:eastAsia="Arial" w:hAnsi="Arial"/>
                <w:sz w:val="10"/>
                <w:szCs w:val="10"/>
                <w:color w:val="auto"/>
              </w:rPr>
              <w:t>(1)</w:t>
            </w:r>
          </w:p>
        </w:tc>
        <w:tc>
          <w:tcPr>
            <w:tcW w:w="1560" w:type="dxa"/>
            <w:vAlign w:val="bottom"/>
            <w:gridSpan w:val="2"/>
            <w:vMerge w:val="restart"/>
            <w:shd w:val="clear" w:color="auto" w:fill="CCEEFF"/>
          </w:tcPr>
          <w:p>
            <w:pPr>
              <w:ind w:left="20"/>
              <w:spacing w:after="0"/>
              <w:rPr>
                <w:sz w:val="20"/>
                <w:szCs w:val="20"/>
                <w:color w:val="auto"/>
              </w:rPr>
            </w:pPr>
            <w:r>
              <w:rPr>
                <w:rFonts w:ascii="Arial" w:cs="Arial" w:eastAsia="Arial" w:hAnsi="Arial"/>
                <w:sz w:val="15"/>
                <w:szCs w:val="15"/>
                <w:color w:val="auto"/>
              </w:rPr>
              <w:t>Time Based</w:t>
            </w:r>
          </w:p>
        </w:tc>
        <w:tc>
          <w:tcPr>
            <w:tcW w:w="2260" w:type="dxa"/>
            <w:vAlign w:val="bottom"/>
            <w:gridSpan w:val="2"/>
            <w:vMerge w:val="restart"/>
            <w:shd w:val="clear" w:color="auto" w:fill="CCEEFF"/>
          </w:tcPr>
          <w:p>
            <w:pPr>
              <w:ind w:left="260"/>
              <w:spacing w:after="0"/>
              <w:rPr>
                <w:sz w:val="20"/>
                <w:szCs w:val="20"/>
                <w:color w:val="auto"/>
              </w:rPr>
            </w:pPr>
            <w:r>
              <w:rPr>
                <w:rFonts w:ascii="Arial" w:cs="Arial" w:eastAsia="Arial" w:hAnsi="Arial"/>
                <w:sz w:val="15"/>
                <w:szCs w:val="15"/>
                <w:color w:val="auto"/>
              </w:rPr>
              <w:t>20.0% annually over 5 years</w:t>
            </w:r>
          </w:p>
        </w:tc>
        <w:tc>
          <w:tcPr>
            <w:tcW w:w="0" w:type="dxa"/>
            <w:vAlign w:val="bottom"/>
          </w:tcPr>
          <w:p>
            <w:pPr>
              <w:spacing w:after="0"/>
              <w:rPr>
                <w:sz w:val="1"/>
                <w:szCs w:val="1"/>
                <w:color w:val="auto"/>
              </w:rPr>
            </w:pPr>
          </w:p>
        </w:tc>
      </w:tr>
      <w:tr>
        <w:trPr>
          <w:trHeight w:val="92"/>
        </w:trPr>
        <w:tc>
          <w:tcPr>
            <w:tcW w:w="960" w:type="dxa"/>
            <w:vAlign w:val="bottom"/>
            <w:vMerge w:val="continue"/>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500" w:type="dxa"/>
            <w:vAlign w:val="bottom"/>
            <w:gridSpan w:val="2"/>
            <w:vMerge w:val="continue"/>
            <w:shd w:val="clear" w:color="auto" w:fill="CCEEFF"/>
          </w:tcPr>
          <w:p>
            <w:pPr>
              <w:spacing w:after="0"/>
              <w:rPr>
                <w:sz w:val="7"/>
                <w:szCs w:val="7"/>
                <w:color w:val="auto"/>
              </w:rPr>
            </w:pPr>
          </w:p>
        </w:tc>
        <w:tc>
          <w:tcPr>
            <w:tcW w:w="340" w:type="dxa"/>
            <w:vAlign w:val="bottom"/>
            <w:vMerge w:val="continue"/>
            <w:shd w:val="clear" w:color="auto" w:fill="CCEEFF"/>
          </w:tcPr>
          <w:p>
            <w:pPr>
              <w:spacing w:after="0"/>
              <w:rPr>
                <w:sz w:val="7"/>
                <w:szCs w:val="7"/>
                <w:color w:val="auto"/>
              </w:rPr>
            </w:pPr>
          </w:p>
        </w:tc>
        <w:tc>
          <w:tcPr>
            <w:tcW w:w="1940" w:type="dxa"/>
            <w:vAlign w:val="bottom"/>
            <w:gridSpan w:val="2"/>
            <w:vMerge w:val="continue"/>
            <w:shd w:val="clear" w:color="auto" w:fill="CCEEFF"/>
          </w:tcPr>
          <w:p>
            <w:pPr>
              <w:spacing w:after="0"/>
              <w:rPr>
                <w:sz w:val="7"/>
                <w:szCs w:val="7"/>
                <w:color w:val="auto"/>
              </w:rPr>
            </w:pPr>
          </w:p>
        </w:tc>
        <w:tc>
          <w:tcPr>
            <w:tcW w:w="900" w:type="dxa"/>
            <w:vAlign w:val="bottom"/>
            <w:vMerge w:val="continue"/>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140" w:type="dxa"/>
            <w:vAlign w:val="bottom"/>
            <w:vMerge w:val="continue"/>
            <w:shd w:val="clear" w:color="auto" w:fill="CCEEFF"/>
          </w:tcPr>
          <w:p>
            <w:pPr>
              <w:spacing w:after="0"/>
              <w:rPr>
                <w:sz w:val="7"/>
                <w:szCs w:val="7"/>
                <w:color w:val="auto"/>
              </w:rPr>
            </w:pPr>
          </w:p>
        </w:tc>
        <w:tc>
          <w:tcPr>
            <w:tcW w:w="960" w:type="dxa"/>
            <w:vAlign w:val="bottom"/>
            <w:vMerge w:val="continue"/>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1560" w:type="dxa"/>
            <w:vAlign w:val="bottom"/>
            <w:gridSpan w:val="2"/>
            <w:vMerge w:val="continue"/>
            <w:shd w:val="clear" w:color="auto" w:fill="CCEEFF"/>
          </w:tcPr>
          <w:p>
            <w:pPr>
              <w:spacing w:after="0"/>
              <w:rPr>
                <w:sz w:val="7"/>
                <w:szCs w:val="7"/>
                <w:color w:val="auto"/>
              </w:rPr>
            </w:pPr>
          </w:p>
        </w:tc>
        <w:tc>
          <w:tcPr>
            <w:tcW w:w="2260" w:type="dxa"/>
            <w:vAlign w:val="bottom"/>
            <w:gridSpan w:val="2"/>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960" w:type="dxa"/>
            <w:vAlign w:val="bottom"/>
          </w:tcPr>
          <w:p>
            <w:pPr>
              <w:jc w:val="center"/>
              <w:spacing w:after="0" w:line="108" w:lineRule="exact"/>
              <w:rPr>
                <w:sz w:val="20"/>
                <w:szCs w:val="20"/>
                <w:color w:val="auto"/>
              </w:rPr>
            </w:pPr>
            <w:r>
              <w:rPr>
                <w:rFonts w:ascii="Arial" w:cs="Arial" w:eastAsia="Arial" w:hAnsi="Arial"/>
                <w:sz w:val="12"/>
                <w:szCs w:val="12"/>
                <w:color w:val="auto"/>
              </w:rPr>
              <w:t>2020</w:t>
            </w:r>
          </w:p>
        </w:tc>
        <w:tc>
          <w:tcPr>
            <w:tcW w:w="120" w:type="dxa"/>
            <w:vAlign w:val="bottom"/>
          </w:tcPr>
          <w:p>
            <w:pPr>
              <w:spacing w:after="0"/>
              <w:rPr>
                <w:sz w:val="9"/>
                <w:szCs w:val="9"/>
                <w:color w:val="auto"/>
              </w:rPr>
            </w:pPr>
          </w:p>
        </w:tc>
        <w:tc>
          <w:tcPr>
            <w:tcW w:w="1500" w:type="dxa"/>
            <w:vAlign w:val="bottom"/>
            <w:gridSpan w:val="2"/>
          </w:tcPr>
          <w:p>
            <w:pPr>
              <w:ind w:left="20"/>
              <w:spacing w:after="0" w:line="108" w:lineRule="exact"/>
              <w:rPr>
                <w:sz w:val="20"/>
                <w:szCs w:val="20"/>
                <w:color w:val="auto"/>
              </w:rPr>
            </w:pPr>
            <w:r>
              <w:rPr>
                <w:rFonts w:ascii="Arial" w:cs="Arial" w:eastAsia="Arial" w:hAnsi="Arial"/>
                <w:sz w:val="12"/>
                <w:szCs w:val="12"/>
                <w:color w:val="auto"/>
              </w:rPr>
              <w:t>Key Employees</w:t>
            </w:r>
          </w:p>
        </w:tc>
        <w:tc>
          <w:tcPr>
            <w:tcW w:w="340" w:type="dxa"/>
            <w:vAlign w:val="bottom"/>
          </w:tcPr>
          <w:p>
            <w:pPr>
              <w:ind w:left="20"/>
              <w:spacing w:after="0" w:line="108" w:lineRule="exact"/>
              <w:rPr>
                <w:sz w:val="20"/>
                <w:szCs w:val="20"/>
                <w:color w:val="auto"/>
              </w:rPr>
            </w:pPr>
            <w:r>
              <w:rPr>
                <w:rFonts w:ascii="Arial" w:cs="Arial" w:eastAsia="Arial" w:hAnsi="Arial"/>
                <w:sz w:val="12"/>
                <w:szCs w:val="12"/>
                <w:color w:val="auto"/>
              </w:rPr>
              <w:t>2015</w:t>
            </w:r>
          </w:p>
        </w:tc>
        <w:tc>
          <w:tcPr>
            <w:tcW w:w="1940" w:type="dxa"/>
            <w:vAlign w:val="bottom"/>
            <w:gridSpan w:val="2"/>
          </w:tcPr>
          <w:p>
            <w:pPr>
              <w:ind w:left="20"/>
              <w:spacing w:after="0" w:line="108" w:lineRule="exact"/>
              <w:rPr>
                <w:sz w:val="20"/>
                <w:szCs w:val="20"/>
                <w:color w:val="auto"/>
              </w:rPr>
            </w:pPr>
            <w:r>
              <w:rPr>
                <w:rFonts w:ascii="Arial" w:cs="Arial" w:eastAsia="Arial" w:hAnsi="Arial"/>
                <w:sz w:val="12"/>
                <w:szCs w:val="12"/>
                <w:color w:val="auto"/>
              </w:rPr>
              <w:t>Equity Incentive Plan</w:t>
            </w:r>
          </w:p>
        </w:tc>
        <w:tc>
          <w:tcPr>
            <w:tcW w:w="900" w:type="dxa"/>
            <w:vAlign w:val="bottom"/>
          </w:tcPr>
          <w:p>
            <w:pPr>
              <w:jc w:val="right"/>
              <w:ind w:right="69"/>
              <w:spacing w:after="0" w:line="108" w:lineRule="exact"/>
              <w:rPr>
                <w:sz w:val="20"/>
                <w:szCs w:val="20"/>
                <w:color w:val="auto"/>
              </w:rPr>
            </w:pPr>
            <w:r>
              <w:rPr>
                <w:rFonts w:ascii="Arial" w:cs="Arial" w:eastAsia="Arial" w:hAnsi="Arial"/>
                <w:sz w:val="12"/>
                <w:szCs w:val="12"/>
                <w:color w:val="auto"/>
              </w:rPr>
              <w:t>51,790</w:t>
            </w:r>
          </w:p>
        </w:tc>
        <w:tc>
          <w:tcPr>
            <w:tcW w:w="280" w:type="dxa"/>
            <w:vAlign w:val="bottom"/>
          </w:tcPr>
          <w:p>
            <w:pPr>
              <w:spacing w:after="0"/>
              <w:rPr>
                <w:sz w:val="9"/>
                <w:szCs w:val="9"/>
                <w:color w:val="auto"/>
              </w:rPr>
            </w:pPr>
          </w:p>
        </w:tc>
        <w:tc>
          <w:tcPr>
            <w:tcW w:w="140" w:type="dxa"/>
            <w:vAlign w:val="bottom"/>
          </w:tcPr>
          <w:p>
            <w:pPr>
              <w:jc w:val="right"/>
              <w:spacing w:after="0" w:line="108" w:lineRule="exact"/>
              <w:rPr>
                <w:sz w:val="20"/>
                <w:szCs w:val="20"/>
                <w:color w:val="auto"/>
              </w:rPr>
            </w:pPr>
            <w:r>
              <w:rPr>
                <w:rFonts w:ascii="Arial" w:cs="Arial" w:eastAsia="Arial" w:hAnsi="Arial"/>
                <w:sz w:val="12"/>
                <w:szCs w:val="12"/>
                <w:color w:val="auto"/>
              </w:rPr>
              <w:t>$</w:t>
            </w:r>
          </w:p>
        </w:tc>
        <w:tc>
          <w:tcPr>
            <w:tcW w:w="960" w:type="dxa"/>
            <w:vAlign w:val="bottom"/>
          </w:tcPr>
          <w:p>
            <w:pPr>
              <w:jc w:val="right"/>
              <w:ind w:right="89"/>
              <w:spacing w:after="0" w:line="108" w:lineRule="exact"/>
              <w:rPr>
                <w:sz w:val="20"/>
                <w:szCs w:val="20"/>
                <w:color w:val="auto"/>
              </w:rPr>
            </w:pPr>
            <w:r>
              <w:rPr>
                <w:rFonts w:ascii="Arial" w:cs="Arial" w:eastAsia="Arial" w:hAnsi="Arial"/>
                <w:sz w:val="12"/>
                <w:szCs w:val="12"/>
                <w:color w:val="auto"/>
              </w:rPr>
              <w:t>162.42</w:t>
            </w:r>
          </w:p>
        </w:tc>
        <w:tc>
          <w:tcPr>
            <w:tcW w:w="280" w:type="dxa"/>
            <w:vAlign w:val="bottom"/>
            <w:vMerge w:val="restart"/>
          </w:tcPr>
          <w:p>
            <w:pPr>
              <w:ind w:left="20"/>
              <w:spacing w:after="0"/>
              <w:rPr>
                <w:sz w:val="20"/>
                <w:szCs w:val="20"/>
                <w:color w:val="auto"/>
              </w:rPr>
            </w:pPr>
            <w:r>
              <w:rPr>
                <w:rFonts w:ascii="Arial" w:cs="Arial" w:eastAsia="Arial" w:hAnsi="Arial"/>
                <w:sz w:val="10"/>
                <w:szCs w:val="10"/>
                <w:color w:val="auto"/>
              </w:rPr>
              <w:t>(1)</w:t>
            </w:r>
          </w:p>
        </w:tc>
        <w:tc>
          <w:tcPr>
            <w:tcW w:w="1560" w:type="dxa"/>
            <w:vAlign w:val="bottom"/>
            <w:gridSpan w:val="2"/>
          </w:tcPr>
          <w:p>
            <w:pPr>
              <w:ind w:left="20"/>
              <w:spacing w:after="0" w:line="108" w:lineRule="exact"/>
              <w:rPr>
                <w:sz w:val="20"/>
                <w:szCs w:val="20"/>
                <w:color w:val="auto"/>
              </w:rPr>
            </w:pPr>
            <w:r>
              <w:rPr>
                <w:rFonts w:ascii="Arial" w:cs="Arial" w:eastAsia="Arial" w:hAnsi="Arial"/>
                <w:sz w:val="12"/>
                <w:szCs w:val="12"/>
                <w:color w:val="auto"/>
              </w:rPr>
              <w:t>Time Based</w:t>
            </w:r>
          </w:p>
        </w:tc>
        <w:tc>
          <w:tcPr>
            <w:tcW w:w="2260" w:type="dxa"/>
            <w:vAlign w:val="bottom"/>
            <w:gridSpan w:val="2"/>
          </w:tcPr>
          <w:p>
            <w:pPr>
              <w:ind w:left="260"/>
              <w:spacing w:after="0" w:line="108" w:lineRule="exact"/>
              <w:rPr>
                <w:sz w:val="20"/>
                <w:szCs w:val="20"/>
                <w:color w:val="auto"/>
              </w:rPr>
            </w:pPr>
            <w:r>
              <w:rPr>
                <w:rFonts w:ascii="Arial" w:cs="Arial" w:eastAsia="Arial" w:hAnsi="Arial"/>
                <w:sz w:val="12"/>
                <w:szCs w:val="12"/>
                <w:color w:val="auto"/>
              </w:rPr>
              <w:t>20.0% annually over 5 years</w:t>
            </w:r>
          </w:p>
        </w:tc>
        <w:tc>
          <w:tcPr>
            <w:tcW w:w="0" w:type="dxa"/>
            <w:vAlign w:val="bottom"/>
          </w:tcPr>
          <w:p>
            <w:pPr>
              <w:spacing w:after="0"/>
              <w:rPr>
                <w:sz w:val="1"/>
                <w:szCs w:val="1"/>
                <w:color w:val="auto"/>
              </w:rPr>
            </w:pPr>
          </w:p>
        </w:tc>
      </w:tr>
      <w:tr>
        <w:trPr>
          <w:trHeight w:val="30"/>
        </w:trPr>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80" w:type="dxa"/>
            <w:vAlign w:val="bottom"/>
            <w:vMerge w:val="continue"/>
          </w:tcPr>
          <w:p>
            <w:pPr>
              <w:spacing w:after="0"/>
              <w:rPr>
                <w:sz w:val="2"/>
                <w:szCs w:val="2"/>
                <w:color w:val="auto"/>
              </w:rPr>
            </w:pPr>
          </w:p>
        </w:tc>
        <w:tc>
          <w:tcPr>
            <w:tcW w:w="1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78"/>
        </w:trPr>
        <w:tc>
          <w:tcPr>
            <w:tcW w:w="9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0" w:type="dxa"/>
            <w:vAlign w:val="bottom"/>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20" w:type="dxa"/>
            <w:vAlign w:val="bottom"/>
          </w:tcPr>
          <w:p>
            <w:pPr>
              <w:spacing w:after="0"/>
              <w:rPr>
                <w:sz w:val="6"/>
                <w:szCs w:val="6"/>
                <w:color w:val="auto"/>
              </w:rPr>
            </w:pPr>
          </w:p>
        </w:tc>
        <w:tc>
          <w:tcPr>
            <w:tcW w:w="900" w:type="dxa"/>
            <w:vAlign w:val="bottom"/>
          </w:tcPr>
          <w:p>
            <w:pPr>
              <w:spacing w:after="0"/>
              <w:rPr>
                <w:sz w:val="6"/>
                <w:szCs w:val="6"/>
                <w:color w:val="auto"/>
              </w:rPr>
            </w:pPr>
          </w:p>
        </w:tc>
        <w:tc>
          <w:tcPr>
            <w:tcW w:w="280" w:type="dxa"/>
            <w:vAlign w:val="bottom"/>
          </w:tcPr>
          <w:p>
            <w:pPr>
              <w:spacing w:after="0"/>
              <w:rPr>
                <w:sz w:val="6"/>
                <w:szCs w:val="6"/>
                <w:color w:val="auto"/>
              </w:rPr>
            </w:pPr>
          </w:p>
        </w:tc>
        <w:tc>
          <w:tcPr>
            <w:tcW w:w="140" w:type="dxa"/>
            <w:vAlign w:val="bottom"/>
          </w:tcPr>
          <w:p>
            <w:pPr>
              <w:spacing w:after="0"/>
              <w:rPr>
                <w:sz w:val="6"/>
                <w:szCs w:val="6"/>
                <w:color w:val="auto"/>
              </w:rPr>
            </w:pPr>
          </w:p>
        </w:tc>
        <w:tc>
          <w:tcPr>
            <w:tcW w:w="960" w:type="dxa"/>
            <w:vAlign w:val="bottom"/>
          </w:tcPr>
          <w:p>
            <w:pPr>
              <w:spacing w:after="0"/>
              <w:rPr>
                <w:sz w:val="6"/>
                <w:szCs w:val="6"/>
                <w:color w:val="auto"/>
              </w:rPr>
            </w:pPr>
          </w:p>
        </w:tc>
        <w:tc>
          <w:tcPr>
            <w:tcW w:w="280" w:type="dxa"/>
            <w:vAlign w:val="bottom"/>
          </w:tcPr>
          <w:p>
            <w:pPr>
              <w:spacing w:after="0"/>
              <w:rPr>
                <w:sz w:val="6"/>
                <w:szCs w:val="6"/>
                <w:color w:val="auto"/>
              </w:rPr>
            </w:pPr>
          </w:p>
        </w:tc>
        <w:tc>
          <w:tcPr>
            <w:tcW w:w="1420" w:type="dxa"/>
            <w:vAlign w:val="bottom"/>
          </w:tcPr>
          <w:p>
            <w:pPr>
              <w:spacing w:after="0"/>
              <w:rPr>
                <w:sz w:val="6"/>
                <w:szCs w:val="6"/>
                <w:color w:val="auto"/>
              </w:rPr>
            </w:pPr>
          </w:p>
        </w:tc>
        <w:tc>
          <w:tcPr>
            <w:tcW w:w="140" w:type="dxa"/>
            <w:vAlign w:val="bottom"/>
          </w:tcPr>
          <w:p>
            <w:pPr>
              <w:spacing w:after="0"/>
              <w:rPr>
                <w:sz w:val="6"/>
                <w:szCs w:val="6"/>
                <w:color w:val="auto"/>
              </w:rPr>
            </w:pPr>
          </w:p>
        </w:tc>
        <w:tc>
          <w:tcPr>
            <w:tcW w:w="2260" w:type="dxa"/>
            <w:vAlign w:val="bottom"/>
            <w:gridSpan w:val="2"/>
          </w:tcPr>
          <w:p>
            <w:pPr>
              <w:spacing w:after="0"/>
              <w:rPr>
                <w:sz w:val="6"/>
                <w:szCs w:val="6"/>
                <w:color w:val="auto"/>
              </w:rPr>
            </w:pPr>
          </w:p>
        </w:tc>
        <w:tc>
          <w:tcPr>
            <w:tcW w:w="0" w:type="dxa"/>
            <w:vAlign w:val="bottom"/>
          </w:tcPr>
          <w:p>
            <w:pPr>
              <w:spacing w:after="0"/>
              <w:rPr>
                <w:sz w:val="1"/>
                <w:szCs w:val="1"/>
                <w:color w:val="auto"/>
              </w:rPr>
            </w:pPr>
          </w:p>
        </w:tc>
      </w:tr>
      <w:tr>
        <w:trPr>
          <w:trHeight w:val="108"/>
        </w:trPr>
        <w:tc>
          <w:tcPr>
            <w:tcW w:w="960" w:type="dxa"/>
            <w:vAlign w:val="bottom"/>
            <w:shd w:val="clear" w:color="auto" w:fill="CCEEFF"/>
          </w:tcPr>
          <w:p>
            <w:pPr>
              <w:jc w:val="center"/>
              <w:spacing w:after="0" w:line="108" w:lineRule="exact"/>
              <w:rPr>
                <w:sz w:val="20"/>
                <w:szCs w:val="20"/>
                <w:color w:val="auto"/>
              </w:rPr>
            </w:pPr>
            <w:r>
              <w:rPr>
                <w:rFonts w:ascii="Arial" w:cs="Arial" w:eastAsia="Arial" w:hAnsi="Arial"/>
                <w:sz w:val="12"/>
                <w:szCs w:val="12"/>
                <w:color w:val="auto"/>
              </w:rPr>
              <w:t>2020</w:t>
            </w:r>
          </w:p>
        </w:tc>
        <w:tc>
          <w:tcPr>
            <w:tcW w:w="120" w:type="dxa"/>
            <w:vAlign w:val="bottom"/>
            <w:shd w:val="clear" w:color="auto" w:fill="CCEEFF"/>
          </w:tcPr>
          <w:p>
            <w:pPr>
              <w:spacing w:after="0"/>
              <w:rPr>
                <w:sz w:val="9"/>
                <w:szCs w:val="9"/>
                <w:color w:val="auto"/>
              </w:rPr>
            </w:pPr>
          </w:p>
        </w:tc>
        <w:tc>
          <w:tcPr>
            <w:tcW w:w="1500" w:type="dxa"/>
            <w:vAlign w:val="bottom"/>
            <w:gridSpan w:val="2"/>
            <w:shd w:val="clear" w:color="auto" w:fill="CCEEFF"/>
          </w:tcPr>
          <w:p>
            <w:pPr>
              <w:ind w:left="20"/>
              <w:spacing w:after="0" w:line="108" w:lineRule="exact"/>
              <w:rPr>
                <w:sz w:val="20"/>
                <w:szCs w:val="20"/>
                <w:color w:val="auto"/>
              </w:rPr>
            </w:pPr>
            <w:r>
              <w:rPr>
                <w:rFonts w:ascii="Arial" w:cs="Arial" w:eastAsia="Arial" w:hAnsi="Arial"/>
                <w:sz w:val="12"/>
                <w:szCs w:val="12"/>
                <w:color w:val="auto"/>
              </w:rPr>
              <w:t>Executive Officers</w:t>
            </w:r>
          </w:p>
        </w:tc>
        <w:tc>
          <w:tcPr>
            <w:tcW w:w="340" w:type="dxa"/>
            <w:vAlign w:val="bottom"/>
            <w:shd w:val="clear" w:color="auto" w:fill="CCEEFF"/>
          </w:tcPr>
          <w:p>
            <w:pPr>
              <w:ind w:left="20"/>
              <w:spacing w:after="0" w:line="108" w:lineRule="exact"/>
              <w:rPr>
                <w:sz w:val="20"/>
                <w:szCs w:val="20"/>
                <w:color w:val="auto"/>
              </w:rPr>
            </w:pPr>
            <w:r>
              <w:rPr>
                <w:rFonts w:ascii="Arial" w:cs="Arial" w:eastAsia="Arial" w:hAnsi="Arial"/>
                <w:sz w:val="12"/>
                <w:szCs w:val="12"/>
                <w:color w:val="auto"/>
              </w:rPr>
              <w:t>2015</w:t>
            </w:r>
          </w:p>
        </w:tc>
        <w:tc>
          <w:tcPr>
            <w:tcW w:w="1940" w:type="dxa"/>
            <w:vAlign w:val="bottom"/>
            <w:gridSpan w:val="2"/>
            <w:shd w:val="clear" w:color="auto" w:fill="CCEEFF"/>
          </w:tcPr>
          <w:p>
            <w:pPr>
              <w:ind w:left="20"/>
              <w:spacing w:after="0" w:line="108" w:lineRule="exact"/>
              <w:rPr>
                <w:sz w:val="20"/>
                <w:szCs w:val="20"/>
                <w:color w:val="auto"/>
              </w:rPr>
            </w:pPr>
            <w:r>
              <w:rPr>
                <w:rFonts w:ascii="Arial" w:cs="Arial" w:eastAsia="Arial" w:hAnsi="Arial"/>
                <w:sz w:val="12"/>
                <w:szCs w:val="12"/>
                <w:color w:val="auto"/>
              </w:rPr>
              <w:t>Equity Incentive Plan</w:t>
            </w:r>
          </w:p>
        </w:tc>
        <w:tc>
          <w:tcPr>
            <w:tcW w:w="900" w:type="dxa"/>
            <w:vAlign w:val="bottom"/>
            <w:shd w:val="clear" w:color="auto" w:fill="CCEEFF"/>
          </w:tcPr>
          <w:p>
            <w:pPr>
              <w:jc w:val="right"/>
              <w:ind w:right="69"/>
              <w:spacing w:after="0" w:line="108" w:lineRule="exact"/>
              <w:rPr>
                <w:sz w:val="20"/>
                <w:szCs w:val="20"/>
                <w:color w:val="auto"/>
              </w:rPr>
            </w:pPr>
            <w:r>
              <w:rPr>
                <w:rFonts w:ascii="Arial" w:cs="Arial" w:eastAsia="Arial" w:hAnsi="Arial"/>
                <w:sz w:val="12"/>
                <w:szCs w:val="12"/>
                <w:color w:val="auto"/>
              </w:rPr>
              <w:t>46,000</w:t>
            </w:r>
          </w:p>
        </w:tc>
        <w:tc>
          <w:tcPr>
            <w:tcW w:w="280" w:type="dxa"/>
            <w:vAlign w:val="bottom"/>
            <w:shd w:val="clear" w:color="auto" w:fill="CCEEFF"/>
          </w:tcPr>
          <w:p>
            <w:pPr>
              <w:spacing w:after="0"/>
              <w:rPr>
                <w:sz w:val="9"/>
                <w:szCs w:val="9"/>
                <w:color w:val="auto"/>
              </w:rPr>
            </w:pPr>
          </w:p>
        </w:tc>
        <w:tc>
          <w:tcPr>
            <w:tcW w:w="140" w:type="dxa"/>
            <w:vAlign w:val="bottom"/>
            <w:shd w:val="clear" w:color="auto" w:fill="CCEEFF"/>
          </w:tcPr>
          <w:p>
            <w:pPr>
              <w:jc w:val="right"/>
              <w:spacing w:after="0" w:line="108" w:lineRule="exact"/>
              <w:rPr>
                <w:sz w:val="20"/>
                <w:szCs w:val="20"/>
                <w:color w:val="auto"/>
              </w:rPr>
            </w:pPr>
            <w:r>
              <w:rPr>
                <w:rFonts w:ascii="Arial" w:cs="Arial" w:eastAsia="Arial" w:hAnsi="Arial"/>
                <w:sz w:val="12"/>
                <w:szCs w:val="12"/>
                <w:color w:val="auto"/>
              </w:rPr>
              <w:t>$</w:t>
            </w:r>
          </w:p>
        </w:tc>
        <w:tc>
          <w:tcPr>
            <w:tcW w:w="960" w:type="dxa"/>
            <w:vAlign w:val="bottom"/>
            <w:shd w:val="clear" w:color="auto" w:fill="CCEEFF"/>
          </w:tcPr>
          <w:p>
            <w:pPr>
              <w:jc w:val="right"/>
              <w:ind w:right="89"/>
              <w:spacing w:after="0" w:line="108" w:lineRule="exact"/>
              <w:rPr>
                <w:sz w:val="20"/>
                <w:szCs w:val="20"/>
                <w:color w:val="auto"/>
              </w:rPr>
            </w:pPr>
            <w:r>
              <w:rPr>
                <w:rFonts w:ascii="Arial" w:cs="Arial" w:eastAsia="Arial" w:hAnsi="Arial"/>
                <w:sz w:val="12"/>
                <w:szCs w:val="12"/>
                <w:color w:val="auto"/>
              </w:rPr>
              <w:t>165.97</w:t>
            </w:r>
          </w:p>
        </w:tc>
        <w:tc>
          <w:tcPr>
            <w:tcW w:w="280" w:type="dxa"/>
            <w:vAlign w:val="bottom"/>
            <w:vMerge w:val="restart"/>
            <w:shd w:val="clear" w:color="auto" w:fill="CCEEFF"/>
          </w:tcPr>
          <w:p>
            <w:pPr>
              <w:ind w:left="20"/>
              <w:spacing w:after="0"/>
              <w:rPr>
                <w:sz w:val="20"/>
                <w:szCs w:val="20"/>
                <w:color w:val="auto"/>
              </w:rPr>
            </w:pPr>
            <w:r>
              <w:rPr>
                <w:rFonts w:ascii="Arial" w:cs="Arial" w:eastAsia="Arial" w:hAnsi="Arial"/>
                <w:sz w:val="10"/>
                <w:szCs w:val="10"/>
                <w:color w:val="auto"/>
              </w:rPr>
              <w:t>(1)</w:t>
            </w:r>
          </w:p>
        </w:tc>
        <w:tc>
          <w:tcPr>
            <w:tcW w:w="1560" w:type="dxa"/>
            <w:vAlign w:val="bottom"/>
            <w:gridSpan w:val="2"/>
            <w:shd w:val="clear" w:color="auto" w:fill="CCEEFF"/>
          </w:tcPr>
          <w:p>
            <w:pPr>
              <w:ind w:left="20"/>
              <w:spacing w:after="0" w:line="108" w:lineRule="exact"/>
              <w:rPr>
                <w:sz w:val="20"/>
                <w:szCs w:val="20"/>
                <w:color w:val="auto"/>
              </w:rPr>
            </w:pPr>
            <w:r>
              <w:rPr>
                <w:rFonts w:ascii="Arial" w:cs="Arial" w:eastAsia="Arial" w:hAnsi="Arial"/>
                <w:sz w:val="12"/>
                <w:szCs w:val="12"/>
                <w:color w:val="auto"/>
              </w:rPr>
              <w:t>Time Based</w:t>
            </w:r>
          </w:p>
        </w:tc>
        <w:tc>
          <w:tcPr>
            <w:tcW w:w="2260" w:type="dxa"/>
            <w:vAlign w:val="bottom"/>
            <w:gridSpan w:val="2"/>
            <w:shd w:val="clear" w:color="auto" w:fill="CCEEFF"/>
          </w:tcPr>
          <w:p>
            <w:pPr>
              <w:ind w:left="260"/>
              <w:spacing w:after="0" w:line="108" w:lineRule="exact"/>
              <w:rPr>
                <w:sz w:val="20"/>
                <w:szCs w:val="20"/>
                <w:color w:val="auto"/>
              </w:rPr>
            </w:pPr>
            <w:r>
              <w:rPr>
                <w:rFonts w:ascii="Arial" w:cs="Arial" w:eastAsia="Arial" w:hAnsi="Arial"/>
                <w:sz w:val="12"/>
                <w:szCs w:val="12"/>
                <w:color w:val="auto"/>
              </w:rPr>
              <w:t>20.0% annually over 5 years</w:t>
            </w:r>
          </w:p>
        </w:tc>
        <w:tc>
          <w:tcPr>
            <w:tcW w:w="0" w:type="dxa"/>
            <w:vAlign w:val="bottom"/>
          </w:tcPr>
          <w:p>
            <w:pPr>
              <w:spacing w:after="0"/>
              <w:rPr>
                <w:sz w:val="1"/>
                <w:szCs w:val="1"/>
                <w:color w:val="auto"/>
              </w:rPr>
            </w:pPr>
          </w:p>
        </w:tc>
      </w:tr>
      <w:tr>
        <w:trPr>
          <w:trHeight w:val="30"/>
        </w:trPr>
        <w:tc>
          <w:tcPr>
            <w:tcW w:w="9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8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280" w:type="dxa"/>
            <w:vAlign w:val="bottom"/>
            <w:vMerge w:val="continue"/>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78"/>
        </w:trPr>
        <w:tc>
          <w:tcPr>
            <w:tcW w:w="9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8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90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96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14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160" w:type="dxa"/>
            <w:vAlign w:val="bottom"/>
            <w:shd w:val="clear" w:color="auto" w:fill="CCEEFF"/>
          </w:tcPr>
          <w:p>
            <w:pPr>
              <w:spacing w:after="0"/>
              <w:rPr>
                <w:sz w:val="6"/>
                <w:szCs w:val="6"/>
                <w:color w:val="auto"/>
              </w:rPr>
            </w:pPr>
          </w:p>
        </w:tc>
        <w:tc>
          <w:tcPr>
            <w:tcW w:w="110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38"/>
        </w:trPr>
        <w:tc>
          <w:tcPr>
            <w:tcW w:w="960" w:type="dxa"/>
            <w:vAlign w:val="bottom"/>
            <w:vMerge w:val="restart"/>
          </w:tcPr>
          <w:p>
            <w:pPr>
              <w:jc w:val="center"/>
              <w:spacing w:after="0"/>
              <w:rPr>
                <w:sz w:val="20"/>
                <w:szCs w:val="20"/>
                <w:color w:val="auto"/>
              </w:rPr>
            </w:pPr>
            <w:r>
              <w:rPr>
                <w:rFonts w:ascii="Arial" w:cs="Arial" w:eastAsia="Arial" w:hAnsi="Arial"/>
                <w:sz w:val="15"/>
                <w:szCs w:val="15"/>
                <w:color w:val="auto"/>
                <w:w w:val="89"/>
              </w:rPr>
              <w:t>2020</w:t>
            </w:r>
          </w:p>
        </w:tc>
        <w:tc>
          <w:tcPr>
            <w:tcW w:w="120" w:type="dxa"/>
            <w:vAlign w:val="bottom"/>
          </w:tcPr>
          <w:p>
            <w:pPr>
              <w:spacing w:after="0"/>
              <w:rPr>
                <w:sz w:val="12"/>
                <w:szCs w:val="12"/>
                <w:color w:val="auto"/>
              </w:rPr>
            </w:pPr>
          </w:p>
        </w:tc>
        <w:tc>
          <w:tcPr>
            <w:tcW w:w="1500" w:type="dxa"/>
            <w:vAlign w:val="bottom"/>
            <w:gridSpan w:val="2"/>
            <w:vMerge w:val="restart"/>
          </w:tcPr>
          <w:p>
            <w:pPr>
              <w:ind w:left="20"/>
              <w:spacing w:after="0"/>
              <w:rPr>
                <w:sz w:val="20"/>
                <w:szCs w:val="20"/>
                <w:color w:val="auto"/>
              </w:rPr>
            </w:pPr>
            <w:r>
              <w:rPr>
                <w:rFonts w:ascii="Arial" w:cs="Arial" w:eastAsia="Arial" w:hAnsi="Arial"/>
                <w:sz w:val="15"/>
                <w:szCs w:val="15"/>
                <w:color w:val="auto"/>
              </w:rPr>
              <w:t>Executive Officers</w:t>
            </w:r>
          </w:p>
        </w:tc>
        <w:tc>
          <w:tcPr>
            <w:tcW w:w="340" w:type="dxa"/>
            <w:vAlign w:val="bottom"/>
            <w:vMerge w:val="restart"/>
          </w:tcPr>
          <w:p>
            <w:pPr>
              <w:ind w:left="20"/>
              <w:spacing w:after="0"/>
              <w:rPr>
                <w:sz w:val="20"/>
                <w:szCs w:val="20"/>
                <w:color w:val="auto"/>
              </w:rPr>
            </w:pPr>
            <w:r>
              <w:rPr>
                <w:rFonts w:ascii="Arial" w:cs="Arial" w:eastAsia="Arial" w:hAnsi="Arial"/>
                <w:sz w:val="15"/>
                <w:szCs w:val="15"/>
                <w:color w:val="auto"/>
                <w:w w:val="89"/>
              </w:rPr>
              <w:t>2015</w:t>
            </w:r>
          </w:p>
        </w:tc>
        <w:tc>
          <w:tcPr>
            <w:tcW w:w="1940" w:type="dxa"/>
            <w:vAlign w:val="bottom"/>
            <w:gridSpan w:val="2"/>
            <w:vMerge w:val="restart"/>
          </w:tcPr>
          <w:p>
            <w:pPr>
              <w:ind w:left="20"/>
              <w:spacing w:after="0"/>
              <w:rPr>
                <w:sz w:val="20"/>
                <w:szCs w:val="20"/>
                <w:color w:val="auto"/>
              </w:rPr>
            </w:pPr>
            <w:r>
              <w:rPr>
                <w:rFonts w:ascii="Arial" w:cs="Arial" w:eastAsia="Arial" w:hAnsi="Arial"/>
                <w:sz w:val="15"/>
                <w:szCs w:val="15"/>
                <w:color w:val="auto"/>
              </w:rPr>
              <w:t>Equity Incentive Plan</w:t>
            </w:r>
          </w:p>
        </w:tc>
        <w:tc>
          <w:tcPr>
            <w:tcW w:w="900" w:type="dxa"/>
            <w:vAlign w:val="bottom"/>
            <w:vMerge w:val="restart"/>
          </w:tcPr>
          <w:p>
            <w:pPr>
              <w:jc w:val="right"/>
              <w:ind w:right="69"/>
              <w:spacing w:after="0"/>
              <w:rPr>
                <w:sz w:val="20"/>
                <w:szCs w:val="20"/>
                <w:color w:val="auto"/>
              </w:rPr>
            </w:pPr>
            <w:r>
              <w:rPr>
                <w:rFonts w:ascii="Arial" w:cs="Arial" w:eastAsia="Arial" w:hAnsi="Arial"/>
                <w:sz w:val="15"/>
                <w:szCs w:val="15"/>
                <w:color w:val="auto"/>
              </w:rPr>
              <w:t>69,000</w:t>
            </w:r>
          </w:p>
        </w:tc>
        <w:tc>
          <w:tcPr>
            <w:tcW w:w="280" w:type="dxa"/>
            <w:vAlign w:val="bottom"/>
          </w:tcPr>
          <w:p>
            <w:pPr>
              <w:jc w:val="right"/>
              <w:ind w:right="90"/>
              <w:spacing w:after="0"/>
              <w:rPr>
                <w:sz w:val="20"/>
                <w:szCs w:val="20"/>
                <w:color w:val="auto"/>
              </w:rPr>
            </w:pPr>
            <w:r>
              <w:rPr>
                <w:rFonts w:ascii="Arial" w:cs="Arial" w:eastAsia="Arial" w:hAnsi="Arial"/>
                <w:sz w:val="10"/>
                <w:szCs w:val="10"/>
                <w:color w:val="auto"/>
                <w:w w:val="97"/>
              </w:rPr>
              <w:t>(2)</w:t>
            </w:r>
          </w:p>
        </w:tc>
        <w:tc>
          <w:tcPr>
            <w:tcW w:w="140" w:type="dxa"/>
            <w:vAlign w:val="bottom"/>
            <w:vMerge w:val="restart"/>
          </w:tcPr>
          <w:p>
            <w:pPr>
              <w:jc w:val="right"/>
              <w:spacing w:after="0"/>
              <w:rPr>
                <w:sz w:val="20"/>
                <w:szCs w:val="20"/>
                <w:color w:val="auto"/>
              </w:rPr>
            </w:pPr>
            <w:r>
              <w:rPr>
                <w:rFonts w:ascii="Arial" w:cs="Arial" w:eastAsia="Arial" w:hAnsi="Arial"/>
                <w:sz w:val="15"/>
                <w:szCs w:val="15"/>
                <w:color w:val="auto"/>
                <w:w w:val="95"/>
              </w:rPr>
              <w:t>$</w:t>
            </w:r>
          </w:p>
        </w:tc>
        <w:tc>
          <w:tcPr>
            <w:tcW w:w="960" w:type="dxa"/>
            <w:vAlign w:val="bottom"/>
            <w:vMerge w:val="restart"/>
          </w:tcPr>
          <w:p>
            <w:pPr>
              <w:jc w:val="right"/>
              <w:ind w:right="89"/>
              <w:spacing w:after="0"/>
              <w:rPr>
                <w:sz w:val="20"/>
                <w:szCs w:val="20"/>
                <w:color w:val="auto"/>
              </w:rPr>
            </w:pPr>
            <w:r>
              <w:rPr>
                <w:rFonts w:ascii="Arial" w:cs="Arial" w:eastAsia="Arial" w:hAnsi="Arial"/>
                <w:sz w:val="15"/>
                <w:szCs w:val="15"/>
                <w:color w:val="auto"/>
              </w:rPr>
              <w:t>125.47</w:t>
            </w:r>
          </w:p>
        </w:tc>
        <w:tc>
          <w:tcPr>
            <w:tcW w:w="280" w:type="dxa"/>
            <w:vAlign w:val="bottom"/>
          </w:tcPr>
          <w:p>
            <w:pPr>
              <w:ind w:left="20"/>
              <w:spacing w:after="0"/>
              <w:rPr>
                <w:sz w:val="20"/>
                <w:szCs w:val="20"/>
                <w:color w:val="auto"/>
              </w:rPr>
            </w:pPr>
            <w:r>
              <w:rPr>
                <w:rFonts w:ascii="Arial" w:cs="Arial" w:eastAsia="Arial" w:hAnsi="Arial"/>
                <w:sz w:val="10"/>
                <w:szCs w:val="10"/>
                <w:color w:val="auto"/>
              </w:rPr>
              <w:t>(2)</w:t>
            </w:r>
          </w:p>
        </w:tc>
        <w:tc>
          <w:tcPr>
            <w:tcW w:w="1560" w:type="dxa"/>
            <w:vAlign w:val="bottom"/>
            <w:gridSpan w:val="2"/>
            <w:vMerge w:val="restart"/>
          </w:tcPr>
          <w:p>
            <w:pPr>
              <w:ind w:left="20"/>
              <w:spacing w:after="0"/>
              <w:rPr>
                <w:sz w:val="20"/>
                <w:szCs w:val="20"/>
                <w:color w:val="auto"/>
              </w:rPr>
            </w:pPr>
            <w:r>
              <w:rPr>
                <w:rFonts w:ascii="Arial" w:cs="Arial" w:eastAsia="Arial" w:hAnsi="Arial"/>
                <w:sz w:val="15"/>
                <w:szCs w:val="15"/>
                <w:color w:val="auto"/>
              </w:rPr>
              <w:t>Market Condition</w:t>
            </w:r>
          </w:p>
        </w:tc>
        <w:tc>
          <w:tcPr>
            <w:tcW w:w="1160" w:type="dxa"/>
            <w:vAlign w:val="bottom"/>
            <w:vMerge w:val="restart"/>
          </w:tcPr>
          <w:p>
            <w:pPr>
              <w:jc w:val="center"/>
              <w:spacing w:after="0"/>
              <w:rPr>
                <w:sz w:val="20"/>
                <w:szCs w:val="20"/>
                <w:color w:val="auto"/>
              </w:rPr>
            </w:pPr>
            <w:r>
              <w:rPr>
                <w:rFonts w:ascii="Arial" w:cs="Arial" w:eastAsia="Arial" w:hAnsi="Arial"/>
                <w:sz w:val="15"/>
                <w:szCs w:val="15"/>
                <w:color w:val="auto"/>
                <w:w w:val="92"/>
              </w:rPr>
              <w:t>3rd</w:t>
            </w:r>
          </w:p>
        </w:tc>
        <w:tc>
          <w:tcPr>
            <w:tcW w:w="1100" w:type="dxa"/>
            <w:vAlign w:val="bottom"/>
            <w:vMerge w:val="restart"/>
          </w:tcPr>
          <w:p>
            <w:pPr>
              <w:jc w:val="right"/>
              <w:spacing w:after="0"/>
              <w:rPr>
                <w:sz w:val="20"/>
                <w:szCs w:val="20"/>
                <w:color w:val="auto"/>
              </w:rPr>
            </w:pPr>
            <w:r>
              <w:rPr>
                <w:rFonts w:ascii="Arial" w:cs="Arial" w:eastAsia="Arial" w:hAnsi="Arial"/>
                <w:sz w:val="15"/>
                <w:szCs w:val="15"/>
                <w:color w:val="auto"/>
              </w:rPr>
              <w:t>100.0 %</w:t>
            </w:r>
          </w:p>
        </w:tc>
        <w:tc>
          <w:tcPr>
            <w:tcW w:w="0" w:type="dxa"/>
            <w:vAlign w:val="bottom"/>
          </w:tcPr>
          <w:p>
            <w:pPr>
              <w:spacing w:after="0"/>
              <w:rPr>
                <w:sz w:val="1"/>
                <w:szCs w:val="1"/>
                <w:color w:val="auto"/>
              </w:rPr>
            </w:pPr>
          </w:p>
        </w:tc>
      </w:tr>
      <w:tr>
        <w:trPr>
          <w:trHeight w:val="74"/>
        </w:trPr>
        <w:tc>
          <w:tcPr>
            <w:tcW w:w="9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500" w:type="dxa"/>
            <w:vAlign w:val="bottom"/>
            <w:gridSpan w:val="2"/>
            <w:vMerge w:val="continue"/>
          </w:tcPr>
          <w:p>
            <w:pPr>
              <w:spacing w:after="0"/>
              <w:rPr>
                <w:sz w:val="6"/>
                <w:szCs w:val="6"/>
                <w:color w:val="auto"/>
              </w:rPr>
            </w:pPr>
          </w:p>
        </w:tc>
        <w:tc>
          <w:tcPr>
            <w:tcW w:w="340" w:type="dxa"/>
            <w:vAlign w:val="bottom"/>
            <w:vMerge w:val="continue"/>
          </w:tcPr>
          <w:p>
            <w:pPr>
              <w:spacing w:after="0"/>
              <w:rPr>
                <w:sz w:val="6"/>
                <w:szCs w:val="6"/>
                <w:color w:val="auto"/>
              </w:rPr>
            </w:pPr>
          </w:p>
        </w:tc>
        <w:tc>
          <w:tcPr>
            <w:tcW w:w="1940" w:type="dxa"/>
            <w:vAlign w:val="bottom"/>
            <w:gridSpan w:val="2"/>
            <w:vMerge w:val="continue"/>
          </w:tcPr>
          <w:p>
            <w:pPr>
              <w:spacing w:after="0"/>
              <w:rPr>
                <w:sz w:val="6"/>
                <w:szCs w:val="6"/>
                <w:color w:val="auto"/>
              </w:rPr>
            </w:pPr>
          </w:p>
        </w:tc>
        <w:tc>
          <w:tcPr>
            <w:tcW w:w="90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140" w:type="dxa"/>
            <w:vAlign w:val="bottom"/>
            <w:vMerge w:val="continue"/>
          </w:tcPr>
          <w:p>
            <w:pPr>
              <w:spacing w:after="0"/>
              <w:rPr>
                <w:sz w:val="6"/>
                <w:szCs w:val="6"/>
                <w:color w:val="auto"/>
              </w:rPr>
            </w:pPr>
          </w:p>
        </w:tc>
        <w:tc>
          <w:tcPr>
            <w:tcW w:w="96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1560" w:type="dxa"/>
            <w:vAlign w:val="bottom"/>
            <w:gridSpan w:val="2"/>
            <w:vMerge w:val="continue"/>
          </w:tcPr>
          <w:p>
            <w:pPr>
              <w:spacing w:after="0"/>
              <w:rPr>
                <w:sz w:val="6"/>
                <w:szCs w:val="6"/>
                <w:color w:val="auto"/>
              </w:rPr>
            </w:pPr>
          </w:p>
        </w:tc>
        <w:tc>
          <w:tcPr>
            <w:tcW w:w="1160" w:type="dxa"/>
            <w:vAlign w:val="bottom"/>
            <w:vMerge w:val="continue"/>
          </w:tcPr>
          <w:p>
            <w:pPr>
              <w:spacing w:after="0"/>
              <w:rPr>
                <w:sz w:val="6"/>
                <w:szCs w:val="6"/>
                <w:color w:val="auto"/>
              </w:rPr>
            </w:pPr>
          </w:p>
        </w:tc>
        <w:tc>
          <w:tcPr>
            <w:tcW w:w="11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0"/>
        </w:trPr>
        <w:tc>
          <w:tcPr>
            <w:tcW w:w="96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89"/>
              </w:rPr>
              <w:t>2020</w:t>
            </w:r>
          </w:p>
        </w:tc>
        <w:tc>
          <w:tcPr>
            <w:tcW w:w="120" w:type="dxa"/>
            <w:vAlign w:val="bottom"/>
            <w:shd w:val="clear" w:color="auto" w:fill="CCEEFF"/>
          </w:tcPr>
          <w:p>
            <w:pPr>
              <w:spacing w:after="0"/>
              <w:rPr>
                <w:sz w:val="15"/>
                <w:szCs w:val="15"/>
                <w:color w:val="auto"/>
              </w:rPr>
            </w:pPr>
          </w:p>
        </w:tc>
        <w:tc>
          <w:tcPr>
            <w:tcW w:w="150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Directors</w:t>
            </w:r>
          </w:p>
        </w:tc>
        <w:tc>
          <w:tcPr>
            <w:tcW w:w="340" w:type="dxa"/>
            <w:vAlign w:val="bottom"/>
            <w:shd w:val="clear" w:color="auto" w:fill="CCEEFF"/>
          </w:tcPr>
          <w:p>
            <w:pPr>
              <w:ind w:left="20"/>
              <w:spacing w:after="0"/>
              <w:rPr>
                <w:sz w:val="20"/>
                <w:szCs w:val="20"/>
                <w:color w:val="auto"/>
              </w:rPr>
            </w:pPr>
            <w:r>
              <w:rPr>
                <w:rFonts w:ascii="Arial" w:cs="Arial" w:eastAsia="Arial" w:hAnsi="Arial"/>
                <w:sz w:val="15"/>
                <w:szCs w:val="15"/>
                <w:color w:val="auto"/>
                <w:w w:val="89"/>
              </w:rPr>
              <w:t>2004</w:t>
            </w:r>
          </w:p>
        </w:tc>
        <w:tc>
          <w:tcPr>
            <w:tcW w:w="194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Non-Employee Director</w:t>
            </w:r>
          </w:p>
        </w:tc>
        <w:tc>
          <w:tcPr>
            <w:tcW w:w="900" w:type="dxa"/>
            <w:vAlign w:val="bottom"/>
            <w:shd w:val="clear" w:color="auto" w:fill="CCEEFF"/>
          </w:tcPr>
          <w:p>
            <w:pPr>
              <w:jc w:val="right"/>
              <w:ind w:right="69"/>
              <w:spacing w:after="0"/>
              <w:rPr>
                <w:sz w:val="20"/>
                <w:szCs w:val="20"/>
                <w:color w:val="auto"/>
              </w:rPr>
            </w:pPr>
            <w:r>
              <w:rPr>
                <w:rFonts w:ascii="Arial" w:cs="Arial" w:eastAsia="Arial" w:hAnsi="Arial"/>
                <w:sz w:val="15"/>
                <w:szCs w:val="15"/>
                <w:color w:val="auto"/>
              </w:rPr>
              <w:t>10,200</w:t>
            </w:r>
          </w:p>
        </w:tc>
        <w:tc>
          <w:tcPr>
            <w:tcW w:w="28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960" w:type="dxa"/>
            <w:vAlign w:val="bottom"/>
            <w:shd w:val="clear" w:color="auto" w:fill="CCEEFF"/>
          </w:tcPr>
          <w:p>
            <w:pPr>
              <w:jc w:val="right"/>
              <w:ind w:right="89"/>
              <w:spacing w:after="0"/>
              <w:rPr>
                <w:sz w:val="20"/>
                <w:szCs w:val="20"/>
                <w:color w:val="auto"/>
              </w:rPr>
            </w:pPr>
            <w:r>
              <w:rPr>
                <w:rFonts w:ascii="Arial" w:cs="Arial" w:eastAsia="Arial" w:hAnsi="Arial"/>
                <w:sz w:val="15"/>
                <w:szCs w:val="15"/>
                <w:color w:val="auto"/>
              </w:rPr>
              <w:t>147.97</w:t>
            </w:r>
          </w:p>
        </w:tc>
        <w:tc>
          <w:tcPr>
            <w:tcW w:w="280" w:type="dxa"/>
            <w:vAlign w:val="bottom"/>
            <w:shd w:val="clear" w:color="auto" w:fill="CCEEFF"/>
          </w:tcPr>
          <w:p>
            <w:pPr>
              <w:ind w:left="20"/>
              <w:spacing w:after="0"/>
              <w:rPr>
                <w:sz w:val="20"/>
                <w:szCs w:val="20"/>
                <w:color w:val="auto"/>
              </w:rPr>
            </w:pPr>
            <w:r>
              <w:rPr>
                <w:rFonts w:ascii="Arial" w:cs="Arial" w:eastAsia="Arial" w:hAnsi="Arial"/>
                <w:sz w:val="10"/>
                <w:szCs w:val="10"/>
                <w:color w:val="auto"/>
              </w:rPr>
              <w:t>(1)</w:t>
            </w:r>
          </w:p>
        </w:tc>
        <w:tc>
          <w:tcPr>
            <w:tcW w:w="156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Time Based</w:t>
            </w:r>
          </w:p>
        </w:tc>
        <w:tc>
          <w:tcPr>
            <w:tcW w:w="116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2"/>
              </w:rPr>
              <w:t>3rd</w:t>
            </w: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100.0 %</w:t>
            </w:r>
          </w:p>
        </w:tc>
        <w:tc>
          <w:tcPr>
            <w:tcW w:w="0" w:type="dxa"/>
            <w:vAlign w:val="bottom"/>
          </w:tcPr>
          <w:p>
            <w:pPr>
              <w:spacing w:after="0"/>
              <w:rPr>
                <w:sz w:val="1"/>
                <w:szCs w:val="1"/>
                <w:color w:val="auto"/>
              </w:rPr>
            </w:pPr>
          </w:p>
        </w:tc>
      </w:tr>
      <w:tr>
        <w:trPr>
          <w:trHeight w:val="202"/>
        </w:trPr>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80" w:type="dxa"/>
            <w:vAlign w:val="bottom"/>
            <w:gridSpan w:val="3"/>
            <w:shd w:val="clear" w:color="auto" w:fill="CCEEFF"/>
          </w:tcPr>
          <w:p>
            <w:pPr>
              <w:ind w:left="20"/>
              <w:spacing w:after="0"/>
              <w:rPr>
                <w:sz w:val="20"/>
                <w:szCs w:val="20"/>
                <w:color w:val="auto"/>
              </w:rPr>
            </w:pPr>
            <w:r>
              <w:rPr>
                <w:rFonts w:ascii="Arial" w:cs="Arial" w:eastAsia="Arial" w:hAnsi="Arial"/>
                <w:sz w:val="15"/>
                <w:szCs w:val="15"/>
                <w:color w:val="auto"/>
              </w:rPr>
              <w:t>Option Plan</w:t>
            </w:r>
          </w:p>
        </w:tc>
        <w:tc>
          <w:tcPr>
            <w:tcW w:w="9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08"/>
        </w:trPr>
        <w:tc>
          <w:tcPr>
            <w:tcW w:w="960" w:type="dxa"/>
            <w:vAlign w:val="bottom"/>
          </w:tcPr>
          <w:p>
            <w:pPr>
              <w:jc w:val="center"/>
              <w:spacing w:after="0" w:line="108" w:lineRule="exact"/>
              <w:rPr>
                <w:sz w:val="20"/>
                <w:szCs w:val="20"/>
                <w:color w:val="auto"/>
              </w:rPr>
            </w:pPr>
            <w:r>
              <w:rPr>
                <w:rFonts w:ascii="Arial" w:cs="Arial" w:eastAsia="Arial" w:hAnsi="Arial"/>
                <w:sz w:val="12"/>
                <w:szCs w:val="12"/>
                <w:color w:val="auto"/>
              </w:rPr>
              <w:t>2019</w:t>
            </w:r>
          </w:p>
        </w:tc>
        <w:tc>
          <w:tcPr>
            <w:tcW w:w="120" w:type="dxa"/>
            <w:vAlign w:val="bottom"/>
          </w:tcPr>
          <w:p>
            <w:pPr>
              <w:spacing w:after="0"/>
              <w:rPr>
                <w:sz w:val="9"/>
                <w:szCs w:val="9"/>
                <w:color w:val="auto"/>
              </w:rPr>
            </w:pPr>
          </w:p>
        </w:tc>
        <w:tc>
          <w:tcPr>
            <w:tcW w:w="1500" w:type="dxa"/>
            <w:vAlign w:val="bottom"/>
            <w:gridSpan w:val="2"/>
          </w:tcPr>
          <w:p>
            <w:pPr>
              <w:ind w:left="20"/>
              <w:spacing w:after="0" w:line="108" w:lineRule="exact"/>
              <w:rPr>
                <w:sz w:val="20"/>
                <w:szCs w:val="20"/>
                <w:color w:val="auto"/>
              </w:rPr>
            </w:pPr>
            <w:r>
              <w:rPr>
                <w:rFonts w:ascii="Arial" w:cs="Arial" w:eastAsia="Arial" w:hAnsi="Arial"/>
                <w:sz w:val="12"/>
                <w:szCs w:val="12"/>
                <w:color w:val="auto"/>
              </w:rPr>
              <w:t>Executive Officers</w:t>
            </w:r>
          </w:p>
        </w:tc>
        <w:tc>
          <w:tcPr>
            <w:tcW w:w="340" w:type="dxa"/>
            <w:vAlign w:val="bottom"/>
          </w:tcPr>
          <w:p>
            <w:pPr>
              <w:ind w:left="20"/>
              <w:spacing w:after="0" w:line="108" w:lineRule="exact"/>
              <w:rPr>
                <w:sz w:val="20"/>
                <w:szCs w:val="20"/>
                <w:color w:val="auto"/>
              </w:rPr>
            </w:pPr>
            <w:r>
              <w:rPr>
                <w:rFonts w:ascii="Arial" w:cs="Arial" w:eastAsia="Arial" w:hAnsi="Arial"/>
                <w:sz w:val="12"/>
                <w:szCs w:val="12"/>
                <w:color w:val="auto"/>
              </w:rPr>
              <w:t>2015</w:t>
            </w:r>
          </w:p>
        </w:tc>
        <w:tc>
          <w:tcPr>
            <w:tcW w:w="1940" w:type="dxa"/>
            <w:vAlign w:val="bottom"/>
            <w:gridSpan w:val="2"/>
          </w:tcPr>
          <w:p>
            <w:pPr>
              <w:ind w:left="20"/>
              <w:spacing w:after="0" w:line="108" w:lineRule="exact"/>
              <w:rPr>
                <w:sz w:val="20"/>
                <w:szCs w:val="20"/>
                <w:color w:val="auto"/>
              </w:rPr>
            </w:pPr>
            <w:r>
              <w:rPr>
                <w:rFonts w:ascii="Arial" w:cs="Arial" w:eastAsia="Arial" w:hAnsi="Arial"/>
                <w:sz w:val="12"/>
                <w:szCs w:val="12"/>
                <w:color w:val="auto"/>
              </w:rPr>
              <w:t>Equity Incentive Plan</w:t>
            </w:r>
          </w:p>
        </w:tc>
        <w:tc>
          <w:tcPr>
            <w:tcW w:w="900" w:type="dxa"/>
            <w:vAlign w:val="bottom"/>
          </w:tcPr>
          <w:p>
            <w:pPr>
              <w:jc w:val="right"/>
              <w:ind w:right="69"/>
              <w:spacing w:after="0" w:line="108" w:lineRule="exact"/>
              <w:rPr>
                <w:sz w:val="20"/>
                <w:szCs w:val="20"/>
                <w:color w:val="auto"/>
              </w:rPr>
            </w:pPr>
            <w:r>
              <w:rPr>
                <w:rFonts w:ascii="Arial" w:cs="Arial" w:eastAsia="Arial" w:hAnsi="Arial"/>
                <w:sz w:val="12"/>
                <w:szCs w:val="12"/>
                <w:color w:val="auto"/>
              </w:rPr>
              <w:t>44,000</w:t>
            </w:r>
          </w:p>
        </w:tc>
        <w:tc>
          <w:tcPr>
            <w:tcW w:w="280" w:type="dxa"/>
            <w:vAlign w:val="bottom"/>
          </w:tcPr>
          <w:p>
            <w:pPr>
              <w:spacing w:after="0"/>
              <w:rPr>
                <w:sz w:val="9"/>
                <w:szCs w:val="9"/>
                <w:color w:val="auto"/>
              </w:rPr>
            </w:pPr>
          </w:p>
        </w:tc>
        <w:tc>
          <w:tcPr>
            <w:tcW w:w="140" w:type="dxa"/>
            <w:vAlign w:val="bottom"/>
          </w:tcPr>
          <w:p>
            <w:pPr>
              <w:jc w:val="right"/>
              <w:spacing w:after="0" w:line="108" w:lineRule="exact"/>
              <w:rPr>
                <w:sz w:val="20"/>
                <w:szCs w:val="20"/>
                <w:color w:val="auto"/>
              </w:rPr>
            </w:pPr>
            <w:r>
              <w:rPr>
                <w:rFonts w:ascii="Arial" w:cs="Arial" w:eastAsia="Arial" w:hAnsi="Arial"/>
                <w:sz w:val="12"/>
                <w:szCs w:val="12"/>
                <w:color w:val="auto"/>
              </w:rPr>
              <w:t>$</w:t>
            </w:r>
          </w:p>
        </w:tc>
        <w:tc>
          <w:tcPr>
            <w:tcW w:w="960" w:type="dxa"/>
            <w:vAlign w:val="bottom"/>
          </w:tcPr>
          <w:p>
            <w:pPr>
              <w:jc w:val="right"/>
              <w:ind w:right="89"/>
              <w:spacing w:after="0" w:line="108" w:lineRule="exact"/>
              <w:rPr>
                <w:sz w:val="20"/>
                <w:szCs w:val="20"/>
                <w:color w:val="auto"/>
              </w:rPr>
            </w:pPr>
            <w:r>
              <w:rPr>
                <w:rFonts w:ascii="Arial" w:cs="Arial" w:eastAsia="Arial" w:hAnsi="Arial"/>
                <w:sz w:val="12"/>
                <w:szCs w:val="12"/>
                <w:color w:val="auto"/>
              </w:rPr>
              <w:t>115.39</w:t>
            </w:r>
          </w:p>
        </w:tc>
        <w:tc>
          <w:tcPr>
            <w:tcW w:w="280" w:type="dxa"/>
            <w:vAlign w:val="bottom"/>
            <w:vMerge w:val="restart"/>
          </w:tcPr>
          <w:p>
            <w:pPr>
              <w:ind w:left="20"/>
              <w:spacing w:after="0"/>
              <w:rPr>
                <w:sz w:val="20"/>
                <w:szCs w:val="20"/>
                <w:color w:val="auto"/>
              </w:rPr>
            </w:pPr>
            <w:r>
              <w:rPr>
                <w:rFonts w:ascii="Arial" w:cs="Arial" w:eastAsia="Arial" w:hAnsi="Arial"/>
                <w:sz w:val="10"/>
                <w:szCs w:val="10"/>
                <w:color w:val="auto"/>
              </w:rPr>
              <w:t>(1)</w:t>
            </w:r>
          </w:p>
        </w:tc>
        <w:tc>
          <w:tcPr>
            <w:tcW w:w="1560" w:type="dxa"/>
            <w:vAlign w:val="bottom"/>
            <w:gridSpan w:val="2"/>
          </w:tcPr>
          <w:p>
            <w:pPr>
              <w:ind w:left="20"/>
              <w:spacing w:after="0" w:line="108" w:lineRule="exact"/>
              <w:rPr>
                <w:sz w:val="20"/>
                <w:szCs w:val="20"/>
                <w:color w:val="auto"/>
              </w:rPr>
            </w:pPr>
            <w:r>
              <w:rPr>
                <w:rFonts w:ascii="Arial" w:cs="Arial" w:eastAsia="Arial" w:hAnsi="Arial"/>
                <w:sz w:val="12"/>
                <w:szCs w:val="12"/>
                <w:color w:val="auto"/>
              </w:rPr>
              <w:t>Time Based</w:t>
            </w:r>
          </w:p>
        </w:tc>
        <w:tc>
          <w:tcPr>
            <w:tcW w:w="2260" w:type="dxa"/>
            <w:vAlign w:val="bottom"/>
            <w:gridSpan w:val="2"/>
          </w:tcPr>
          <w:p>
            <w:pPr>
              <w:ind w:left="260"/>
              <w:spacing w:after="0" w:line="108" w:lineRule="exact"/>
              <w:rPr>
                <w:sz w:val="20"/>
                <w:szCs w:val="20"/>
                <w:color w:val="auto"/>
              </w:rPr>
            </w:pPr>
            <w:r>
              <w:rPr>
                <w:rFonts w:ascii="Arial" w:cs="Arial" w:eastAsia="Arial" w:hAnsi="Arial"/>
                <w:sz w:val="12"/>
                <w:szCs w:val="12"/>
                <w:color w:val="auto"/>
              </w:rPr>
              <w:t>20.0% annually over 5 years</w:t>
            </w:r>
          </w:p>
        </w:tc>
        <w:tc>
          <w:tcPr>
            <w:tcW w:w="0" w:type="dxa"/>
            <w:vAlign w:val="bottom"/>
          </w:tcPr>
          <w:p>
            <w:pPr>
              <w:spacing w:after="0"/>
              <w:rPr>
                <w:sz w:val="1"/>
                <w:szCs w:val="1"/>
                <w:color w:val="auto"/>
              </w:rPr>
            </w:pPr>
          </w:p>
        </w:tc>
      </w:tr>
      <w:tr>
        <w:trPr>
          <w:trHeight w:val="30"/>
        </w:trPr>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80" w:type="dxa"/>
            <w:vAlign w:val="bottom"/>
            <w:vMerge w:val="continue"/>
          </w:tcPr>
          <w:p>
            <w:pPr>
              <w:spacing w:after="0"/>
              <w:rPr>
                <w:sz w:val="2"/>
                <w:szCs w:val="2"/>
                <w:color w:val="auto"/>
              </w:rPr>
            </w:pPr>
          </w:p>
        </w:tc>
        <w:tc>
          <w:tcPr>
            <w:tcW w:w="1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78"/>
        </w:trPr>
        <w:tc>
          <w:tcPr>
            <w:tcW w:w="9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0" w:type="dxa"/>
            <w:vAlign w:val="bottom"/>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20" w:type="dxa"/>
            <w:vAlign w:val="bottom"/>
          </w:tcPr>
          <w:p>
            <w:pPr>
              <w:spacing w:after="0"/>
              <w:rPr>
                <w:sz w:val="6"/>
                <w:szCs w:val="6"/>
                <w:color w:val="auto"/>
              </w:rPr>
            </w:pPr>
          </w:p>
        </w:tc>
        <w:tc>
          <w:tcPr>
            <w:tcW w:w="900" w:type="dxa"/>
            <w:vAlign w:val="bottom"/>
          </w:tcPr>
          <w:p>
            <w:pPr>
              <w:spacing w:after="0"/>
              <w:rPr>
                <w:sz w:val="6"/>
                <w:szCs w:val="6"/>
                <w:color w:val="auto"/>
              </w:rPr>
            </w:pPr>
          </w:p>
        </w:tc>
        <w:tc>
          <w:tcPr>
            <w:tcW w:w="280" w:type="dxa"/>
            <w:vAlign w:val="bottom"/>
          </w:tcPr>
          <w:p>
            <w:pPr>
              <w:spacing w:after="0"/>
              <w:rPr>
                <w:sz w:val="6"/>
                <w:szCs w:val="6"/>
                <w:color w:val="auto"/>
              </w:rPr>
            </w:pPr>
          </w:p>
        </w:tc>
        <w:tc>
          <w:tcPr>
            <w:tcW w:w="140" w:type="dxa"/>
            <w:vAlign w:val="bottom"/>
          </w:tcPr>
          <w:p>
            <w:pPr>
              <w:spacing w:after="0"/>
              <w:rPr>
                <w:sz w:val="6"/>
                <w:szCs w:val="6"/>
                <w:color w:val="auto"/>
              </w:rPr>
            </w:pPr>
          </w:p>
        </w:tc>
        <w:tc>
          <w:tcPr>
            <w:tcW w:w="960" w:type="dxa"/>
            <w:vAlign w:val="bottom"/>
          </w:tcPr>
          <w:p>
            <w:pPr>
              <w:spacing w:after="0"/>
              <w:rPr>
                <w:sz w:val="6"/>
                <w:szCs w:val="6"/>
                <w:color w:val="auto"/>
              </w:rPr>
            </w:pPr>
          </w:p>
        </w:tc>
        <w:tc>
          <w:tcPr>
            <w:tcW w:w="280" w:type="dxa"/>
            <w:vAlign w:val="bottom"/>
          </w:tcPr>
          <w:p>
            <w:pPr>
              <w:spacing w:after="0"/>
              <w:rPr>
                <w:sz w:val="6"/>
                <w:szCs w:val="6"/>
                <w:color w:val="auto"/>
              </w:rPr>
            </w:pPr>
          </w:p>
        </w:tc>
        <w:tc>
          <w:tcPr>
            <w:tcW w:w="14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8"/>
        </w:trPr>
        <w:tc>
          <w:tcPr>
            <w:tcW w:w="960" w:type="dxa"/>
            <w:vAlign w:val="bottom"/>
            <w:vMerge w:val="restart"/>
            <w:shd w:val="clear" w:color="auto" w:fill="CCEEFF"/>
          </w:tcPr>
          <w:p>
            <w:pPr>
              <w:jc w:val="center"/>
              <w:spacing w:after="0"/>
              <w:rPr>
                <w:sz w:val="20"/>
                <w:szCs w:val="20"/>
                <w:color w:val="auto"/>
              </w:rPr>
            </w:pPr>
            <w:r>
              <w:rPr>
                <w:rFonts w:ascii="Arial" w:cs="Arial" w:eastAsia="Arial" w:hAnsi="Arial"/>
                <w:sz w:val="15"/>
                <w:szCs w:val="15"/>
                <w:color w:val="auto"/>
                <w:w w:val="89"/>
              </w:rPr>
              <w:t>2019</w:t>
            </w:r>
          </w:p>
        </w:tc>
        <w:tc>
          <w:tcPr>
            <w:tcW w:w="120" w:type="dxa"/>
            <w:vAlign w:val="bottom"/>
            <w:shd w:val="clear" w:color="auto" w:fill="CCEEFF"/>
          </w:tcPr>
          <w:p>
            <w:pPr>
              <w:spacing w:after="0"/>
              <w:rPr>
                <w:sz w:val="12"/>
                <w:szCs w:val="12"/>
                <w:color w:val="auto"/>
              </w:rPr>
            </w:pPr>
          </w:p>
        </w:tc>
        <w:tc>
          <w:tcPr>
            <w:tcW w:w="1500" w:type="dxa"/>
            <w:vAlign w:val="bottom"/>
            <w:gridSpan w:val="2"/>
            <w:vMerge w:val="restart"/>
            <w:shd w:val="clear" w:color="auto" w:fill="CCEEFF"/>
          </w:tcPr>
          <w:p>
            <w:pPr>
              <w:ind w:left="20"/>
              <w:spacing w:after="0"/>
              <w:rPr>
                <w:sz w:val="20"/>
                <w:szCs w:val="20"/>
                <w:color w:val="auto"/>
              </w:rPr>
            </w:pPr>
            <w:r>
              <w:rPr>
                <w:rFonts w:ascii="Arial" w:cs="Arial" w:eastAsia="Arial" w:hAnsi="Arial"/>
                <w:sz w:val="15"/>
                <w:szCs w:val="15"/>
                <w:color w:val="auto"/>
              </w:rPr>
              <w:t>Executive Officers</w:t>
            </w:r>
          </w:p>
        </w:tc>
        <w:tc>
          <w:tcPr>
            <w:tcW w:w="340" w:type="dxa"/>
            <w:vAlign w:val="bottom"/>
            <w:vMerge w:val="restart"/>
            <w:shd w:val="clear" w:color="auto" w:fill="CCEEFF"/>
          </w:tcPr>
          <w:p>
            <w:pPr>
              <w:ind w:left="20"/>
              <w:spacing w:after="0"/>
              <w:rPr>
                <w:sz w:val="20"/>
                <w:szCs w:val="20"/>
                <w:color w:val="auto"/>
              </w:rPr>
            </w:pPr>
            <w:r>
              <w:rPr>
                <w:rFonts w:ascii="Arial" w:cs="Arial" w:eastAsia="Arial" w:hAnsi="Arial"/>
                <w:sz w:val="15"/>
                <w:szCs w:val="15"/>
                <w:color w:val="auto"/>
                <w:w w:val="89"/>
              </w:rPr>
              <w:t>2015</w:t>
            </w:r>
          </w:p>
        </w:tc>
        <w:tc>
          <w:tcPr>
            <w:tcW w:w="1940" w:type="dxa"/>
            <w:vAlign w:val="bottom"/>
            <w:gridSpan w:val="2"/>
            <w:vMerge w:val="restart"/>
            <w:shd w:val="clear" w:color="auto" w:fill="CCEEFF"/>
          </w:tcPr>
          <w:p>
            <w:pPr>
              <w:ind w:left="20"/>
              <w:spacing w:after="0"/>
              <w:rPr>
                <w:sz w:val="20"/>
                <w:szCs w:val="20"/>
                <w:color w:val="auto"/>
              </w:rPr>
            </w:pPr>
            <w:r>
              <w:rPr>
                <w:rFonts w:ascii="Arial" w:cs="Arial" w:eastAsia="Arial" w:hAnsi="Arial"/>
                <w:sz w:val="15"/>
                <w:szCs w:val="15"/>
                <w:color w:val="auto"/>
              </w:rPr>
              <w:t>Equity Incentive Plan</w:t>
            </w:r>
          </w:p>
        </w:tc>
        <w:tc>
          <w:tcPr>
            <w:tcW w:w="900" w:type="dxa"/>
            <w:vAlign w:val="bottom"/>
            <w:vMerge w:val="restart"/>
            <w:shd w:val="clear" w:color="auto" w:fill="CCEEFF"/>
          </w:tcPr>
          <w:p>
            <w:pPr>
              <w:jc w:val="right"/>
              <w:ind w:right="69"/>
              <w:spacing w:after="0"/>
              <w:rPr>
                <w:sz w:val="20"/>
                <w:szCs w:val="20"/>
                <w:color w:val="auto"/>
              </w:rPr>
            </w:pPr>
            <w:r>
              <w:rPr>
                <w:rFonts w:ascii="Arial" w:cs="Arial" w:eastAsia="Arial" w:hAnsi="Arial"/>
                <w:sz w:val="15"/>
                <w:szCs w:val="15"/>
                <w:color w:val="auto"/>
              </w:rPr>
              <w:t>66,000</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0"/>
                <w:szCs w:val="10"/>
                <w:color w:val="auto"/>
                <w:w w:val="97"/>
              </w:rPr>
              <w:t>(3)</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960" w:type="dxa"/>
            <w:vAlign w:val="bottom"/>
            <w:vMerge w:val="restart"/>
            <w:shd w:val="clear" w:color="auto" w:fill="CCEEFF"/>
          </w:tcPr>
          <w:p>
            <w:pPr>
              <w:jc w:val="right"/>
              <w:ind w:right="89"/>
              <w:spacing w:after="0"/>
              <w:rPr>
                <w:sz w:val="20"/>
                <w:szCs w:val="20"/>
                <w:color w:val="auto"/>
              </w:rPr>
            </w:pPr>
            <w:r>
              <w:rPr>
                <w:rFonts w:ascii="Arial" w:cs="Arial" w:eastAsia="Arial" w:hAnsi="Arial"/>
                <w:sz w:val="15"/>
                <w:szCs w:val="15"/>
                <w:color w:val="auto"/>
              </w:rPr>
              <w:t>115.39</w:t>
            </w:r>
          </w:p>
        </w:tc>
        <w:tc>
          <w:tcPr>
            <w:tcW w:w="280" w:type="dxa"/>
            <w:vAlign w:val="bottom"/>
            <w:shd w:val="clear" w:color="auto" w:fill="CCEEFF"/>
          </w:tcPr>
          <w:p>
            <w:pPr>
              <w:ind w:left="20"/>
              <w:spacing w:after="0"/>
              <w:rPr>
                <w:sz w:val="20"/>
                <w:szCs w:val="20"/>
                <w:color w:val="auto"/>
              </w:rPr>
            </w:pPr>
            <w:r>
              <w:rPr>
                <w:rFonts w:ascii="Arial" w:cs="Arial" w:eastAsia="Arial" w:hAnsi="Arial"/>
                <w:sz w:val="10"/>
                <w:szCs w:val="10"/>
                <w:color w:val="auto"/>
              </w:rPr>
              <w:t>(3)</w:t>
            </w:r>
          </w:p>
        </w:tc>
        <w:tc>
          <w:tcPr>
            <w:tcW w:w="1560" w:type="dxa"/>
            <w:vAlign w:val="bottom"/>
            <w:gridSpan w:val="2"/>
            <w:vMerge w:val="restart"/>
            <w:shd w:val="clear" w:color="auto" w:fill="CCEEFF"/>
          </w:tcPr>
          <w:p>
            <w:pPr>
              <w:ind w:left="20"/>
              <w:spacing w:after="0"/>
              <w:rPr>
                <w:sz w:val="20"/>
                <w:szCs w:val="20"/>
                <w:color w:val="auto"/>
              </w:rPr>
            </w:pPr>
            <w:r>
              <w:rPr>
                <w:rFonts w:ascii="Arial" w:cs="Arial" w:eastAsia="Arial" w:hAnsi="Arial"/>
                <w:sz w:val="15"/>
                <w:szCs w:val="15"/>
                <w:color w:val="auto"/>
              </w:rPr>
              <w:t>Market Condition</w:t>
            </w:r>
          </w:p>
        </w:tc>
        <w:tc>
          <w:tcPr>
            <w:tcW w:w="1160" w:type="dxa"/>
            <w:vAlign w:val="bottom"/>
            <w:vMerge w:val="restart"/>
            <w:shd w:val="clear" w:color="auto" w:fill="CCEEFF"/>
          </w:tcPr>
          <w:p>
            <w:pPr>
              <w:jc w:val="center"/>
              <w:spacing w:after="0"/>
              <w:rPr>
                <w:sz w:val="20"/>
                <w:szCs w:val="20"/>
                <w:color w:val="auto"/>
              </w:rPr>
            </w:pPr>
            <w:r>
              <w:rPr>
                <w:rFonts w:ascii="Arial" w:cs="Arial" w:eastAsia="Arial" w:hAnsi="Arial"/>
                <w:sz w:val="15"/>
                <w:szCs w:val="15"/>
                <w:color w:val="auto"/>
                <w:w w:val="92"/>
              </w:rPr>
              <w:t>3rd</w:t>
            </w: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100.0 %</w:t>
            </w:r>
          </w:p>
        </w:tc>
        <w:tc>
          <w:tcPr>
            <w:tcW w:w="0" w:type="dxa"/>
            <w:vAlign w:val="bottom"/>
          </w:tcPr>
          <w:p>
            <w:pPr>
              <w:spacing w:after="0"/>
              <w:rPr>
                <w:sz w:val="1"/>
                <w:szCs w:val="1"/>
                <w:color w:val="auto"/>
              </w:rPr>
            </w:pPr>
          </w:p>
        </w:tc>
      </w:tr>
      <w:tr>
        <w:trPr>
          <w:trHeight w:val="78"/>
        </w:trPr>
        <w:tc>
          <w:tcPr>
            <w:tcW w:w="96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500" w:type="dxa"/>
            <w:vAlign w:val="bottom"/>
            <w:gridSpan w:val="2"/>
            <w:vMerge w:val="continue"/>
            <w:shd w:val="clear" w:color="auto" w:fill="CCEEFF"/>
          </w:tcPr>
          <w:p>
            <w:pPr>
              <w:spacing w:after="0"/>
              <w:rPr>
                <w:sz w:val="6"/>
                <w:szCs w:val="6"/>
                <w:color w:val="auto"/>
              </w:rPr>
            </w:pPr>
          </w:p>
        </w:tc>
        <w:tc>
          <w:tcPr>
            <w:tcW w:w="340" w:type="dxa"/>
            <w:vAlign w:val="bottom"/>
            <w:vMerge w:val="continue"/>
            <w:shd w:val="clear" w:color="auto" w:fill="CCEEFF"/>
          </w:tcPr>
          <w:p>
            <w:pPr>
              <w:spacing w:after="0"/>
              <w:rPr>
                <w:sz w:val="6"/>
                <w:szCs w:val="6"/>
                <w:color w:val="auto"/>
              </w:rPr>
            </w:pPr>
          </w:p>
        </w:tc>
        <w:tc>
          <w:tcPr>
            <w:tcW w:w="1940" w:type="dxa"/>
            <w:vAlign w:val="bottom"/>
            <w:gridSpan w:val="2"/>
            <w:vMerge w:val="continue"/>
            <w:shd w:val="clear" w:color="auto" w:fill="CCEEFF"/>
          </w:tcPr>
          <w:p>
            <w:pPr>
              <w:spacing w:after="0"/>
              <w:rPr>
                <w:sz w:val="6"/>
                <w:szCs w:val="6"/>
                <w:color w:val="auto"/>
              </w:rPr>
            </w:pPr>
          </w:p>
        </w:tc>
        <w:tc>
          <w:tcPr>
            <w:tcW w:w="900" w:type="dxa"/>
            <w:vAlign w:val="bottom"/>
            <w:vMerge w:val="continue"/>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140" w:type="dxa"/>
            <w:vAlign w:val="bottom"/>
            <w:vMerge w:val="continue"/>
            <w:shd w:val="clear" w:color="auto" w:fill="CCEEFF"/>
          </w:tcPr>
          <w:p>
            <w:pPr>
              <w:spacing w:after="0"/>
              <w:rPr>
                <w:sz w:val="6"/>
                <w:szCs w:val="6"/>
                <w:color w:val="auto"/>
              </w:rPr>
            </w:pPr>
          </w:p>
        </w:tc>
        <w:tc>
          <w:tcPr>
            <w:tcW w:w="960" w:type="dxa"/>
            <w:vAlign w:val="bottom"/>
            <w:vMerge w:val="continue"/>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1560" w:type="dxa"/>
            <w:vAlign w:val="bottom"/>
            <w:gridSpan w:val="2"/>
            <w:vMerge w:val="continue"/>
            <w:shd w:val="clear" w:color="auto" w:fill="CCEEFF"/>
          </w:tcPr>
          <w:p>
            <w:pPr>
              <w:spacing w:after="0"/>
              <w:rPr>
                <w:sz w:val="6"/>
                <w:szCs w:val="6"/>
                <w:color w:val="auto"/>
              </w:rPr>
            </w:pPr>
          </w:p>
        </w:tc>
        <w:tc>
          <w:tcPr>
            <w:tcW w:w="1160" w:type="dxa"/>
            <w:vAlign w:val="bottom"/>
            <w:vMerge w:val="continue"/>
            <w:shd w:val="clear" w:color="auto" w:fill="CCEEFF"/>
          </w:tcPr>
          <w:p>
            <w:pPr>
              <w:spacing w:after="0"/>
              <w:rPr>
                <w:sz w:val="6"/>
                <w:szCs w:val="6"/>
                <w:color w:val="auto"/>
              </w:rPr>
            </w:pPr>
          </w:p>
        </w:tc>
        <w:tc>
          <w:tcPr>
            <w:tcW w:w="11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6"/>
        </w:trPr>
        <w:tc>
          <w:tcPr>
            <w:tcW w:w="960" w:type="dxa"/>
            <w:vAlign w:val="bottom"/>
          </w:tcPr>
          <w:p>
            <w:pPr>
              <w:jc w:val="center"/>
              <w:spacing w:after="0"/>
              <w:rPr>
                <w:sz w:val="20"/>
                <w:szCs w:val="20"/>
                <w:color w:val="auto"/>
              </w:rPr>
            </w:pPr>
            <w:r>
              <w:rPr>
                <w:rFonts w:ascii="Arial" w:cs="Arial" w:eastAsia="Arial" w:hAnsi="Arial"/>
                <w:sz w:val="15"/>
                <w:szCs w:val="15"/>
                <w:color w:val="auto"/>
                <w:w w:val="89"/>
              </w:rPr>
              <w:t>2019</w:t>
            </w:r>
          </w:p>
        </w:tc>
        <w:tc>
          <w:tcPr>
            <w:tcW w:w="120" w:type="dxa"/>
            <w:vAlign w:val="bottom"/>
          </w:tcPr>
          <w:p>
            <w:pPr>
              <w:spacing w:after="0"/>
              <w:rPr>
                <w:sz w:val="15"/>
                <w:szCs w:val="15"/>
                <w:color w:val="auto"/>
              </w:rPr>
            </w:pPr>
          </w:p>
        </w:tc>
        <w:tc>
          <w:tcPr>
            <w:tcW w:w="1500" w:type="dxa"/>
            <w:vAlign w:val="bottom"/>
            <w:gridSpan w:val="2"/>
          </w:tcPr>
          <w:p>
            <w:pPr>
              <w:ind w:left="20"/>
              <w:spacing w:after="0"/>
              <w:rPr>
                <w:sz w:val="20"/>
                <w:szCs w:val="20"/>
                <w:color w:val="auto"/>
              </w:rPr>
            </w:pPr>
            <w:r>
              <w:rPr>
                <w:rFonts w:ascii="Arial" w:cs="Arial" w:eastAsia="Arial" w:hAnsi="Arial"/>
                <w:sz w:val="15"/>
                <w:szCs w:val="15"/>
                <w:color w:val="auto"/>
              </w:rPr>
              <w:t>Directors</w:t>
            </w:r>
          </w:p>
        </w:tc>
        <w:tc>
          <w:tcPr>
            <w:tcW w:w="340" w:type="dxa"/>
            <w:vAlign w:val="bottom"/>
          </w:tcPr>
          <w:p>
            <w:pPr>
              <w:ind w:left="20"/>
              <w:spacing w:after="0"/>
              <w:rPr>
                <w:sz w:val="20"/>
                <w:szCs w:val="20"/>
                <w:color w:val="auto"/>
              </w:rPr>
            </w:pPr>
            <w:r>
              <w:rPr>
                <w:rFonts w:ascii="Arial" w:cs="Arial" w:eastAsia="Arial" w:hAnsi="Arial"/>
                <w:sz w:val="15"/>
                <w:szCs w:val="15"/>
                <w:color w:val="auto"/>
                <w:w w:val="89"/>
              </w:rPr>
              <w:t>2004</w:t>
            </w:r>
          </w:p>
        </w:tc>
        <w:tc>
          <w:tcPr>
            <w:tcW w:w="1940" w:type="dxa"/>
            <w:vAlign w:val="bottom"/>
            <w:gridSpan w:val="2"/>
          </w:tcPr>
          <w:p>
            <w:pPr>
              <w:ind w:left="20"/>
              <w:spacing w:after="0"/>
              <w:rPr>
                <w:sz w:val="20"/>
                <w:szCs w:val="20"/>
                <w:color w:val="auto"/>
              </w:rPr>
            </w:pPr>
            <w:r>
              <w:rPr>
                <w:rFonts w:ascii="Arial" w:cs="Arial" w:eastAsia="Arial" w:hAnsi="Arial"/>
                <w:sz w:val="15"/>
                <w:szCs w:val="15"/>
                <w:color w:val="auto"/>
              </w:rPr>
              <w:t>Non-Employee Director</w:t>
            </w:r>
          </w:p>
        </w:tc>
        <w:tc>
          <w:tcPr>
            <w:tcW w:w="900" w:type="dxa"/>
            <w:vAlign w:val="bottom"/>
          </w:tcPr>
          <w:p>
            <w:pPr>
              <w:jc w:val="right"/>
              <w:ind w:right="69"/>
              <w:spacing w:after="0"/>
              <w:rPr>
                <w:sz w:val="20"/>
                <w:szCs w:val="20"/>
                <w:color w:val="auto"/>
              </w:rPr>
            </w:pPr>
            <w:r>
              <w:rPr>
                <w:rFonts w:ascii="Arial" w:cs="Arial" w:eastAsia="Arial" w:hAnsi="Arial"/>
                <w:sz w:val="15"/>
                <w:szCs w:val="15"/>
                <w:color w:val="auto"/>
              </w:rPr>
              <w:t>18,000</w:t>
            </w:r>
          </w:p>
        </w:tc>
        <w:tc>
          <w:tcPr>
            <w:tcW w:w="28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960" w:type="dxa"/>
            <w:vAlign w:val="bottom"/>
          </w:tcPr>
          <w:p>
            <w:pPr>
              <w:jc w:val="right"/>
              <w:ind w:right="89"/>
              <w:spacing w:after="0"/>
              <w:rPr>
                <w:sz w:val="20"/>
                <w:szCs w:val="20"/>
                <w:color w:val="auto"/>
              </w:rPr>
            </w:pPr>
            <w:r>
              <w:rPr>
                <w:rFonts w:ascii="Arial" w:cs="Arial" w:eastAsia="Arial" w:hAnsi="Arial"/>
                <w:sz w:val="15"/>
                <w:szCs w:val="15"/>
                <w:color w:val="auto"/>
              </w:rPr>
              <w:t>113.68</w:t>
            </w:r>
          </w:p>
        </w:tc>
        <w:tc>
          <w:tcPr>
            <w:tcW w:w="280" w:type="dxa"/>
            <w:vAlign w:val="bottom"/>
          </w:tcPr>
          <w:p>
            <w:pPr>
              <w:ind w:left="20"/>
              <w:spacing w:after="0"/>
              <w:rPr>
                <w:sz w:val="20"/>
                <w:szCs w:val="20"/>
                <w:color w:val="auto"/>
              </w:rPr>
            </w:pPr>
            <w:r>
              <w:rPr>
                <w:rFonts w:ascii="Arial" w:cs="Arial" w:eastAsia="Arial" w:hAnsi="Arial"/>
                <w:sz w:val="10"/>
                <w:szCs w:val="10"/>
                <w:color w:val="auto"/>
              </w:rPr>
              <w:t>(1)</w:t>
            </w:r>
          </w:p>
        </w:tc>
        <w:tc>
          <w:tcPr>
            <w:tcW w:w="1560" w:type="dxa"/>
            <w:vAlign w:val="bottom"/>
            <w:gridSpan w:val="2"/>
          </w:tcPr>
          <w:p>
            <w:pPr>
              <w:ind w:left="20"/>
              <w:spacing w:after="0"/>
              <w:rPr>
                <w:sz w:val="20"/>
                <w:szCs w:val="20"/>
                <w:color w:val="auto"/>
              </w:rPr>
            </w:pPr>
            <w:r>
              <w:rPr>
                <w:rFonts w:ascii="Arial" w:cs="Arial" w:eastAsia="Arial" w:hAnsi="Arial"/>
                <w:sz w:val="15"/>
                <w:szCs w:val="15"/>
                <w:color w:val="auto"/>
              </w:rPr>
              <w:t>Time Based</w:t>
            </w:r>
          </w:p>
        </w:tc>
        <w:tc>
          <w:tcPr>
            <w:tcW w:w="1160" w:type="dxa"/>
            <w:vAlign w:val="bottom"/>
          </w:tcPr>
          <w:p>
            <w:pPr>
              <w:jc w:val="center"/>
              <w:spacing w:after="0"/>
              <w:rPr>
                <w:sz w:val="20"/>
                <w:szCs w:val="20"/>
                <w:color w:val="auto"/>
              </w:rPr>
            </w:pPr>
            <w:r>
              <w:rPr>
                <w:rFonts w:ascii="Arial" w:cs="Arial" w:eastAsia="Arial" w:hAnsi="Arial"/>
                <w:sz w:val="15"/>
                <w:szCs w:val="15"/>
                <w:color w:val="auto"/>
                <w:w w:val="92"/>
              </w:rPr>
              <w:t>3rd</w:t>
            </w:r>
          </w:p>
        </w:tc>
        <w:tc>
          <w:tcPr>
            <w:tcW w:w="1100" w:type="dxa"/>
            <w:vAlign w:val="bottom"/>
          </w:tcPr>
          <w:p>
            <w:pPr>
              <w:jc w:val="right"/>
              <w:spacing w:after="0"/>
              <w:rPr>
                <w:sz w:val="20"/>
                <w:szCs w:val="20"/>
                <w:color w:val="auto"/>
              </w:rPr>
            </w:pPr>
            <w:r>
              <w:rPr>
                <w:rFonts w:ascii="Arial" w:cs="Arial" w:eastAsia="Arial" w:hAnsi="Arial"/>
                <w:sz w:val="15"/>
                <w:szCs w:val="15"/>
                <w:color w:val="auto"/>
              </w:rPr>
              <w:t>100.0 %</w:t>
            </w:r>
          </w:p>
        </w:tc>
        <w:tc>
          <w:tcPr>
            <w:tcW w:w="0" w:type="dxa"/>
            <w:vAlign w:val="bottom"/>
          </w:tcPr>
          <w:p>
            <w:pPr>
              <w:spacing w:after="0"/>
              <w:rPr>
                <w:sz w:val="1"/>
                <w:szCs w:val="1"/>
                <w:color w:val="auto"/>
              </w:rPr>
            </w:pPr>
          </w:p>
        </w:tc>
      </w:tr>
      <w:tr>
        <w:trPr>
          <w:trHeight w:val="198"/>
        </w:trPr>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80" w:type="dxa"/>
            <w:vAlign w:val="bottom"/>
            <w:gridSpan w:val="3"/>
          </w:tcPr>
          <w:p>
            <w:pPr>
              <w:ind w:left="20"/>
              <w:spacing w:after="0"/>
              <w:rPr>
                <w:sz w:val="20"/>
                <w:szCs w:val="20"/>
                <w:color w:val="auto"/>
              </w:rPr>
            </w:pPr>
            <w:r>
              <w:rPr>
                <w:rFonts w:ascii="Arial" w:cs="Arial" w:eastAsia="Arial" w:hAnsi="Arial"/>
                <w:sz w:val="15"/>
                <w:szCs w:val="15"/>
                <w:color w:val="auto"/>
              </w:rPr>
              <w:t>Option Plan</w:t>
            </w:r>
          </w:p>
        </w:tc>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12"/>
        </w:trPr>
        <w:tc>
          <w:tcPr>
            <w:tcW w:w="960" w:type="dxa"/>
            <w:vAlign w:val="bottom"/>
            <w:shd w:val="clear" w:color="auto" w:fill="CCEEFF"/>
          </w:tcPr>
          <w:p>
            <w:pPr>
              <w:jc w:val="center"/>
              <w:spacing w:after="0" w:line="112" w:lineRule="exact"/>
              <w:rPr>
                <w:sz w:val="20"/>
                <w:szCs w:val="20"/>
                <w:color w:val="auto"/>
              </w:rPr>
            </w:pPr>
            <w:r>
              <w:rPr>
                <w:rFonts w:ascii="Arial" w:cs="Arial" w:eastAsia="Arial" w:hAnsi="Arial"/>
                <w:sz w:val="12"/>
                <w:szCs w:val="12"/>
                <w:color w:val="auto"/>
              </w:rPr>
              <w:t>2019</w:t>
            </w:r>
          </w:p>
        </w:tc>
        <w:tc>
          <w:tcPr>
            <w:tcW w:w="120" w:type="dxa"/>
            <w:vAlign w:val="bottom"/>
            <w:shd w:val="clear" w:color="auto" w:fill="CCEEFF"/>
          </w:tcPr>
          <w:p>
            <w:pPr>
              <w:spacing w:after="0"/>
              <w:rPr>
                <w:sz w:val="9"/>
                <w:szCs w:val="9"/>
                <w:color w:val="auto"/>
              </w:rPr>
            </w:pPr>
          </w:p>
        </w:tc>
        <w:tc>
          <w:tcPr>
            <w:tcW w:w="1500" w:type="dxa"/>
            <w:vAlign w:val="bottom"/>
            <w:gridSpan w:val="2"/>
            <w:shd w:val="clear" w:color="auto" w:fill="CCEEFF"/>
          </w:tcPr>
          <w:p>
            <w:pPr>
              <w:ind w:left="20"/>
              <w:spacing w:after="0" w:line="112" w:lineRule="exact"/>
              <w:rPr>
                <w:sz w:val="20"/>
                <w:szCs w:val="20"/>
                <w:color w:val="auto"/>
              </w:rPr>
            </w:pPr>
            <w:r>
              <w:rPr>
                <w:rFonts w:ascii="Arial" w:cs="Arial" w:eastAsia="Arial" w:hAnsi="Arial"/>
                <w:sz w:val="12"/>
                <w:szCs w:val="12"/>
                <w:color w:val="auto"/>
              </w:rPr>
              <w:t>Key Employees</w:t>
            </w:r>
          </w:p>
        </w:tc>
        <w:tc>
          <w:tcPr>
            <w:tcW w:w="340" w:type="dxa"/>
            <w:vAlign w:val="bottom"/>
            <w:shd w:val="clear" w:color="auto" w:fill="CCEEFF"/>
          </w:tcPr>
          <w:p>
            <w:pPr>
              <w:ind w:left="20"/>
              <w:spacing w:after="0" w:line="112" w:lineRule="exact"/>
              <w:rPr>
                <w:sz w:val="20"/>
                <w:szCs w:val="20"/>
                <w:color w:val="auto"/>
              </w:rPr>
            </w:pPr>
            <w:r>
              <w:rPr>
                <w:rFonts w:ascii="Arial" w:cs="Arial" w:eastAsia="Arial" w:hAnsi="Arial"/>
                <w:sz w:val="12"/>
                <w:szCs w:val="12"/>
                <w:color w:val="auto"/>
              </w:rPr>
              <w:t>2015</w:t>
            </w:r>
          </w:p>
        </w:tc>
        <w:tc>
          <w:tcPr>
            <w:tcW w:w="1940" w:type="dxa"/>
            <w:vAlign w:val="bottom"/>
            <w:gridSpan w:val="2"/>
            <w:shd w:val="clear" w:color="auto" w:fill="CCEEFF"/>
          </w:tcPr>
          <w:p>
            <w:pPr>
              <w:ind w:left="20"/>
              <w:spacing w:after="0" w:line="112" w:lineRule="exact"/>
              <w:rPr>
                <w:sz w:val="20"/>
                <w:szCs w:val="20"/>
                <w:color w:val="auto"/>
              </w:rPr>
            </w:pPr>
            <w:r>
              <w:rPr>
                <w:rFonts w:ascii="Arial" w:cs="Arial" w:eastAsia="Arial" w:hAnsi="Arial"/>
                <w:sz w:val="12"/>
                <w:szCs w:val="12"/>
                <w:color w:val="auto"/>
              </w:rPr>
              <w:t>Equity Incentive Plan</w:t>
            </w:r>
          </w:p>
        </w:tc>
        <w:tc>
          <w:tcPr>
            <w:tcW w:w="900" w:type="dxa"/>
            <w:vAlign w:val="bottom"/>
            <w:shd w:val="clear" w:color="auto" w:fill="CCEEFF"/>
          </w:tcPr>
          <w:p>
            <w:pPr>
              <w:jc w:val="right"/>
              <w:ind w:right="69"/>
              <w:spacing w:after="0" w:line="112" w:lineRule="exact"/>
              <w:rPr>
                <w:sz w:val="20"/>
                <w:szCs w:val="20"/>
                <w:color w:val="auto"/>
              </w:rPr>
            </w:pPr>
            <w:r>
              <w:rPr>
                <w:rFonts w:ascii="Arial" w:cs="Arial" w:eastAsia="Arial" w:hAnsi="Arial"/>
                <w:sz w:val="12"/>
                <w:szCs w:val="12"/>
                <w:color w:val="auto"/>
              </w:rPr>
              <w:t>55,770</w:t>
            </w:r>
          </w:p>
        </w:tc>
        <w:tc>
          <w:tcPr>
            <w:tcW w:w="280" w:type="dxa"/>
            <w:vAlign w:val="bottom"/>
            <w:shd w:val="clear" w:color="auto" w:fill="CCEEFF"/>
          </w:tcPr>
          <w:p>
            <w:pPr>
              <w:spacing w:after="0"/>
              <w:rPr>
                <w:sz w:val="9"/>
                <w:szCs w:val="9"/>
                <w:color w:val="auto"/>
              </w:rPr>
            </w:pPr>
          </w:p>
        </w:tc>
        <w:tc>
          <w:tcPr>
            <w:tcW w:w="140" w:type="dxa"/>
            <w:vAlign w:val="bottom"/>
            <w:shd w:val="clear" w:color="auto" w:fill="CCEEFF"/>
          </w:tcPr>
          <w:p>
            <w:pPr>
              <w:jc w:val="right"/>
              <w:spacing w:after="0" w:line="112" w:lineRule="exact"/>
              <w:rPr>
                <w:sz w:val="20"/>
                <w:szCs w:val="20"/>
                <w:color w:val="auto"/>
              </w:rPr>
            </w:pPr>
            <w:r>
              <w:rPr>
                <w:rFonts w:ascii="Arial" w:cs="Arial" w:eastAsia="Arial" w:hAnsi="Arial"/>
                <w:sz w:val="12"/>
                <w:szCs w:val="12"/>
                <w:color w:val="auto"/>
              </w:rPr>
              <w:t>$</w:t>
            </w:r>
          </w:p>
        </w:tc>
        <w:tc>
          <w:tcPr>
            <w:tcW w:w="960" w:type="dxa"/>
            <w:vAlign w:val="bottom"/>
            <w:shd w:val="clear" w:color="auto" w:fill="CCEEFF"/>
          </w:tcPr>
          <w:p>
            <w:pPr>
              <w:jc w:val="right"/>
              <w:ind w:right="89"/>
              <w:spacing w:after="0" w:line="112" w:lineRule="exact"/>
              <w:rPr>
                <w:sz w:val="20"/>
                <w:szCs w:val="20"/>
                <w:color w:val="auto"/>
              </w:rPr>
            </w:pPr>
            <w:r>
              <w:rPr>
                <w:rFonts w:ascii="Arial" w:cs="Arial" w:eastAsia="Arial" w:hAnsi="Arial"/>
                <w:sz w:val="12"/>
                <w:szCs w:val="12"/>
                <w:color w:val="auto"/>
              </w:rPr>
              <w:t>120.01</w:t>
            </w:r>
          </w:p>
        </w:tc>
        <w:tc>
          <w:tcPr>
            <w:tcW w:w="280" w:type="dxa"/>
            <w:vAlign w:val="bottom"/>
            <w:vMerge w:val="restart"/>
            <w:shd w:val="clear" w:color="auto" w:fill="CCEEFF"/>
          </w:tcPr>
          <w:p>
            <w:pPr>
              <w:ind w:left="20"/>
              <w:spacing w:after="0"/>
              <w:rPr>
                <w:sz w:val="20"/>
                <w:szCs w:val="20"/>
                <w:color w:val="auto"/>
              </w:rPr>
            </w:pPr>
            <w:r>
              <w:rPr>
                <w:rFonts w:ascii="Arial" w:cs="Arial" w:eastAsia="Arial" w:hAnsi="Arial"/>
                <w:sz w:val="10"/>
                <w:szCs w:val="10"/>
                <w:color w:val="auto"/>
              </w:rPr>
              <w:t>(1)</w:t>
            </w:r>
          </w:p>
        </w:tc>
        <w:tc>
          <w:tcPr>
            <w:tcW w:w="1560" w:type="dxa"/>
            <w:vAlign w:val="bottom"/>
            <w:gridSpan w:val="2"/>
            <w:shd w:val="clear" w:color="auto" w:fill="CCEEFF"/>
          </w:tcPr>
          <w:p>
            <w:pPr>
              <w:ind w:left="20"/>
              <w:spacing w:after="0" w:line="112" w:lineRule="exact"/>
              <w:rPr>
                <w:sz w:val="20"/>
                <w:szCs w:val="20"/>
                <w:color w:val="auto"/>
              </w:rPr>
            </w:pPr>
            <w:r>
              <w:rPr>
                <w:rFonts w:ascii="Arial" w:cs="Arial" w:eastAsia="Arial" w:hAnsi="Arial"/>
                <w:sz w:val="12"/>
                <w:szCs w:val="12"/>
                <w:color w:val="auto"/>
              </w:rPr>
              <w:t>Time Based</w:t>
            </w:r>
          </w:p>
        </w:tc>
        <w:tc>
          <w:tcPr>
            <w:tcW w:w="2260" w:type="dxa"/>
            <w:vAlign w:val="bottom"/>
            <w:gridSpan w:val="2"/>
            <w:shd w:val="clear" w:color="auto" w:fill="CCEEFF"/>
          </w:tcPr>
          <w:p>
            <w:pPr>
              <w:ind w:left="260"/>
              <w:spacing w:after="0" w:line="112" w:lineRule="exact"/>
              <w:rPr>
                <w:sz w:val="20"/>
                <w:szCs w:val="20"/>
                <w:color w:val="auto"/>
              </w:rPr>
            </w:pPr>
            <w:r>
              <w:rPr>
                <w:rFonts w:ascii="Arial" w:cs="Arial" w:eastAsia="Arial" w:hAnsi="Arial"/>
                <w:sz w:val="12"/>
                <w:szCs w:val="12"/>
                <w:color w:val="auto"/>
              </w:rPr>
              <w:t>20.0% annually over 5 years</w:t>
            </w:r>
          </w:p>
        </w:tc>
        <w:tc>
          <w:tcPr>
            <w:tcW w:w="0" w:type="dxa"/>
            <w:vAlign w:val="bottom"/>
          </w:tcPr>
          <w:p>
            <w:pPr>
              <w:spacing w:after="0"/>
              <w:rPr>
                <w:sz w:val="1"/>
                <w:szCs w:val="1"/>
                <w:color w:val="auto"/>
              </w:rPr>
            </w:pPr>
          </w:p>
        </w:tc>
      </w:tr>
      <w:tr>
        <w:trPr>
          <w:trHeight w:val="30"/>
        </w:trPr>
        <w:tc>
          <w:tcPr>
            <w:tcW w:w="9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8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280" w:type="dxa"/>
            <w:vAlign w:val="bottom"/>
            <w:vMerge w:val="continue"/>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78"/>
        </w:trPr>
        <w:tc>
          <w:tcPr>
            <w:tcW w:w="9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8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90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96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14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2260" w:type="dxa"/>
            <w:vAlign w:val="bottom"/>
            <w:gridSpan w:val="2"/>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08"/>
        </w:trPr>
        <w:tc>
          <w:tcPr>
            <w:tcW w:w="960" w:type="dxa"/>
            <w:vAlign w:val="bottom"/>
          </w:tcPr>
          <w:p>
            <w:pPr>
              <w:jc w:val="center"/>
              <w:spacing w:after="0"/>
              <w:rPr>
                <w:sz w:val="20"/>
                <w:szCs w:val="20"/>
                <w:color w:val="auto"/>
              </w:rPr>
            </w:pPr>
            <w:r>
              <w:rPr>
                <w:rFonts w:ascii="Arial" w:cs="Arial" w:eastAsia="Arial" w:hAnsi="Arial"/>
                <w:sz w:val="15"/>
                <w:szCs w:val="15"/>
                <w:color w:val="auto"/>
                <w:w w:val="89"/>
              </w:rPr>
              <w:t>2019</w:t>
            </w:r>
          </w:p>
        </w:tc>
        <w:tc>
          <w:tcPr>
            <w:tcW w:w="120" w:type="dxa"/>
            <w:vAlign w:val="bottom"/>
          </w:tcPr>
          <w:p>
            <w:pPr>
              <w:spacing w:after="0"/>
              <w:rPr>
                <w:sz w:val="18"/>
                <w:szCs w:val="18"/>
                <w:color w:val="auto"/>
              </w:rPr>
            </w:pPr>
          </w:p>
        </w:tc>
        <w:tc>
          <w:tcPr>
            <w:tcW w:w="1500" w:type="dxa"/>
            <w:vAlign w:val="bottom"/>
            <w:gridSpan w:val="2"/>
          </w:tcPr>
          <w:p>
            <w:pPr>
              <w:ind w:left="20"/>
              <w:spacing w:after="0"/>
              <w:rPr>
                <w:sz w:val="20"/>
                <w:szCs w:val="20"/>
                <w:color w:val="auto"/>
              </w:rPr>
            </w:pPr>
            <w:r>
              <w:rPr>
                <w:rFonts w:ascii="Arial" w:cs="Arial" w:eastAsia="Arial" w:hAnsi="Arial"/>
                <w:sz w:val="15"/>
                <w:szCs w:val="15"/>
                <w:color w:val="auto"/>
              </w:rPr>
              <w:t>Key Employees</w:t>
            </w:r>
          </w:p>
        </w:tc>
        <w:tc>
          <w:tcPr>
            <w:tcW w:w="340" w:type="dxa"/>
            <w:vAlign w:val="bottom"/>
          </w:tcPr>
          <w:p>
            <w:pPr>
              <w:ind w:left="20"/>
              <w:spacing w:after="0"/>
              <w:rPr>
                <w:sz w:val="20"/>
                <w:szCs w:val="20"/>
                <w:color w:val="auto"/>
              </w:rPr>
            </w:pPr>
            <w:r>
              <w:rPr>
                <w:rFonts w:ascii="Arial" w:cs="Arial" w:eastAsia="Arial" w:hAnsi="Arial"/>
                <w:sz w:val="15"/>
                <w:szCs w:val="15"/>
                <w:color w:val="auto"/>
                <w:w w:val="89"/>
              </w:rPr>
              <w:t>2015</w:t>
            </w:r>
          </w:p>
        </w:tc>
        <w:tc>
          <w:tcPr>
            <w:tcW w:w="1940" w:type="dxa"/>
            <w:vAlign w:val="bottom"/>
            <w:gridSpan w:val="2"/>
          </w:tcPr>
          <w:p>
            <w:pPr>
              <w:ind w:left="20"/>
              <w:spacing w:after="0"/>
              <w:rPr>
                <w:sz w:val="20"/>
                <w:szCs w:val="20"/>
                <w:color w:val="auto"/>
              </w:rPr>
            </w:pPr>
            <w:r>
              <w:rPr>
                <w:rFonts w:ascii="Arial" w:cs="Arial" w:eastAsia="Arial" w:hAnsi="Arial"/>
                <w:sz w:val="15"/>
                <w:szCs w:val="15"/>
                <w:color w:val="auto"/>
              </w:rPr>
              <w:t>Equity Incentive Plan</w:t>
            </w:r>
          </w:p>
        </w:tc>
        <w:tc>
          <w:tcPr>
            <w:tcW w:w="900" w:type="dxa"/>
            <w:vAlign w:val="bottom"/>
          </w:tcPr>
          <w:p>
            <w:pPr>
              <w:jc w:val="right"/>
              <w:ind w:right="69"/>
              <w:spacing w:after="0"/>
              <w:rPr>
                <w:sz w:val="20"/>
                <w:szCs w:val="20"/>
                <w:color w:val="auto"/>
              </w:rPr>
            </w:pPr>
            <w:r>
              <w:rPr>
                <w:rFonts w:ascii="Arial" w:cs="Arial" w:eastAsia="Arial" w:hAnsi="Arial"/>
                <w:sz w:val="15"/>
                <w:szCs w:val="15"/>
                <w:color w:val="auto"/>
              </w:rPr>
              <w:t>6,250</w:t>
            </w:r>
          </w:p>
        </w:tc>
        <w:tc>
          <w:tcPr>
            <w:tcW w:w="2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960" w:type="dxa"/>
            <w:vAlign w:val="bottom"/>
          </w:tcPr>
          <w:p>
            <w:pPr>
              <w:jc w:val="right"/>
              <w:ind w:right="89"/>
              <w:spacing w:after="0"/>
              <w:rPr>
                <w:sz w:val="20"/>
                <w:szCs w:val="20"/>
                <w:color w:val="auto"/>
              </w:rPr>
            </w:pPr>
            <w:r>
              <w:rPr>
                <w:rFonts w:ascii="Arial" w:cs="Arial" w:eastAsia="Arial" w:hAnsi="Arial"/>
                <w:sz w:val="15"/>
                <w:szCs w:val="15"/>
                <w:color w:val="auto"/>
              </w:rPr>
              <w:t>142.48</w:t>
            </w:r>
          </w:p>
        </w:tc>
        <w:tc>
          <w:tcPr>
            <w:tcW w:w="280" w:type="dxa"/>
            <w:vAlign w:val="bottom"/>
          </w:tcPr>
          <w:p>
            <w:pPr>
              <w:ind w:left="20"/>
              <w:spacing w:after="0"/>
              <w:rPr>
                <w:sz w:val="20"/>
                <w:szCs w:val="20"/>
                <w:color w:val="auto"/>
              </w:rPr>
            </w:pPr>
            <w:r>
              <w:rPr>
                <w:rFonts w:ascii="Arial" w:cs="Arial" w:eastAsia="Arial" w:hAnsi="Arial"/>
                <w:sz w:val="15"/>
                <w:szCs w:val="15"/>
                <w:color w:val="auto"/>
              </w:rPr>
              <w:t>(1)</w:t>
            </w:r>
          </w:p>
        </w:tc>
        <w:tc>
          <w:tcPr>
            <w:tcW w:w="1560" w:type="dxa"/>
            <w:vAlign w:val="bottom"/>
            <w:gridSpan w:val="2"/>
          </w:tcPr>
          <w:p>
            <w:pPr>
              <w:ind w:left="20"/>
              <w:spacing w:after="0"/>
              <w:rPr>
                <w:sz w:val="20"/>
                <w:szCs w:val="20"/>
                <w:color w:val="auto"/>
              </w:rPr>
            </w:pPr>
            <w:r>
              <w:rPr>
                <w:rFonts w:ascii="Arial" w:cs="Arial" w:eastAsia="Arial" w:hAnsi="Arial"/>
                <w:sz w:val="15"/>
                <w:szCs w:val="15"/>
                <w:color w:val="auto"/>
              </w:rPr>
              <w:t>Time Based</w:t>
            </w:r>
          </w:p>
        </w:tc>
        <w:tc>
          <w:tcPr>
            <w:tcW w:w="2260" w:type="dxa"/>
            <w:vAlign w:val="bottom"/>
            <w:gridSpan w:val="2"/>
          </w:tcPr>
          <w:p>
            <w:pPr>
              <w:ind w:left="260"/>
              <w:spacing w:after="0"/>
              <w:rPr>
                <w:sz w:val="20"/>
                <w:szCs w:val="20"/>
                <w:color w:val="auto"/>
              </w:rPr>
            </w:pPr>
            <w:r>
              <w:rPr>
                <w:rFonts w:ascii="Arial" w:cs="Arial" w:eastAsia="Arial" w:hAnsi="Arial"/>
                <w:sz w:val="15"/>
                <w:szCs w:val="15"/>
                <w:color w:val="auto"/>
              </w:rPr>
              <w:t>20.0% annually over 5 years</w:t>
            </w:r>
          </w:p>
        </w:tc>
        <w:tc>
          <w:tcPr>
            <w:tcW w:w="0" w:type="dxa"/>
            <w:vAlign w:val="bottom"/>
          </w:tcPr>
          <w:p>
            <w:pPr>
              <w:spacing w:after="0"/>
              <w:rPr>
                <w:sz w:val="1"/>
                <w:szCs w:val="1"/>
                <w:color w:val="auto"/>
              </w:rPr>
            </w:pPr>
          </w:p>
        </w:tc>
      </w:tr>
    </w:tbl>
    <w:p>
      <w:pPr>
        <w:spacing w:after="0" w:line="102" w:lineRule="exact"/>
        <w:rPr>
          <w:sz w:val="20"/>
          <w:szCs w:val="20"/>
          <w:color w:val="auto"/>
        </w:rPr>
      </w:pPr>
    </w:p>
    <w:p>
      <w:pPr>
        <w:ind w:left="160" w:hanging="152"/>
        <w:spacing w:after="0"/>
        <w:tabs>
          <w:tab w:leader="none" w:pos="160" w:val="left"/>
        </w:tabs>
        <w:numPr>
          <w:ilvl w:val="0"/>
          <w:numId w:val="17"/>
        </w:numPr>
        <w:rPr>
          <w:rFonts w:ascii="Arial" w:cs="Arial" w:eastAsia="Arial" w:hAnsi="Arial"/>
          <w:sz w:val="18"/>
          <w:szCs w:val="18"/>
          <w:color w:val="auto"/>
          <w:vertAlign w:val="superscript"/>
        </w:rPr>
      </w:pPr>
      <w:r>
        <w:rPr>
          <w:rFonts w:ascii="Arial" w:cs="Arial" w:eastAsia="Arial" w:hAnsi="Arial"/>
          <w:sz w:val="14"/>
          <w:szCs w:val="14"/>
          <w:color w:val="auto"/>
        </w:rPr>
        <w:t>The fair values of the grants were determined by using the average closing price of our common stock on the dates the shares were issued.</w:t>
      </w:r>
    </w:p>
    <w:p>
      <w:pPr>
        <w:ind w:left="260" w:hanging="252"/>
        <w:spacing w:after="0" w:line="241" w:lineRule="auto"/>
        <w:tabs>
          <w:tab w:leader="none" w:pos="166" w:val="left"/>
        </w:tabs>
        <w:numPr>
          <w:ilvl w:val="0"/>
          <w:numId w:val="17"/>
        </w:numPr>
        <w:rPr>
          <w:rFonts w:ascii="Arial" w:cs="Arial" w:eastAsia="Arial" w:hAnsi="Arial"/>
          <w:sz w:val="19"/>
          <w:szCs w:val="19"/>
          <w:color w:val="auto"/>
          <w:vertAlign w:val="superscript"/>
        </w:rPr>
      </w:pPr>
      <w:r>
        <w:rPr>
          <w:rFonts w:ascii="Arial" w:cs="Arial" w:eastAsia="Arial" w:hAnsi="Arial"/>
          <w:sz w:val="15"/>
          <w:szCs w:val="15"/>
          <w:color w:val="auto"/>
        </w:rPr>
        <w:t>Share-based compensation for restricted stock awards with market conditions is measured based on an estimate of shares expected to vest. We estimate the fair value of share-based compensation for restricted stock with market conditions using a Monte Carlo simulation. At the grant date our common stock price was $165.97. Based on the Monte Carlo simulation we expect 75.6% of the 69,000 shares to vest.</w:t>
      </w:r>
    </w:p>
    <w:p>
      <w:pPr>
        <w:spacing w:after="0" w:line="1" w:lineRule="exact"/>
        <w:rPr>
          <w:rFonts w:ascii="Arial" w:cs="Arial" w:eastAsia="Arial" w:hAnsi="Arial"/>
          <w:sz w:val="19"/>
          <w:szCs w:val="19"/>
          <w:color w:val="auto"/>
          <w:vertAlign w:val="superscript"/>
        </w:rPr>
      </w:pPr>
    </w:p>
    <w:p>
      <w:pPr>
        <w:ind w:left="260" w:hanging="252"/>
        <w:spacing w:after="0" w:line="244" w:lineRule="auto"/>
        <w:tabs>
          <w:tab w:leader="none" w:pos="166" w:val="left"/>
        </w:tabs>
        <w:numPr>
          <w:ilvl w:val="0"/>
          <w:numId w:val="17"/>
        </w:numPr>
        <w:rPr>
          <w:rFonts w:ascii="Arial" w:cs="Arial" w:eastAsia="Arial" w:hAnsi="Arial"/>
          <w:sz w:val="19"/>
          <w:szCs w:val="19"/>
          <w:color w:val="auto"/>
          <w:vertAlign w:val="superscript"/>
        </w:rPr>
      </w:pPr>
      <w:r>
        <w:rPr>
          <w:rFonts w:ascii="Arial" w:cs="Arial" w:eastAsia="Arial" w:hAnsi="Arial"/>
          <w:sz w:val="15"/>
          <w:szCs w:val="15"/>
          <w:color w:val="auto"/>
        </w:rPr>
        <w:t>Share-based compensation for restricted stock awards with market conditions is measured based on an estimate of shares expected to vest. We estimate the fair value of share-based compensation for restricted stock with market conditions using a Monte Carlo simulation. At the grant date our common stock price was $115.39. Based on the Monte Carlo simulation we expect 75.1% of the 66,000 shares to vest.</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Vesting</w:t>
      </w:r>
    </w:p>
    <w:p>
      <w:pPr>
        <w:spacing w:after="0" w:line="25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vesting requirements for 248,155 and 196,106 restricted shares granted to our executives, directors and employees were satisfied during the six months ended June 30, 2020 and 2019, respectively.</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24" w:name="page25"/>
    <w:bookmarkEnd w:id="24"/>
    <w:p>
      <w:pPr>
        <w:jc w:val="center"/>
        <w:spacing w:after="0"/>
        <w:rPr>
          <w:sz w:val="20"/>
          <w:szCs w:val="20"/>
          <w:color w:val="auto"/>
        </w:rPr>
      </w:pPr>
      <w:r>
        <w:rPr>
          <w:rFonts w:ascii="Arial" w:cs="Arial" w:eastAsia="Arial" w:hAnsi="Arial"/>
          <w:sz w:val="16"/>
          <w:szCs w:val="16"/>
          <w:b w:val="1"/>
          <w:bCs w:val="1"/>
          <w:color w:val="auto"/>
        </w:rPr>
        <w:t>SUN COMMUNITIES, INC.</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 -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269" w:lineRule="exact"/>
        <w:rPr>
          <w:sz w:val="20"/>
          <w:szCs w:val="20"/>
          <w:color w:val="auto"/>
        </w:rPr>
      </w:pPr>
    </w:p>
    <w:p>
      <w:pPr>
        <w:ind w:left="440" w:hanging="432"/>
        <w:spacing w:after="0"/>
        <w:tabs>
          <w:tab w:leader="none" w:pos="44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Segment Reporting</w:t>
      </w:r>
    </w:p>
    <w:p>
      <w:pPr>
        <w:spacing w:after="0" w:line="256"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We group our operating segments into reportable segments that provide similar products and services. Each operating segment has discrete financial information evaluated regularly by our chief operating decision maker in evaluating and assessing performance. We have two reportable segments: (i) Real Property Operations and (ii) Home Sales and Rentals. The Real Property Operations segment owns, operates, has an interest in a portfolio, and develops MH communities and RV communities, and is in the business of acquiring, operating, and expanding MH and RV communities. The Home Sales and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Rentals segment offers manufactured home sales and leasing services to tenants and prospective tenants of our communities</w:t>
      </w:r>
      <w:r>
        <w:rPr>
          <w:rFonts w:ascii="Arial" w:cs="Arial" w:eastAsia="Arial" w:hAnsi="Arial"/>
          <w:sz w:val="21"/>
          <w:szCs w:val="21"/>
          <w:color w:val="auto"/>
        </w:rPr>
        <w:t>.</w:t>
      </w:r>
    </w:p>
    <w:p>
      <w:pPr>
        <w:spacing w:after="0" w:line="24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Transactions between our segments are eliminated in consolidation. Transient RV revenue is included in the Real Property Operations segment revenues. Transient revenue was $25.3 million in the first quarter ended March 31, 2020 and $21.0 million for the second quarter ended June 30, 2020. Transient revenue was $121.5 million for the year ended December 31, 2019. We recognized 20.1 percent in the first quarter, 23.2 percent in the second quarter, 40.3 percent in the third quarter, and 16.4 percent in the fourth quarter.</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A presentation of segment financial information is summarized as follows (in thousands):</w:t>
      </w: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43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400" w:type="dxa"/>
            <w:vAlign w:val="bottom"/>
            <w:tcBorders>
              <w:bottom w:val="single" w:sz="8" w:color="auto"/>
            </w:tcBorders>
            <w:gridSpan w:val="5"/>
          </w:tcPr>
          <w:p>
            <w:pPr>
              <w:ind w:left="400"/>
              <w:spacing w:after="0"/>
              <w:rPr>
                <w:sz w:val="20"/>
                <w:szCs w:val="20"/>
                <w:color w:val="auto"/>
              </w:rPr>
            </w:pPr>
            <w:r>
              <w:rPr>
                <w:rFonts w:ascii="Arial" w:cs="Arial" w:eastAsia="Arial" w:hAnsi="Arial"/>
                <w:sz w:val="15"/>
                <w:szCs w:val="15"/>
                <w:b w:val="1"/>
                <w:bCs w:val="1"/>
                <w:color w:val="auto"/>
              </w:rPr>
              <w:t>Three Months Ended</w:t>
            </w:r>
          </w:p>
        </w:tc>
        <w:tc>
          <w:tcPr>
            <w:tcW w:w="1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3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gridSpan w:val="3"/>
          </w:tcPr>
          <w:p>
            <w:pPr>
              <w:ind w:left="40"/>
              <w:spacing w:after="0"/>
              <w:rPr>
                <w:sz w:val="20"/>
                <w:szCs w:val="20"/>
                <w:color w:val="auto"/>
              </w:rPr>
            </w:pPr>
            <w:r>
              <w:rPr>
                <w:rFonts w:ascii="Arial" w:cs="Arial" w:eastAsia="Arial" w:hAnsi="Arial"/>
                <w:sz w:val="15"/>
                <w:szCs w:val="15"/>
                <w:b w:val="1"/>
                <w:bCs w:val="1"/>
                <w:color w:val="auto"/>
              </w:rPr>
              <w:t>June 30, 2020</w:t>
            </w: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gridSpan w:val="3"/>
          </w:tcPr>
          <w:p>
            <w:pPr>
              <w:ind w:left="40"/>
              <w:spacing w:after="0"/>
              <w:rPr>
                <w:sz w:val="20"/>
                <w:szCs w:val="20"/>
                <w:color w:val="auto"/>
              </w:rPr>
            </w:pPr>
            <w:r>
              <w:rPr>
                <w:rFonts w:ascii="Arial" w:cs="Arial" w:eastAsia="Arial" w:hAnsi="Arial"/>
                <w:sz w:val="15"/>
                <w:szCs w:val="15"/>
                <w:b w:val="1"/>
                <w:bCs w:val="1"/>
                <w:color w:val="auto"/>
                <w:w w:val="98"/>
              </w:rPr>
              <w:t>June 30, 2019</w:t>
            </w: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4360" w:type="dxa"/>
            <w:vAlign w:val="bottom"/>
          </w:tcPr>
          <w:p>
            <w:pPr>
              <w:spacing w:after="0"/>
              <w:rPr>
                <w:sz w:val="14"/>
                <w:szCs w:val="14"/>
                <w:color w:val="auto"/>
              </w:rPr>
            </w:pPr>
          </w:p>
        </w:tc>
        <w:tc>
          <w:tcPr>
            <w:tcW w:w="1200" w:type="dxa"/>
            <w:vAlign w:val="bottom"/>
            <w:gridSpan w:val="3"/>
          </w:tcPr>
          <w:p>
            <w:pPr>
              <w:jc w:val="center"/>
              <w:ind w:right="80"/>
              <w:spacing w:after="0" w:line="169" w:lineRule="exact"/>
              <w:rPr>
                <w:sz w:val="20"/>
                <w:szCs w:val="20"/>
                <w:color w:val="auto"/>
              </w:rPr>
            </w:pPr>
            <w:r>
              <w:rPr>
                <w:rFonts w:ascii="Arial" w:cs="Arial" w:eastAsia="Arial" w:hAnsi="Arial"/>
                <w:sz w:val="15"/>
                <w:szCs w:val="15"/>
                <w:b w:val="1"/>
                <w:bCs w:val="1"/>
                <w:color w:val="auto"/>
                <w:w w:val="94"/>
              </w:rPr>
              <w:t>Real Property</w:t>
            </w:r>
          </w:p>
        </w:tc>
        <w:tc>
          <w:tcPr>
            <w:tcW w:w="1040" w:type="dxa"/>
            <w:vAlign w:val="bottom"/>
            <w:gridSpan w:val="3"/>
          </w:tcPr>
          <w:p>
            <w:pPr>
              <w:ind w:left="80"/>
              <w:spacing w:after="0" w:line="169" w:lineRule="exact"/>
              <w:rPr>
                <w:sz w:val="20"/>
                <w:szCs w:val="20"/>
                <w:color w:val="auto"/>
              </w:rPr>
            </w:pPr>
            <w:r>
              <w:rPr>
                <w:rFonts w:ascii="Arial" w:cs="Arial" w:eastAsia="Arial" w:hAnsi="Arial"/>
                <w:sz w:val="15"/>
                <w:szCs w:val="15"/>
                <w:b w:val="1"/>
                <w:bCs w:val="1"/>
                <w:color w:val="auto"/>
              </w:rPr>
              <w:t>Home Sales</w:t>
            </w: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gridSpan w:val="3"/>
          </w:tcPr>
          <w:p>
            <w:pPr>
              <w:jc w:val="center"/>
              <w:ind w:right="120"/>
              <w:spacing w:after="0" w:line="169" w:lineRule="exact"/>
              <w:rPr>
                <w:sz w:val="20"/>
                <w:szCs w:val="20"/>
                <w:color w:val="auto"/>
              </w:rPr>
            </w:pPr>
            <w:r>
              <w:rPr>
                <w:rFonts w:ascii="Arial" w:cs="Arial" w:eastAsia="Arial" w:hAnsi="Arial"/>
                <w:sz w:val="15"/>
                <w:szCs w:val="15"/>
                <w:b w:val="1"/>
                <w:bCs w:val="1"/>
                <w:color w:val="auto"/>
                <w:w w:val="94"/>
              </w:rPr>
              <w:t>Real Property</w:t>
            </w:r>
          </w:p>
        </w:tc>
        <w:tc>
          <w:tcPr>
            <w:tcW w:w="1020" w:type="dxa"/>
            <w:vAlign w:val="bottom"/>
            <w:gridSpan w:val="3"/>
          </w:tcPr>
          <w:p>
            <w:pPr>
              <w:ind w:left="80"/>
              <w:spacing w:after="0" w:line="169" w:lineRule="exact"/>
              <w:rPr>
                <w:sz w:val="20"/>
                <w:szCs w:val="20"/>
                <w:color w:val="auto"/>
              </w:rPr>
            </w:pPr>
            <w:r>
              <w:rPr>
                <w:rFonts w:ascii="Arial" w:cs="Arial" w:eastAsia="Arial" w:hAnsi="Arial"/>
                <w:sz w:val="15"/>
                <w:szCs w:val="15"/>
                <w:b w:val="1"/>
                <w:bCs w:val="1"/>
                <w:color w:val="auto"/>
              </w:rPr>
              <w:t>Home Sales</w:t>
            </w: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4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5"/>
                <w:szCs w:val="15"/>
                <w:b w:val="1"/>
                <w:bCs w:val="1"/>
                <w:color w:val="auto"/>
                <w:w w:val="90"/>
              </w:rPr>
              <w:t>Operations</w:t>
            </w:r>
          </w:p>
        </w:tc>
        <w:tc>
          <w:tcPr>
            <w:tcW w:w="1040" w:type="dxa"/>
            <w:vAlign w:val="bottom"/>
            <w:gridSpan w:val="3"/>
          </w:tcPr>
          <w:p>
            <w:pPr>
              <w:ind w:left="80"/>
              <w:spacing w:after="0"/>
              <w:rPr>
                <w:sz w:val="20"/>
                <w:szCs w:val="20"/>
                <w:color w:val="auto"/>
              </w:rPr>
            </w:pPr>
            <w:r>
              <w:rPr>
                <w:rFonts w:ascii="Arial" w:cs="Arial" w:eastAsia="Arial" w:hAnsi="Arial"/>
                <w:sz w:val="15"/>
                <w:szCs w:val="15"/>
                <w:b w:val="1"/>
                <w:bCs w:val="1"/>
                <w:color w:val="auto"/>
              </w:rPr>
              <w:t>and Rentals</w:t>
            </w:r>
          </w:p>
        </w:tc>
        <w:tc>
          <w:tcPr>
            <w:tcW w:w="100" w:type="dxa"/>
            <w:vAlign w:val="bottom"/>
          </w:tcPr>
          <w:p>
            <w:pPr>
              <w:spacing w:after="0"/>
              <w:rPr>
                <w:sz w:val="17"/>
                <w:szCs w:val="17"/>
                <w:color w:val="auto"/>
              </w:rPr>
            </w:pPr>
          </w:p>
        </w:tc>
        <w:tc>
          <w:tcPr>
            <w:tcW w:w="1240" w:type="dxa"/>
            <w:vAlign w:val="bottom"/>
            <w:gridSpan w:val="2"/>
          </w:tcPr>
          <w:p>
            <w:pPr>
              <w:ind w:left="20"/>
              <w:spacing w:after="0"/>
              <w:rPr>
                <w:sz w:val="20"/>
                <w:szCs w:val="20"/>
                <w:color w:val="auto"/>
              </w:rPr>
            </w:pPr>
            <w:r>
              <w:rPr>
                <w:rFonts w:ascii="Arial" w:cs="Arial" w:eastAsia="Arial" w:hAnsi="Arial"/>
                <w:sz w:val="15"/>
                <w:szCs w:val="15"/>
                <w:b w:val="1"/>
                <w:bCs w:val="1"/>
                <w:color w:val="auto"/>
              </w:rPr>
              <w:t>Consolidated</w:t>
            </w:r>
          </w:p>
        </w:tc>
        <w:tc>
          <w:tcPr>
            <w:tcW w:w="140" w:type="dxa"/>
            <w:vAlign w:val="bottom"/>
          </w:tcPr>
          <w:p>
            <w:pPr>
              <w:spacing w:after="0"/>
              <w:rPr>
                <w:sz w:val="17"/>
                <w:szCs w:val="17"/>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5"/>
                <w:szCs w:val="15"/>
                <w:b w:val="1"/>
                <w:bCs w:val="1"/>
                <w:color w:val="auto"/>
                <w:w w:val="93"/>
              </w:rPr>
              <w:t>Operations</w:t>
            </w:r>
          </w:p>
        </w:tc>
        <w:tc>
          <w:tcPr>
            <w:tcW w:w="1020" w:type="dxa"/>
            <w:vAlign w:val="bottom"/>
            <w:gridSpan w:val="3"/>
          </w:tcPr>
          <w:p>
            <w:pPr>
              <w:ind w:left="60"/>
              <w:spacing w:after="0"/>
              <w:rPr>
                <w:sz w:val="20"/>
                <w:szCs w:val="20"/>
                <w:color w:val="auto"/>
              </w:rPr>
            </w:pPr>
            <w:r>
              <w:rPr>
                <w:rFonts w:ascii="Arial" w:cs="Arial" w:eastAsia="Arial" w:hAnsi="Arial"/>
                <w:sz w:val="15"/>
                <w:szCs w:val="15"/>
                <w:b w:val="1"/>
                <w:bCs w:val="1"/>
                <w:color w:val="auto"/>
              </w:rPr>
              <w:t>and Rentals</w:t>
            </w:r>
          </w:p>
        </w:tc>
        <w:tc>
          <w:tcPr>
            <w:tcW w:w="120" w:type="dxa"/>
            <w:vAlign w:val="bottom"/>
          </w:tcPr>
          <w:p>
            <w:pPr>
              <w:spacing w:after="0"/>
              <w:rPr>
                <w:sz w:val="17"/>
                <w:szCs w:val="17"/>
                <w:color w:val="auto"/>
              </w:rPr>
            </w:pPr>
          </w:p>
        </w:tc>
        <w:tc>
          <w:tcPr>
            <w:tcW w:w="1000" w:type="dxa"/>
            <w:vAlign w:val="bottom"/>
          </w:tcPr>
          <w:p>
            <w:pPr>
              <w:jc w:val="right"/>
              <w:ind w:right="64"/>
              <w:spacing w:after="0"/>
              <w:rPr>
                <w:sz w:val="20"/>
                <w:szCs w:val="20"/>
                <w:color w:val="auto"/>
              </w:rPr>
            </w:pPr>
            <w:r>
              <w:rPr>
                <w:rFonts w:ascii="Arial" w:cs="Arial" w:eastAsia="Arial" w:hAnsi="Arial"/>
                <w:sz w:val="15"/>
                <w:szCs w:val="15"/>
                <w:b w:val="1"/>
                <w:bCs w:val="1"/>
                <w:color w:val="auto"/>
                <w:w w:val="88"/>
              </w:rPr>
              <w:t>Consolidated</w:t>
            </w:r>
          </w:p>
        </w:tc>
        <w:tc>
          <w:tcPr>
            <w:tcW w:w="0" w:type="dxa"/>
            <w:vAlign w:val="bottom"/>
          </w:tcPr>
          <w:p>
            <w:pPr>
              <w:spacing w:after="0"/>
              <w:rPr>
                <w:sz w:val="1"/>
                <w:szCs w:val="1"/>
                <w:color w:val="auto"/>
              </w:rPr>
            </w:pPr>
          </w:p>
        </w:tc>
      </w:tr>
      <w:tr>
        <w:trPr>
          <w:trHeight w:val="213"/>
        </w:trPr>
        <w:tc>
          <w:tcPr>
            <w:tcW w:w="43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Revenues</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960" w:type="dxa"/>
            <w:vAlign w:val="bottom"/>
            <w:tcBorders>
              <w:top w:val="single" w:sz="8" w:color="auto"/>
            </w:tcBorders>
            <w:shd w:val="clear" w:color="auto" w:fill="CCEEFF"/>
          </w:tcPr>
          <w:p>
            <w:pPr>
              <w:jc w:val="right"/>
              <w:ind w:right="64"/>
              <w:spacing w:after="0"/>
              <w:rPr>
                <w:sz w:val="20"/>
                <w:szCs w:val="20"/>
                <w:color w:val="auto"/>
              </w:rPr>
            </w:pPr>
            <w:r>
              <w:rPr>
                <w:rFonts w:ascii="Arial" w:cs="Arial" w:eastAsia="Arial" w:hAnsi="Arial"/>
                <w:sz w:val="15"/>
                <w:szCs w:val="15"/>
                <w:color w:val="auto"/>
              </w:rPr>
              <w:t>243,859</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rPr>
              <w:t>$</w:t>
            </w:r>
          </w:p>
        </w:tc>
        <w:tc>
          <w:tcPr>
            <w:tcW w:w="720" w:type="dxa"/>
            <w:vAlign w:val="bottom"/>
            <w:tcBorders>
              <w:top w:val="single" w:sz="8" w:color="auto"/>
            </w:tcBorders>
            <w:shd w:val="clear" w:color="auto" w:fill="CCEEFF"/>
          </w:tcPr>
          <w:p>
            <w:pPr>
              <w:jc w:val="right"/>
              <w:ind w:right="64"/>
              <w:spacing w:after="0"/>
              <w:rPr>
                <w:sz w:val="20"/>
                <w:szCs w:val="20"/>
                <w:color w:val="auto"/>
              </w:rPr>
            </w:pPr>
            <w:r>
              <w:rPr>
                <w:rFonts w:ascii="Arial" w:cs="Arial" w:eastAsia="Arial" w:hAnsi="Arial"/>
                <w:sz w:val="15"/>
                <w:szCs w:val="15"/>
                <w:color w:val="auto"/>
              </w:rPr>
              <w:t>53,498</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Borders>
              <w:top w:val="single" w:sz="8" w:color="auto"/>
            </w:tcBorders>
            <w:shd w:val="clear" w:color="auto" w:fill="CCEEFF"/>
          </w:tcPr>
          <w:p>
            <w:pPr>
              <w:jc w:val="right"/>
              <w:ind w:right="64"/>
              <w:spacing w:after="0"/>
              <w:rPr>
                <w:sz w:val="20"/>
                <w:szCs w:val="20"/>
                <w:color w:val="auto"/>
              </w:rPr>
            </w:pPr>
            <w:r>
              <w:rPr>
                <w:rFonts w:ascii="Arial" w:cs="Arial" w:eastAsia="Arial" w:hAnsi="Arial"/>
                <w:sz w:val="15"/>
                <w:szCs w:val="15"/>
                <w:color w:val="auto"/>
              </w:rPr>
              <w:t>297,357</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900" w:type="dxa"/>
            <w:vAlign w:val="bottom"/>
            <w:tcBorders>
              <w:top w:val="single" w:sz="8" w:color="auto"/>
            </w:tcBorders>
            <w:shd w:val="clear" w:color="auto" w:fill="CCEEFF"/>
          </w:tcPr>
          <w:p>
            <w:pPr>
              <w:jc w:val="right"/>
              <w:ind w:right="64"/>
              <w:spacing w:after="0"/>
              <w:rPr>
                <w:sz w:val="20"/>
                <w:szCs w:val="20"/>
                <w:color w:val="auto"/>
              </w:rPr>
            </w:pPr>
            <w:r>
              <w:rPr>
                <w:rFonts w:ascii="Arial" w:cs="Arial" w:eastAsia="Arial" w:hAnsi="Arial"/>
                <w:sz w:val="15"/>
                <w:szCs w:val="15"/>
                <w:color w:val="auto"/>
              </w:rPr>
              <w:t>243,364</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ind w:right="84"/>
              <w:spacing w:after="0"/>
              <w:rPr>
                <w:sz w:val="20"/>
                <w:szCs w:val="20"/>
                <w:color w:val="auto"/>
              </w:rPr>
            </w:pPr>
            <w:r>
              <w:rPr>
                <w:rFonts w:ascii="Arial" w:cs="Arial" w:eastAsia="Arial" w:hAnsi="Arial"/>
                <w:sz w:val="15"/>
                <w:szCs w:val="15"/>
                <w:color w:val="auto"/>
              </w:rPr>
              <w:t>61,654</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Borders>
              <w:top w:val="single" w:sz="8" w:color="auto"/>
            </w:tcBorders>
            <w:shd w:val="clear" w:color="auto" w:fill="CCEEFF"/>
          </w:tcPr>
          <w:p>
            <w:pPr>
              <w:jc w:val="right"/>
              <w:ind w:right="64"/>
              <w:spacing w:after="0"/>
              <w:rPr>
                <w:sz w:val="20"/>
                <w:szCs w:val="20"/>
                <w:color w:val="auto"/>
              </w:rPr>
            </w:pPr>
            <w:r>
              <w:rPr>
                <w:rFonts w:ascii="Arial" w:cs="Arial" w:eastAsia="Arial" w:hAnsi="Arial"/>
                <w:sz w:val="15"/>
                <w:szCs w:val="15"/>
                <w:color w:val="auto"/>
              </w:rPr>
              <w:t>305,018</w:t>
            </w:r>
          </w:p>
        </w:tc>
        <w:tc>
          <w:tcPr>
            <w:tcW w:w="0" w:type="dxa"/>
            <w:vAlign w:val="bottom"/>
          </w:tcPr>
          <w:p>
            <w:pPr>
              <w:spacing w:after="0"/>
              <w:rPr>
                <w:sz w:val="1"/>
                <w:szCs w:val="1"/>
                <w:color w:val="auto"/>
              </w:rPr>
            </w:pPr>
          </w:p>
        </w:tc>
      </w:tr>
      <w:tr>
        <w:trPr>
          <w:trHeight w:val="212"/>
        </w:trPr>
        <w:tc>
          <w:tcPr>
            <w:tcW w:w="436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Operating expenses / Cost of sales</w:t>
            </w: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color w:val="auto"/>
              </w:rPr>
              <w:t>91,153</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color w:val="auto"/>
              </w:rPr>
              <w:t>33,866</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color w:val="auto"/>
              </w:rPr>
              <w:t>125,019</w:t>
            </w:r>
          </w:p>
        </w:tc>
        <w:tc>
          <w:tcPr>
            <w:tcW w:w="2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color w:val="auto"/>
              </w:rPr>
              <w:t>94,094</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color w:val="auto"/>
              </w:rPr>
              <w:t>39,612</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color w:val="auto"/>
              </w:rPr>
              <w:t>133,706</w:t>
            </w:r>
          </w:p>
        </w:tc>
        <w:tc>
          <w:tcPr>
            <w:tcW w:w="0" w:type="dxa"/>
            <w:vAlign w:val="bottom"/>
          </w:tcPr>
          <w:p>
            <w:pPr>
              <w:spacing w:after="0"/>
              <w:rPr>
                <w:sz w:val="1"/>
                <w:szCs w:val="1"/>
                <w:color w:val="auto"/>
              </w:rPr>
            </w:pPr>
          </w:p>
        </w:tc>
      </w:tr>
      <w:tr>
        <w:trPr>
          <w:trHeight w:val="213"/>
        </w:trPr>
        <w:tc>
          <w:tcPr>
            <w:tcW w:w="4360" w:type="dxa"/>
            <w:vAlign w:val="bottom"/>
            <w:shd w:val="clear" w:color="auto" w:fill="CCEEFF"/>
          </w:tcPr>
          <w:p>
            <w:pPr>
              <w:ind w:left="120"/>
              <w:spacing w:after="0"/>
              <w:rPr>
                <w:sz w:val="20"/>
                <w:szCs w:val="20"/>
                <w:color w:val="auto"/>
              </w:rPr>
            </w:pPr>
            <w:r>
              <w:rPr>
                <w:rFonts w:ascii="Arial" w:cs="Arial" w:eastAsia="Arial" w:hAnsi="Arial"/>
                <w:sz w:val="15"/>
                <w:szCs w:val="15"/>
                <w:b w:val="1"/>
                <w:bCs w:val="1"/>
                <w:color w:val="auto"/>
              </w:rPr>
              <w:t>Net Operating Income / Gross Profit</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152,706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19,632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172,338</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149,270</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rPr>
              <w:t>22,042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171,312</w:t>
            </w:r>
          </w:p>
        </w:tc>
        <w:tc>
          <w:tcPr>
            <w:tcW w:w="0" w:type="dxa"/>
            <w:vAlign w:val="bottom"/>
          </w:tcPr>
          <w:p>
            <w:pPr>
              <w:spacing w:after="0"/>
              <w:rPr>
                <w:sz w:val="1"/>
                <w:szCs w:val="1"/>
                <w:color w:val="auto"/>
              </w:rPr>
            </w:pPr>
          </w:p>
        </w:tc>
      </w:tr>
      <w:tr>
        <w:trPr>
          <w:trHeight w:val="212"/>
        </w:trPr>
        <w:tc>
          <w:tcPr>
            <w:tcW w:w="4360" w:type="dxa"/>
            <w:vAlign w:val="bottom"/>
          </w:tcPr>
          <w:p>
            <w:pPr>
              <w:ind w:left="20"/>
              <w:spacing w:after="0"/>
              <w:rPr>
                <w:sz w:val="20"/>
                <w:szCs w:val="20"/>
                <w:color w:val="auto"/>
              </w:rPr>
            </w:pPr>
            <w:r>
              <w:rPr>
                <w:rFonts w:ascii="Arial" w:cs="Arial" w:eastAsia="Arial" w:hAnsi="Arial"/>
                <w:sz w:val="15"/>
                <w:szCs w:val="15"/>
                <w:color w:val="auto"/>
              </w:rPr>
              <w:t>Adjustments to arrive at net income / (loss)</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4360" w:type="dxa"/>
            <w:vAlign w:val="bottom"/>
            <w:shd w:val="clear" w:color="auto" w:fill="CCEEFF"/>
          </w:tcPr>
          <w:p>
            <w:pPr>
              <w:ind w:left="120"/>
              <w:spacing w:after="0"/>
              <w:rPr>
                <w:sz w:val="20"/>
                <w:szCs w:val="20"/>
                <w:color w:val="auto"/>
              </w:rPr>
            </w:pPr>
            <w:r>
              <w:rPr>
                <w:rFonts w:ascii="Arial" w:cs="Arial" w:eastAsia="Arial" w:hAnsi="Arial"/>
                <w:sz w:val="15"/>
                <w:szCs w:val="15"/>
                <w:color w:val="auto"/>
              </w:rPr>
              <w:t>Interest and other revenues, net</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5,909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5,909</w:t>
            </w: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7,427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7,427</w:t>
            </w:r>
          </w:p>
        </w:tc>
        <w:tc>
          <w:tcPr>
            <w:tcW w:w="0" w:type="dxa"/>
            <w:vAlign w:val="bottom"/>
          </w:tcPr>
          <w:p>
            <w:pPr>
              <w:spacing w:after="0"/>
              <w:rPr>
                <w:sz w:val="1"/>
                <w:szCs w:val="1"/>
                <w:color w:val="auto"/>
              </w:rPr>
            </w:pPr>
          </w:p>
        </w:tc>
      </w:tr>
      <w:tr>
        <w:trPr>
          <w:trHeight w:val="212"/>
        </w:trPr>
        <w:tc>
          <w:tcPr>
            <w:tcW w:w="4360" w:type="dxa"/>
            <w:vAlign w:val="bottom"/>
          </w:tcPr>
          <w:p>
            <w:pPr>
              <w:ind w:left="120"/>
              <w:spacing w:after="0"/>
              <w:rPr>
                <w:sz w:val="20"/>
                <w:szCs w:val="20"/>
                <w:color w:val="auto"/>
              </w:rPr>
            </w:pPr>
            <w:r>
              <w:rPr>
                <w:rFonts w:ascii="Arial" w:cs="Arial" w:eastAsia="Arial" w:hAnsi="Arial"/>
                <w:sz w:val="15"/>
                <w:szCs w:val="15"/>
                <w:color w:val="auto"/>
              </w:rPr>
              <w:t>Home selling expenses</w:t>
            </w:r>
          </w:p>
        </w:tc>
        <w:tc>
          <w:tcPr>
            <w:tcW w:w="14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8"/>
                <w:szCs w:val="18"/>
                <w:color w:val="auto"/>
              </w:rPr>
            </w:pPr>
          </w:p>
        </w:tc>
        <w:tc>
          <w:tcPr>
            <w:tcW w:w="720" w:type="dxa"/>
            <w:vAlign w:val="bottom"/>
          </w:tcPr>
          <w:p>
            <w:pPr>
              <w:jc w:val="right"/>
              <w:ind w:right="24"/>
              <w:spacing w:after="0"/>
              <w:rPr>
                <w:sz w:val="20"/>
                <w:szCs w:val="20"/>
                <w:color w:val="auto"/>
              </w:rPr>
            </w:pPr>
            <w:r>
              <w:rPr>
                <w:rFonts w:ascii="Arial" w:cs="Arial" w:eastAsia="Arial" w:hAnsi="Arial"/>
                <w:sz w:val="15"/>
                <w:szCs w:val="15"/>
                <w:color w:val="auto"/>
              </w:rPr>
              <w:t>(2,864)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ind w:right="44"/>
              <w:spacing w:after="0"/>
              <w:rPr>
                <w:sz w:val="20"/>
                <w:szCs w:val="20"/>
                <w:color w:val="auto"/>
              </w:rPr>
            </w:pPr>
            <w:r>
              <w:rPr>
                <w:rFonts w:ascii="Arial" w:cs="Arial" w:eastAsia="Arial" w:hAnsi="Arial"/>
                <w:sz w:val="15"/>
                <w:szCs w:val="15"/>
                <w:color w:val="auto"/>
              </w:rPr>
              <w:t>(2,864)</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8"/>
                <w:szCs w:val="18"/>
                <w:color w:val="auto"/>
              </w:rPr>
            </w:pPr>
          </w:p>
        </w:tc>
        <w:tc>
          <w:tcPr>
            <w:tcW w:w="740" w:type="dxa"/>
            <w:vAlign w:val="bottom"/>
          </w:tcPr>
          <w:p>
            <w:pPr>
              <w:jc w:val="right"/>
              <w:ind w:right="44"/>
              <w:spacing w:after="0"/>
              <w:rPr>
                <w:sz w:val="20"/>
                <w:szCs w:val="20"/>
                <w:color w:val="auto"/>
              </w:rPr>
            </w:pPr>
            <w:r>
              <w:rPr>
                <w:rFonts w:ascii="Arial" w:cs="Arial" w:eastAsia="Arial" w:hAnsi="Arial"/>
                <w:sz w:val="15"/>
                <w:szCs w:val="15"/>
                <w:color w:val="auto"/>
              </w:rPr>
              <w:t>(3,626)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ind w:right="24"/>
              <w:spacing w:after="0"/>
              <w:rPr>
                <w:sz w:val="20"/>
                <w:szCs w:val="20"/>
                <w:color w:val="auto"/>
              </w:rPr>
            </w:pPr>
            <w:r>
              <w:rPr>
                <w:rFonts w:ascii="Arial" w:cs="Arial" w:eastAsia="Arial" w:hAnsi="Arial"/>
                <w:sz w:val="15"/>
                <w:szCs w:val="15"/>
                <w:color w:val="auto"/>
              </w:rPr>
              <w:t>(3,626)</w:t>
            </w:r>
          </w:p>
        </w:tc>
        <w:tc>
          <w:tcPr>
            <w:tcW w:w="0" w:type="dxa"/>
            <w:vAlign w:val="bottom"/>
          </w:tcPr>
          <w:p>
            <w:pPr>
              <w:spacing w:after="0"/>
              <w:rPr>
                <w:sz w:val="1"/>
                <w:szCs w:val="1"/>
                <w:color w:val="auto"/>
              </w:rPr>
            </w:pPr>
          </w:p>
        </w:tc>
      </w:tr>
      <w:tr>
        <w:trPr>
          <w:trHeight w:val="220"/>
        </w:trPr>
        <w:tc>
          <w:tcPr>
            <w:tcW w:w="4360" w:type="dxa"/>
            <w:vAlign w:val="bottom"/>
            <w:shd w:val="clear" w:color="auto" w:fill="CCEEFF"/>
          </w:tcPr>
          <w:p>
            <w:pPr>
              <w:ind w:left="120"/>
              <w:spacing w:after="0"/>
              <w:rPr>
                <w:sz w:val="20"/>
                <w:szCs w:val="20"/>
                <w:color w:val="auto"/>
              </w:rPr>
            </w:pPr>
            <w:r>
              <w:rPr>
                <w:rFonts w:ascii="Arial" w:cs="Arial" w:eastAsia="Arial" w:hAnsi="Arial"/>
                <w:sz w:val="15"/>
                <w:szCs w:val="15"/>
                <w:color w:val="auto"/>
              </w:rPr>
              <w:t>General and administrative expenses</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(24,455)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(2,278)</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(26,733)</w:t>
            </w: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(20,722)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(2,975)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(23,697)</w:t>
            </w:r>
          </w:p>
        </w:tc>
        <w:tc>
          <w:tcPr>
            <w:tcW w:w="0" w:type="dxa"/>
            <w:vAlign w:val="bottom"/>
          </w:tcPr>
          <w:p>
            <w:pPr>
              <w:spacing w:after="0"/>
              <w:rPr>
                <w:sz w:val="1"/>
                <w:szCs w:val="1"/>
                <w:color w:val="auto"/>
              </w:rPr>
            </w:pPr>
          </w:p>
        </w:tc>
      </w:tr>
      <w:tr>
        <w:trPr>
          <w:trHeight w:val="212"/>
        </w:trPr>
        <w:tc>
          <w:tcPr>
            <w:tcW w:w="4360" w:type="dxa"/>
            <w:vAlign w:val="bottom"/>
          </w:tcPr>
          <w:p>
            <w:pPr>
              <w:ind w:left="120"/>
              <w:spacing w:after="0"/>
              <w:rPr>
                <w:sz w:val="20"/>
                <w:szCs w:val="20"/>
                <w:color w:val="auto"/>
              </w:rPr>
            </w:pPr>
            <w:r>
              <w:rPr>
                <w:rFonts w:ascii="Arial" w:cs="Arial" w:eastAsia="Arial" w:hAnsi="Arial"/>
                <w:sz w:val="15"/>
                <w:szCs w:val="15"/>
                <w:color w:val="auto"/>
              </w:rPr>
              <w:t>Catastrophic weather-related charges, net</w:t>
            </w:r>
          </w:p>
        </w:tc>
        <w:tc>
          <w:tcPr>
            <w:tcW w:w="140" w:type="dxa"/>
            <w:vAlign w:val="bottom"/>
          </w:tcPr>
          <w:p>
            <w:pPr>
              <w:spacing w:after="0"/>
              <w:rPr>
                <w:sz w:val="18"/>
                <w:szCs w:val="18"/>
                <w:color w:val="auto"/>
              </w:rPr>
            </w:pPr>
          </w:p>
        </w:tc>
        <w:tc>
          <w:tcPr>
            <w:tcW w:w="960" w:type="dxa"/>
            <w:vAlign w:val="bottom"/>
          </w:tcPr>
          <w:p>
            <w:pPr>
              <w:jc w:val="right"/>
              <w:ind w:right="64"/>
              <w:spacing w:after="0"/>
              <w:rPr>
                <w:sz w:val="20"/>
                <w:szCs w:val="20"/>
                <w:color w:val="auto"/>
              </w:rPr>
            </w:pPr>
            <w:r>
              <w:rPr>
                <w:rFonts w:ascii="Arial" w:cs="Arial" w:eastAsia="Arial" w:hAnsi="Arial"/>
                <w:sz w:val="15"/>
                <w:szCs w:val="15"/>
                <w:color w:val="auto"/>
              </w:rPr>
              <w:t>566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8"/>
                <w:szCs w:val="18"/>
                <w:color w:val="auto"/>
              </w:rPr>
            </w:pPr>
          </w:p>
        </w:tc>
        <w:tc>
          <w:tcPr>
            <w:tcW w:w="1020" w:type="dxa"/>
            <w:vAlign w:val="bottom"/>
          </w:tcPr>
          <w:p>
            <w:pPr>
              <w:jc w:val="right"/>
              <w:ind w:right="64"/>
              <w:spacing w:after="0"/>
              <w:rPr>
                <w:sz w:val="20"/>
                <w:szCs w:val="20"/>
                <w:color w:val="auto"/>
              </w:rPr>
            </w:pPr>
            <w:r>
              <w:rPr>
                <w:rFonts w:ascii="Arial" w:cs="Arial" w:eastAsia="Arial" w:hAnsi="Arial"/>
                <w:sz w:val="15"/>
                <w:szCs w:val="15"/>
                <w:color w:val="auto"/>
              </w:rPr>
              <w:t>566</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ind w:right="24"/>
              <w:spacing w:after="0"/>
              <w:rPr>
                <w:sz w:val="20"/>
                <w:szCs w:val="20"/>
                <w:color w:val="auto"/>
              </w:rPr>
            </w:pPr>
            <w:r>
              <w:rPr>
                <w:rFonts w:ascii="Arial" w:cs="Arial" w:eastAsia="Arial" w:hAnsi="Arial"/>
                <w:sz w:val="15"/>
                <w:szCs w:val="15"/>
                <w:color w:val="auto"/>
              </w:rPr>
              <w:t>(171)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ind w:right="44"/>
              <w:spacing w:after="0"/>
              <w:rPr>
                <w:sz w:val="20"/>
                <w:szCs w:val="20"/>
                <w:color w:val="auto"/>
              </w:rPr>
            </w:pPr>
            <w:r>
              <w:rPr>
                <w:rFonts w:ascii="Arial" w:cs="Arial" w:eastAsia="Arial" w:hAnsi="Arial"/>
                <w:sz w:val="15"/>
                <w:szCs w:val="15"/>
                <w:color w:val="auto"/>
              </w:rPr>
              <w:t>(8)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ind w:right="24"/>
              <w:spacing w:after="0"/>
              <w:rPr>
                <w:sz w:val="20"/>
                <w:szCs w:val="20"/>
                <w:color w:val="auto"/>
              </w:rPr>
            </w:pPr>
            <w:r>
              <w:rPr>
                <w:rFonts w:ascii="Arial" w:cs="Arial" w:eastAsia="Arial" w:hAnsi="Arial"/>
                <w:sz w:val="15"/>
                <w:szCs w:val="15"/>
                <w:color w:val="auto"/>
              </w:rPr>
              <w:t>(179)</w:t>
            </w:r>
          </w:p>
        </w:tc>
        <w:tc>
          <w:tcPr>
            <w:tcW w:w="0" w:type="dxa"/>
            <w:vAlign w:val="bottom"/>
          </w:tcPr>
          <w:p>
            <w:pPr>
              <w:spacing w:after="0"/>
              <w:rPr>
                <w:sz w:val="1"/>
                <w:szCs w:val="1"/>
                <w:color w:val="auto"/>
              </w:rPr>
            </w:pPr>
          </w:p>
        </w:tc>
      </w:tr>
      <w:tr>
        <w:trPr>
          <w:trHeight w:val="220"/>
        </w:trPr>
        <w:tc>
          <w:tcPr>
            <w:tcW w:w="4360" w:type="dxa"/>
            <w:vAlign w:val="bottom"/>
            <w:shd w:val="clear" w:color="auto" w:fill="CCEEFF"/>
          </w:tcPr>
          <w:p>
            <w:pPr>
              <w:ind w:left="120"/>
              <w:spacing w:after="0"/>
              <w:rPr>
                <w:sz w:val="20"/>
                <w:szCs w:val="20"/>
                <w:color w:val="auto"/>
              </w:rPr>
            </w:pPr>
            <w:r>
              <w:rPr>
                <w:rFonts w:ascii="Arial" w:cs="Arial" w:eastAsia="Arial" w:hAnsi="Arial"/>
                <w:sz w:val="15"/>
                <w:szCs w:val="15"/>
                <w:color w:val="auto"/>
              </w:rPr>
              <w:t>Depreciation and amortization</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(66,189)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(21,076)</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(87,265)</w:t>
            </w: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(57,054)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(19,099)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(76,153)</w:t>
            </w:r>
          </w:p>
        </w:tc>
        <w:tc>
          <w:tcPr>
            <w:tcW w:w="0" w:type="dxa"/>
            <w:vAlign w:val="bottom"/>
          </w:tcPr>
          <w:p>
            <w:pPr>
              <w:spacing w:after="0"/>
              <w:rPr>
                <w:sz w:val="1"/>
                <w:szCs w:val="1"/>
                <w:color w:val="auto"/>
              </w:rPr>
            </w:pPr>
          </w:p>
        </w:tc>
      </w:tr>
      <w:tr>
        <w:trPr>
          <w:trHeight w:val="212"/>
        </w:trPr>
        <w:tc>
          <w:tcPr>
            <w:tcW w:w="4360" w:type="dxa"/>
            <w:vAlign w:val="bottom"/>
          </w:tcPr>
          <w:p>
            <w:pPr>
              <w:ind w:left="120"/>
              <w:spacing w:after="0"/>
              <w:rPr>
                <w:sz w:val="20"/>
                <w:szCs w:val="20"/>
                <w:color w:val="auto"/>
              </w:rPr>
            </w:pPr>
            <w:r>
              <w:rPr>
                <w:rFonts w:ascii="Arial" w:cs="Arial" w:eastAsia="Arial" w:hAnsi="Arial"/>
                <w:sz w:val="15"/>
                <w:szCs w:val="15"/>
                <w:color w:val="auto"/>
              </w:rPr>
              <w:t>Loss on extinguishment of debt (see Note 8)</w:t>
            </w:r>
          </w:p>
        </w:tc>
        <w:tc>
          <w:tcPr>
            <w:tcW w:w="140" w:type="dxa"/>
            <w:vAlign w:val="bottom"/>
          </w:tcPr>
          <w:p>
            <w:pPr>
              <w:spacing w:after="0"/>
              <w:rPr>
                <w:sz w:val="18"/>
                <w:szCs w:val="18"/>
                <w:color w:val="auto"/>
              </w:rPr>
            </w:pPr>
          </w:p>
        </w:tc>
        <w:tc>
          <w:tcPr>
            <w:tcW w:w="960" w:type="dxa"/>
            <w:vAlign w:val="bottom"/>
          </w:tcPr>
          <w:p>
            <w:pPr>
              <w:jc w:val="right"/>
              <w:ind w:right="24"/>
              <w:spacing w:after="0"/>
              <w:rPr>
                <w:sz w:val="20"/>
                <w:szCs w:val="20"/>
                <w:color w:val="auto"/>
              </w:rPr>
            </w:pPr>
            <w:r>
              <w:rPr>
                <w:rFonts w:ascii="Arial" w:cs="Arial" w:eastAsia="Arial" w:hAnsi="Arial"/>
                <w:sz w:val="15"/>
                <w:szCs w:val="15"/>
                <w:color w:val="auto"/>
              </w:rPr>
              <w:t>(1,930)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8"/>
                <w:szCs w:val="18"/>
                <w:color w:val="auto"/>
              </w:rPr>
            </w:pPr>
          </w:p>
        </w:tc>
        <w:tc>
          <w:tcPr>
            <w:tcW w:w="1020" w:type="dxa"/>
            <w:vAlign w:val="bottom"/>
          </w:tcPr>
          <w:p>
            <w:pPr>
              <w:jc w:val="right"/>
              <w:ind w:right="44"/>
              <w:spacing w:after="0"/>
              <w:rPr>
                <w:sz w:val="20"/>
                <w:szCs w:val="20"/>
                <w:color w:val="auto"/>
              </w:rPr>
            </w:pPr>
            <w:r>
              <w:rPr>
                <w:rFonts w:ascii="Arial" w:cs="Arial" w:eastAsia="Arial" w:hAnsi="Arial"/>
                <w:sz w:val="15"/>
                <w:szCs w:val="15"/>
                <w:color w:val="auto"/>
              </w:rPr>
              <w:t>(1,930)</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ind w:right="24"/>
              <w:spacing w:after="0"/>
              <w:rPr>
                <w:sz w:val="20"/>
                <w:szCs w:val="20"/>
                <w:color w:val="auto"/>
              </w:rPr>
            </w:pPr>
            <w:r>
              <w:rPr>
                <w:rFonts w:ascii="Arial" w:cs="Arial" w:eastAsia="Arial" w:hAnsi="Arial"/>
                <w:sz w:val="15"/>
                <w:szCs w:val="15"/>
                <w:color w:val="auto"/>
              </w:rPr>
              <w:t>(70)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8"/>
                <w:szCs w:val="18"/>
                <w:color w:val="auto"/>
              </w:rPr>
            </w:pPr>
          </w:p>
        </w:tc>
        <w:tc>
          <w:tcPr>
            <w:tcW w:w="1000" w:type="dxa"/>
            <w:vAlign w:val="bottom"/>
          </w:tcPr>
          <w:p>
            <w:pPr>
              <w:jc w:val="right"/>
              <w:ind w:right="24"/>
              <w:spacing w:after="0"/>
              <w:rPr>
                <w:sz w:val="20"/>
                <w:szCs w:val="20"/>
                <w:color w:val="auto"/>
              </w:rPr>
            </w:pPr>
            <w:r>
              <w:rPr>
                <w:rFonts w:ascii="Arial" w:cs="Arial" w:eastAsia="Arial" w:hAnsi="Arial"/>
                <w:sz w:val="15"/>
                <w:szCs w:val="15"/>
                <w:color w:val="auto"/>
              </w:rPr>
              <w:t>(70)</w:t>
            </w:r>
          </w:p>
        </w:tc>
        <w:tc>
          <w:tcPr>
            <w:tcW w:w="0" w:type="dxa"/>
            <w:vAlign w:val="bottom"/>
          </w:tcPr>
          <w:p>
            <w:pPr>
              <w:spacing w:after="0"/>
              <w:rPr>
                <w:sz w:val="1"/>
                <w:szCs w:val="1"/>
                <w:color w:val="auto"/>
              </w:rPr>
            </w:pPr>
          </w:p>
        </w:tc>
      </w:tr>
      <w:tr>
        <w:trPr>
          <w:trHeight w:val="220"/>
        </w:trPr>
        <w:tc>
          <w:tcPr>
            <w:tcW w:w="4360" w:type="dxa"/>
            <w:vAlign w:val="bottom"/>
            <w:shd w:val="clear" w:color="auto" w:fill="CCEEFF"/>
          </w:tcPr>
          <w:p>
            <w:pPr>
              <w:ind w:left="120"/>
              <w:spacing w:after="0"/>
              <w:rPr>
                <w:sz w:val="20"/>
                <w:szCs w:val="20"/>
                <w:color w:val="auto"/>
              </w:rPr>
            </w:pPr>
            <w:r>
              <w:rPr>
                <w:rFonts w:ascii="Arial" w:cs="Arial" w:eastAsia="Arial" w:hAnsi="Arial"/>
                <w:sz w:val="15"/>
                <w:szCs w:val="15"/>
                <w:color w:val="auto"/>
              </w:rPr>
              <w:t>Interest expense</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(31,422)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(6)</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(31,428)</w:t>
            </w: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(33,656)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(33,661)</w:t>
            </w:r>
          </w:p>
        </w:tc>
        <w:tc>
          <w:tcPr>
            <w:tcW w:w="0" w:type="dxa"/>
            <w:vAlign w:val="bottom"/>
          </w:tcPr>
          <w:p>
            <w:pPr>
              <w:spacing w:after="0"/>
              <w:rPr>
                <w:sz w:val="1"/>
                <w:szCs w:val="1"/>
                <w:color w:val="auto"/>
              </w:rPr>
            </w:pPr>
          </w:p>
        </w:tc>
      </w:tr>
      <w:tr>
        <w:trPr>
          <w:trHeight w:val="212"/>
        </w:trPr>
        <w:tc>
          <w:tcPr>
            <w:tcW w:w="4360" w:type="dxa"/>
            <w:vAlign w:val="bottom"/>
          </w:tcPr>
          <w:p>
            <w:pPr>
              <w:ind w:left="120"/>
              <w:spacing w:after="0"/>
              <w:rPr>
                <w:sz w:val="20"/>
                <w:szCs w:val="20"/>
                <w:color w:val="auto"/>
              </w:rPr>
            </w:pPr>
            <w:r>
              <w:rPr>
                <w:rFonts w:ascii="Arial" w:cs="Arial" w:eastAsia="Arial" w:hAnsi="Arial"/>
                <w:sz w:val="15"/>
                <w:szCs w:val="15"/>
                <w:color w:val="auto"/>
              </w:rPr>
              <w:t>Interest on mandatorily redeemable preferred OP units / equity</w:t>
            </w:r>
          </w:p>
        </w:tc>
        <w:tc>
          <w:tcPr>
            <w:tcW w:w="140" w:type="dxa"/>
            <w:vAlign w:val="bottom"/>
          </w:tcPr>
          <w:p>
            <w:pPr>
              <w:spacing w:after="0"/>
              <w:rPr>
                <w:sz w:val="18"/>
                <w:szCs w:val="18"/>
                <w:color w:val="auto"/>
              </w:rPr>
            </w:pPr>
          </w:p>
        </w:tc>
        <w:tc>
          <w:tcPr>
            <w:tcW w:w="960" w:type="dxa"/>
            <w:vAlign w:val="bottom"/>
          </w:tcPr>
          <w:p>
            <w:pPr>
              <w:jc w:val="right"/>
              <w:ind w:right="24"/>
              <w:spacing w:after="0"/>
              <w:rPr>
                <w:sz w:val="20"/>
                <w:szCs w:val="20"/>
                <w:color w:val="auto"/>
              </w:rPr>
            </w:pPr>
            <w:r>
              <w:rPr>
                <w:rFonts w:ascii="Arial" w:cs="Arial" w:eastAsia="Arial" w:hAnsi="Arial"/>
                <w:sz w:val="15"/>
                <w:szCs w:val="15"/>
                <w:color w:val="auto"/>
              </w:rPr>
              <w:t>(1,042)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8"/>
                <w:szCs w:val="18"/>
                <w:color w:val="auto"/>
              </w:rPr>
            </w:pPr>
          </w:p>
        </w:tc>
        <w:tc>
          <w:tcPr>
            <w:tcW w:w="1020" w:type="dxa"/>
            <w:vAlign w:val="bottom"/>
          </w:tcPr>
          <w:p>
            <w:pPr>
              <w:jc w:val="right"/>
              <w:ind w:right="44"/>
              <w:spacing w:after="0"/>
              <w:rPr>
                <w:sz w:val="20"/>
                <w:szCs w:val="20"/>
                <w:color w:val="auto"/>
              </w:rPr>
            </w:pPr>
            <w:r>
              <w:rPr>
                <w:rFonts w:ascii="Arial" w:cs="Arial" w:eastAsia="Arial" w:hAnsi="Arial"/>
                <w:sz w:val="15"/>
                <w:szCs w:val="15"/>
                <w:color w:val="auto"/>
              </w:rPr>
              <w:t>(1,042)</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ind w:right="24"/>
              <w:spacing w:after="0"/>
              <w:rPr>
                <w:sz w:val="20"/>
                <w:szCs w:val="20"/>
                <w:color w:val="auto"/>
              </w:rPr>
            </w:pPr>
            <w:r>
              <w:rPr>
                <w:rFonts w:ascii="Arial" w:cs="Arial" w:eastAsia="Arial" w:hAnsi="Arial"/>
                <w:sz w:val="15"/>
                <w:szCs w:val="15"/>
                <w:color w:val="auto"/>
              </w:rPr>
              <w:t>(1,181)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8"/>
                <w:szCs w:val="18"/>
                <w:color w:val="auto"/>
              </w:rPr>
            </w:pPr>
          </w:p>
        </w:tc>
        <w:tc>
          <w:tcPr>
            <w:tcW w:w="1000" w:type="dxa"/>
            <w:vAlign w:val="bottom"/>
          </w:tcPr>
          <w:p>
            <w:pPr>
              <w:jc w:val="right"/>
              <w:ind w:right="24"/>
              <w:spacing w:after="0"/>
              <w:rPr>
                <w:sz w:val="20"/>
                <w:szCs w:val="20"/>
                <w:color w:val="auto"/>
              </w:rPr>
            </w:pPr>
            <w:r>
              <w:rPr>
                <w:rFonts w:ascii="Arial" w:cs="Arial" w:eastAsia="Arial" w:hAnsi="Arial"/>
                <w:sz w:val="15"/>
                <w:szCs w:val="15"/>
                <w:color w:val="auto"/>
              </w:rPr>
              <w:t>(1,181)</w:t>
            </w:r>
          </w:p>
        </w:tc>
        <w:tc>
          <w:tcPr>
            <w:tcW w:w="0" w:type="dxa"/>
            <w:vAlign w:val="bottom"/>
          </w:tcPr>
          <w:p>
            <w:pPr>
              <w:spacing w:after="0"/>
              <w:rPr>
                <w:sz w:val="1"/>
                <w:szCs w:val="1"/>
                <w:color w:val="auto"/>
              </w:rPr>
            </w:pPr>
          </w:p>
        </w:tc>
      </w:tr>
      <w:tr>
        <w:trPr>
          <w:trHeight w:val="220"/>
        </w:trPr>
        <w:tc>
          <w:tcPr>
            <w:tcW w:w="4360" w:type="dxa"/>
            <w:vAlign w:val="bottom"/>
            <w:shd w:val="clear" w:color="auto" w:fill="CCEEFF"/>
          </w:tcPr>
          <w:p>
            <w:pPr>
              <w:ind w:left="120"/>
              <w:spacing w:after="0"/>
              <w:rPr>
                <w:sz w:val="20"/>
                <w:szCs w:val="20"/>
                <w:color w:val="auto"/>
              </w:rPr>
            </w:pPr>
            <w:r>
              <w:rPr>
                <w:rFonts w:ascii="Arial" w:cs="Arial" w:eastAsia="Arial" w:hAnsi="Arial"/>
                <w:sz w:val="15"/>
                <w:szCs w:val="15"/>
                <w:color w:val="auto"/>
              </w:rPr>
              <w:t>Gain on remeasurement of marketable securities</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24,519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24,519</w:t>
            </w: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3,620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3,620</w:t>
            </w:r>
          </w:p>
        </w:tc>
        <w:tc>
          <w:tcPr>
            <w:tcW w:w="0" w:type="dxa"/>
            <w:vAlign w:val="bottom"/>
          </w:tcPr>
          <w:p>
            <w:pPr>
              <w:spacing w:after="0"/>
              <w:rPr>
                <w:sz w:val="1"/>
                <w:szCs w:val="1"/>
                <w:color w:val="auto"/>
              </w:rPr>
            </w:pPr>
          </w:p>
        </w:tc>
      </w:tr>
      <w:tr>
        <w:trPr>
          <w:trHeight w:val="212"/>
        </w:trPr>
        <w:tc>
          <w:tcPr>
            <w:tcW w:w="4360" w:type="dxa"/>
            <w:vAlign w:val="bottom"/>
          </w:tcPr>
          <w:p>
            <w:pPr>
              <w:ind w:left="120"/>
              <w:spacing w:after="0"/>
              <w:rPr>
                <w:sz w:val="20"/>
                <w:szCs w:val="20"/>
                <w:color w:val="auto"/>
              </w:rPr>
            </w:pPr>
            <w:r>
              <w:rPr>
                <w:rFonts w:ascii="Arial" w:cs="Arial" w:eastAsia="Arial" w:hAnsi="Arial"/>
                <w:sz w:val="15"/>
                <w:szCs w:val="15"/>
                <w:color w:val="auto"/>
              </w:rPr>
              <w:t>Gain on foreign currency translation</w:t>
            </w:r>
          </w:p>
        </w:tc>
        <w:tc>
          <w:tcPr>
            <w:tcW w:w="140" w:type="dxa"/>
            <w:vAlign w:val="bottom"/>
          </w:tcPr>
          <w:p>
            <w:pPr>
              <w:spacing w:after="0"/>
              <w:rPr>
                <w:sz w:val="18"/>
                <w:szCs w:val="18"/>
                <w:color w:val="auto"/>
              </w:rPr>
            </w:pPr>
          </w:p>
        </w:tc>
        <w:tc>
          <w:tcPr>
            <w:tcW w:w="960" w:type="dxa"/>
            <w:vAlign w:val="bottom"/>
          </w:tcPr>
          <w:p>
            <w:pPr>
              <w:jc w:val="right"/>
              <w:ind w:right="64"/>
              <w:spacing w:after="0"/>
              <w:rPr>
                <w:sz w:val="20"/>
                <w:szCs w:val="20"/>
                <w:color w:val="auto"/>
              </w:rPr>
            </w:pPr>
            <w:r>
              <w:rPr>
                <w:rFonts w:ascii="Arial" w:cs="Arial" w:eastAsia="Arial" w:hAnsi="Arial"/>
                <w:sz w:val="15"/>
                <w:szCs w:val="15"/>
                <w:color w:val="auto"/>
              </w:rPr>
              <w:t>10,366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ind w:right="64"/>
              <w:spacing w:after="0"/>
              <w:rPr>
                <w:sz w:val="20"/>
                <w:szCs w:val="20"/>
                <w:color w:val="auto"/>
              </w:rPr>
            </w:pPr>
            <w:r>
              <w:rPr>
                <w:rFonts w:ascii="Arial" w:cs="Arial" w:eastAsia="Arial" w:hAnsi="Arial"/>
                <w:sz w:val="15"/>
                <w:szCs w:val="15"/>
                <w:color w:val="auto"/>
              </w:rPr>
              <w:t>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ind w:right="64"/>
              <w:spacing w:after="0"/>
              <w:rPr>
                <w:sz w:val="20"/>
                <w:szCs w:val="20"/>
                <w:color w:val="auto"/>
              </w:rPr>
            </w:pPr>
            <w:r>
              <w:rPr>
                <w:rFonts w:ascii="Arial" w:cs="Arial" w:eastAsia="Arial" w:hAnsi="Arial"/>
                <w:sz w:val="15"/>
                <w:szCs w:val="15"/>
                <w:color w:val="auto"/>
              </w:rPr>
              <w:t>10,374</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ind w:right="64"/>
              <w:spacing w:after="0"/>
              <w:rPr>
                <w:sz w:val="20"/>
                <w:szCs w:val="20"/>
                <w:color w:val="auto"/>
              </w:rPr>
            </w:pPr>
            <w:r>
              <w:rPr>
                <w:rFonts w:ascii="Arial" w:cs="Arial" w:eastAsia="Arial" w:hAnsi="Arial"/>
                <w:sz w:val="15"/>
                <w:szCs w:val="15"/>
                <w:color w:val="auto"/>
              </w:rPr>
              <w:t>1,114</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ind w:right="84"/>
              <w:spacing w:after="0"/>
              <w:rPr>
                <w:sz w:val="20"/>
                <w:szCs w:val="20"/>
                <w:color w:val="auto"/>
              </w:rPr>
            </w:pPr>
            <w:r>
              <w:rPr>
                <w:rFonts w:ascii="Arial" w:cs="Arial" w:eastAsia="Arial" w:hAnsi="Arial"/>
                <w:sz w:val="15"/>
                <w:szCs w:val="15"/>
                <w:color w:val="auto"/>
              </w:rPr>
              <w:t>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ind w:right="64"/>
              <w:spacing w:after="0"/>
              <w:rPr>
                <w:sz w:val="20"/>
                <w:szCs w:val="20"/>
                <w:color w:val="auto"/>
              </w:rPr>
            </w:pPr>
            <w:r>
              <w:rPr>
                <w:rFonts w:ascii="Arial" w:cs="Arial" w:eastAsia="Arial" w:hAnsi="Arial"/>
                <w:sz w:val="15"/>
                <w:szCs w:val="15"/>
                <w:color w:val="auto"/>
              </w:rPr>
              <w:t>1,116</w:t>
            </w:r>
          </w:p>
        </w:tc>
        <w:tc>
          <w:tcPr>
            <w:tcW w:w="0" w:type="dxa"/>
            <w:vAlign w:val="bottom"/>
          </w:tcPr>
          <w:p>
            <w:pPr>
              <w:spacing w:after="0"/>
              <w:rPr>
                <w:sz w:val="1"/>
                <w:szCs w:val="1"/>
                <w:color w:val="auto"/>
              </w:rPr>
            </w:pPr>
          </w:p>
        </w:tc>
      </w:tr>
      <w:tr>
        <w:trPr>
          <w:trHeight w:val="220"/>
        </w:trPr>
        <w:tc>
          <w:tcPr>
            <w:tcW w:w="4360" w:type="dxa"/>
            <w:vAlign w:val="bottom"/>
            <w:shd w:val="clear" w:color="auto" w:fill="CCEEFF"/>
          </w:tcPr>
          <w:p>
            <w:pPr>
              <w:ind w:left="120"/>
              <w:spacing w:after="0"/>
              <w:rPr>
                <w:sz w:val="20"/>
                <w:szCs w:val="20"/>
                <w:color w:val="auto"/>
              </w:rPr>
            </w:pPr>
            <w:r>
              <w:rPr>
                <w:rFonts w:ascii="Arial" w:cs="Arial" w:eastAsia="Arial" w:hAnsi="Arial"/>
                <w:sz w:val="15"/>
                <w:szCs w:val="15"/>
                <w:color w:val="auto"/>
              </w:rPr>
              <w:t>Other expense, net</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(552)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(552)</w:t>
            </w: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(53)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(42)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(95)</w:t>
            </w:r>
          </w:p>
        </w:tc>
        <w:tc>
          <w:tcPr>
            <w:tcW w:w="0" w:type="dxa"/>
            <w:vAlign w:val="bottom"/>
          </w:tcPr>
          <w:p>
            <w:pPr>
              <w:spacing w:after="0"/>
              <w:rPr>
                <w:sz w:val="1"/>
                <w:szCs w:val="1"/>
                <w:color w:val="auto"/>
              </w:rPr>
            </w:pPr>
          </w:p>
        </w:tc>
      </w:tr>
      <w:tr>
        <w:trPr>
          <w:trHeight w:val="212"/>
        </w:trPr>
        <w:tc>
          <w:tcPr>
            <w:tcW w:w="4360" w:type="dxa"/>
            <w:vAlign w:val="bottom"/>
          </w:tcPr>
          <w:p>
            <w:pPr>
              <w:ind w:left="120"/>
              <w:spacing w:after="0"/>
              <w:rPr>
                <w:sz w:val="20"/>
                <w:szCs w:val="20"/>
                <w:color w:val="auto"/>
              </w:rPr>
            </w:pPr>
            <w:r>
              <w:rPr>
                <w:rFonts w:ascii="Arial" w:cs="Arial" w:eastAsia="Arial" w:hAnsi="Arial"/>
                <w:sz w:val="15"/>
                <w:szCs w:val="15"/>
                <w:color w:val="auto"/>
              </w:rPr>
              <w:t>Gain on remeasurement of notes receivable</w:t>
            </w:r>
          </w:p>
        </w:tc>
        <w:tc>
          <w:tcPr>
            <w:tcW w:w="140" w:type="dxa"/>
            <w:vAlign w:val="bottom"/>
          </w:tcPr>
          <w:p>
            <w:pPr>
              <w:spacing w:after="0"/>
              <w:rPr>
                <w:sz w:val="18"/>
                <w:szCs w:val="18"/>
                <w:color w:val="auto"/>
              </w:rPr>
            </w:pPr>
          </w:p>
        </w:tc>
        <w:tc>
          <w:tcPr>
            <w:tcW w:w="960" w:type="dxa"/>
            <w:vAlign w:val="bottom"/>
          </w:tcPr>
          <w:p>
            <w:pPr>
              <w:jc w:val="right"/>
              <w:ind w:right="64"/>
              <w:spacing w:after="0"/>
              <w:rPr>
                <w:sz w:val="20"/>
                <w:szCs w:val="20"/>
                <w:color w:val="auto"/>
              </w:rPr>
            </w:pPr>
            <w:r>
              <w:rPr>
                <w:rFonts w:ascii="Arial" w:cs="Arial" w:eastAsia="Arial" w:hAnsi="Arial"/>
                <w:sz w:val="15"/>
                <w:szCs w:val="15"/>
                <w:color w:val="auto"/>
              </w:rPr>
              <w:t>246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8"/>
                <w:szCs w:val="18"/>
                <w:color w:val="auto"/>
              </w:rPr>
            </w:pPr>
          </w:p>
        </w:tc>
        <w:tc>
          <w:tcPr>
            <w:tcW w:w="1020" w:type="dxa"/>
            <w:vAlign w:val="bottom"/>
          </w:tcPr>
          <w:p>
            <w:pPr>
              <w:jc w:val="right"/>
              <w:ind w:right="64"/>
              <w:spacing w:after="0"/>
              <w:rPr>
                <w:sz w:val="20"/>
                <w:szCs w:val="20"/>
                <w:color w:val="auto"/>
              </w:rPr>
            </w:pPr>
            <w:r>
              <w:rPr>
                <w:rFonts w:ascii="Arial" w:cs="Arial" w:eastAsia="Arial" w:hAnsi="Arial"/>
                <w:sz w:val="15"/>
                <w:szCs w:val="15"/>
                <w:color w:val="auto"/>
              </w:rPr>
              <w:t>246</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8"/>
                <w:szCs w:val="18"/>
                <w:color w:val="auto"/>
              </w:rPr>
            </w:pPr>
          </w:p>
        </w:tc>
        <w:tc>
          <w:tcPr>
            <w:tcW w:w="1000" w:type="dxa"/>
            <w:vAlign w:val="bottom"/>
          </w:tcPr>
          <w:p>
            <w:pPr>
              <w:jc w:val="right"/>
              <w:ind w:right="6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20"/>
        </w:trPr>
        <w:tc>
          <w:tcPr>
            <w:tcW w:w="4360" w:type="dxa"/>
            <w:vAlign w:val="bottom"/>
            <w:shd w:val="clear" w:color="auto" w:fill="CCEEFF"/>
          </w:tcPr>
          <w:p>
            <w:pPr>
              <w:ind w:left="120"/>
              <w:spacing w:after="0"/>
              <w:rPr>
                <w:sz w:val="20"/>
                <w:szCs w:val="20"/>
                <w:color w:val="auto"/>
              </w:rPr>
            </w:pPr>
            <w:r>
              <w:rPr>
                <w:rFonts w:ascii="Arial" w:cs="Arial" w:eastAsia="Arial" w:hAnsi="Arial"/>
                <w:sz w:val="15"/>
                <w:szCs w:val="15"/>
                <w:color w:val="auto"/>
              </w:rPr>
              <w:t>Income from nonconsolidated affiliates (see Note 6)</w:t>
            </w:r>
          </w:p>
        </w:tc>
        <w:tc>
          <w:tcPr>
            <w:tcW w:w="1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92</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92</w:t>
            </w: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rPr>
              <w:t>479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479</w:t>
            </w:r>
          </w:p>
        </w:tc>
        <w:tc>
          <w:tcPr>
            <w:tcW w:w="0" w:type="dxa"/>
            <w:vAlign w:val="bottom"/>
          </w:tcPr>
          <w:p>
            <w:pPr>
              <w:spacing w:after="0"/>
              <w:rPr>
                <w:sz w:val="1"/>
                <w:szCs w:val="1"/>
                <w:color w:val="auto"/>
              </w:rPr>
            </w:pPr>
          </w:p>
        </w:tc>
      </w:tr>
      <w:tr>
        <w:trPr>
          <w:trHeight w:val="212"/>
        </w:trPr>
        <w:tc>
          <w:tcPr>
            <w:tcW w:w="4360" w:type="dxa"/>
            <w:vAlign w:val="bottom"/>
          </w:tcPr>
          <w:p>
            <w:pPr>
              <w:ind w:left="120"/>
              <w:spacing w:after="0"/>
              <w:rPr>
                <w:sz w:val="20"/>
                <w:szCs w:val="20"/>
                <w:color w:val="auto"/>
              </w:rPr>
            </w:pPr>
            <w:r>
              <w:rPr>
                <w:rFonts w:ascii="Arial" w:cs="Arial" w:eastAsia="Arial" w:hAnsi="Arial"/>
                <w:sz w:val="15"/>
                <w:szCs w:val="15"/>
                <w:color w:val="auto"/>
                <w:w w:val="95"/>
              </w:rPr>
              <w:t>Gain on remeasurement of investment in nonconsolidated affiliates</w:t>
            </w:r>
          </w:p>
        </w:tc>
        <w:tc>
          <w:tcPr>
            <w:tcW w:w="14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8"/>
                <w:szCs w:val="18"/>
                <w:color w:val="auto"/>
              </w:rPr>
            </w:pPr>
          </w:p>
        </w:tc>
        <w:tc>
          <w:tcPr>
            <w:tcW w:w="720" w:type="dxa"/>
            <w:vAlign w:val="bottom"/>
          </w:tcPr>
          <w:p>
            <w:pPr>
              <w:jc w:val="right"/>
              <w:ind w:right="64"/>
              <w:spacing w:after="0"/>
              <w:rPr>
                <w:sz w:val="20"/>
                <w:szCs w:val="20"/>
                <w:color w:val="auto"/>
              </w:rPr>
            </w:pPr>
            <w:r>
              <w:rPr>
                <w:rFonts w:ascii="Arial" w:cs="Arial" w:eastAsia="Arial" w:hAnsi="Arial"/>
                <w:sz w:val="15"/>
                <w:szCs w:val="15"/>
                <w:color w:val="auto"/>
              </w:rPr>
              <w:t>1,132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ind w:right="64"/>
              <w:spacing w:after="0"/>
              <w:rPr>
                <w:sz w:val="20"/>
                <w:szCs w:val="20"/>
                <w:color w:val="auto"/>
              </w:rPr>
            </w:pPr>
            <w:r>
              <w:rPr>
                <w:rFonts w:ascii="Arial" w:cs="Arial" w:eastAsia="Arial" w:hAnsi="Arial"/>
                <w:sz w:val="15"/>
                <w:szCs w:val="15"/>
                <w:color w:val="auto"/>
              </w:rPr>
              <w:t>1,132</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8"/>
                <w:szCs w:val="18"/>
                <w:color w:val="auto"/>
              </w:rPr>
            </w:pPr>
          </w:p>
        </w:tc>
        <w:tc>
          <w:tcPr>
            <w:tcW w:w="1000" w:type="dxa"/>
            <w:vAlign w:val="bottom"/>
          </w:tcPr>
          <w:p>
            <w:pPr>
              <w:jc w:val="right"/>
              <w:ind w:right="6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20"/>
        </w:trPr>
        <w:tc>
          <w:tcPr>
            <w:tcW w:w="4360" w:type="dxa"/>
            <w:vAlign w:val="bottom"/>
            <w:shd w:val="clear" w:color="auto" w:fill="CCEEFF"/>
          </w:tcPr>
          <w:p>
            <w:pPr>
              <w:ind w:left="120"/>
              <w:spacing w:after="0"/>
              <w:rPr>
                <w:sz w:val="20"/>
                <w:szCs w:val="20"/>
                <w:color w:val="auto"/>
              </w:rPr>
            </w:pPr>
            <w:r>
              <w:rPr>
                <w:rFonts w:ascii="Arial" w:cs="Arial" w:eastAsia="Arial" w:hAnsi="Arial"/>
                <w:sz w:val="15"/>
                <w:szCs w:val="15"/>
                <w:color w:val="auto"/>
              </w:rPr>
              <w:t>Current tax benefit / (expense)</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32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(151)</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(119)</w:t>
            </w: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(179)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(93)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(272)</w:t>
            </w:r>
          </w:p>
        </w:tc>
        <w:tc>
          <w:tcPr>
            <w:tcW w:w="0" w:type="dxa"/>
            <w:vAlign w:val="bottom"/>
          </w:tcPr>
          <w:p>
            <w:pPr>
              <w:spacing w:after="0"/>
              <w:rPr>
                <w:sz w:val="1"/>
                <w:szCs w:val="1"/>
                <w:color w:val="auto"/>
              </w:rPr>
            </w:pPr>
          </w:p>
        </w:tc>
      </w:tr>
      <w:tr>
        <w:trPr>
          <w:trHeight w:val="212"/>
        </w:trPr>
        <w:tc>
          <w:tcPr>
            <w:tcW w:w="4360" w:type="dxa"/>
            <w:vAlign w:val="bottom"/>
          </w:tcPr>
          <w:p>
            <w:pPr>
              <w:ind w:left="120"/>
              <w:spacing w:after="0"/>
              <w:rPr>
                <w:sz w:val="20"/>
                <w:szCs w:val="20"/>
                <w:color w:val="auto"/>
              </w:rPr>
            </w:pPr>
            <w:r>
              <w:rPr>
                <w:rFonts w:ascii="Arial" w:cs="Arial" w:eastAsia="Arial" w:hAnsi="Arial"/>
                <w:sz w:val="15"/>
                <w:szCs w:val="15"/>
                <w:color w:val="auto"/>
              </w:rPr>
              <w:t>Deferred tax benefit (see Note 12)</w:t>
            </w:r>
          </w:p>
        </w:tc>
        <w:tc>
          <w:tcPr>
            <w:tcW w:w="140" w:type="dxa"/>
            <w:vAlign w:val="bottom"/>
          </w:tcPr>
          <w:p>
            <w:pPr>
              <w:spacing w:after="0"/>
              <w:rPr>
                <w:sz w:val="18"/>
                <w:szCs w:val="18"/>
                <w:color w:val="auto"/>
              </w:rPr>
            </w:pPr>
          </w:p>
        </w:tc>
        <w:tc>
          <w:tcPr>
            <w:tcW w:w="960" w:type="dxa"/>
            <w:vAlign w:val="bottom"/>
          </w:tcPr>
          <w:p>
            <w:pPr>
              <w:jc w:val="right"/>
              <w:ind w:right="64"/>
              <w:spacing w:after="0"/>
              <w:rPr>
                <w:sz w:val="20"/>
                <w:szCs w:val="20"/>
                <w:color w:val="auto"/>
              </w:rPr>
            </w:pPr>
            <w:r>
              <w:rPr>
                <w:rFonts w:ascii="Arial" w:cs="Arial" w:eastAsia="Arial" w:hAnsi="Arial"/>
                <w:sz w:val="15"/>
                <w:szCs w:val="15"/>
                <w:color w:val="auto"/>
              </w:rPr>
              <w:t>112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8"/>
                <w:szCs w:val="18"/>
                <w:color w:val="auto"/>
              </w:rPr>
            </w:pPr>
          </w:p>
        </w:tc>
        <w:tc>
          <w:tcPr>
            <w:tcW w:w="1020" w:type="dxa"/>
            <w:vAlign w:val="bottom"/>
          </w:tcPr>
          <w:p>
            <w:pPr>
              <w:jc w:val="right"/>
              <w:ind w:right="64"/>
              <w:spacing w:after="0"/>
              <w:rPr>
                <w:sz w:val="20"/>
                <w:szCs w:val="20"/>
                <w:color w:val="auto"/>
              </w:rPr>
            </w:pPr>
            <w:r>
              <w:rPr>
                <w:rFonts w:ascii="Arial" w:cs="Arial" w:eastAsia="Arial" w:hAnsi="Arial"/>
                <w:sz w:val="15"/>
                <w:szCs w:val="15"/>
                <w:color w:val="auto"/>
              </w:rPr>
              <w:t>112</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ind w:right="64"/>
              <w:spacing w:after="0"/>
              <w:rPr>
                <w:sz w:val="20"/>
                <w:szCs w:val="20"/>
                <w:color w:val="auto"/>
              </w:rPr>
            </w:pPr>
            <w:r>
              <w:rPr>
                <w:rFonts w:ascii="Arial" w:cs="Arial" w:eastAsia="Arial" w:hAnsi="Arial"/>
                <w:sz w:val="15"/>
                <w:szCs w:val="15"/>
                <w:color w:val="auto"/>
              </w:rPr>
              <w:t>96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8"/>
                <w:szCs w:val="18"/>
                <w:color w:val="auto"/>
              </w:rPr>
            </w:pPr>
          </w:p>
        </w:tc>
        <w:tc>
          <w:tcPr>
            <w:tcW w:w="1000" w:type="dxa"/>
            <w:vAlign w:val="bottom"/>
          </w:tcPr>
          <w:p>
            <w:pPr>
              <w:jc w:val="right"/>
              <w:ind w:right="64"/>
              <w:spacing w:after="0"/>
              <w:rPr>
                <w:sz w:val="20"/>
                <w:szCs w:val="20"/>
                <w:color w:val="auto"/>
              </w:rPr>
            </w:pPr>
            <w:r>
              <w:rPr>
                <w:rFonts w:ascii="Arial" w:cs="Arial" w:eastAsia="Arial" w:hAnsi="Arial"/>
                <w:sz w:val="15"/>
                <w:szCs w:val="15"/>
                <w:color w:val="auto"/>
              </w:rPr>
              <w:t>96</w:t>
            </w:r>
          </w:p>
        </w:tc>
        <w:tc>
          <w:tcPr>
            <w:tcW w:w="0" w:type="dxa"/>
            <w:vAlign w:val="bottom"/>
          </w:tcPr>
          <w:p>
            <w:pPr>
              <w:spacing w:after="0"/>
              <w:rPr>
                <w:sz w:val="1"/>
                <w:szCs w:val="1"/>
                <w:color w:val="auto"/>
              </w:rPr>
            </w:pPr>
          </w:p>
        </w:tc>
      </w:tr>
      <w:tr>
        <w:trPr>
          <w:trHeight w:val="214"/>
        </w:trPr>
        <w:tc>
          <w:tcPr>
            <w:tcW w:w="4360" w:type="dxa"/>
            <w:vAlign w:val="bottom"/>
            <w:tcBorders>
              <w:top w:val="single" w:sz="8" w:color="CCEEFF"/>
            </w:tcBorders>
            <w:shd w:val="clear" w:color="auto" w:fill="CCEEFF"/>
          </w:tcPr>
          <w:p>
            <w:pPr>
              <w:ind w:left="120"/>
              <w:spacing w:after="0"/>
              <w:rPr>
                <w:sz w:val="20"/>
                <w:szCs w:val="20"/>
                <w:color w:val="auto"/>
              </w:rPr>
            </w:pPr>
            <w:r>
              <w:rPr>
                <w:rFonts w:ascii="Arial" w:cs="Arial" w:eastAsia="Arial" w:hAnsi="Arial"/>
                <w:sz w:val="15"/>
                <w:szCs w:val="15"/>
                <w:b w:val="1"/>
                <w:bCs w:val="1"/>
                <w:color w:val="auto"/>
              </w:rPr>
              <w:t>Net Income / (Loss)</w:t>
            </w:r>
          </w:p>
        </w:tc>
        <w:tc>
          <w:tcPr>
            <w:tcW w:w="1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ind w:right="64"/>
              <w:spacing w:after="0"/>
              <w:rPr>
                <w:sz w:val="20"/>
                <w:szCs w:val="20"/>
                <w:color w:val="auto"/>
              </w:rPr>
            </w:pPr>
            <w:r>
              <w:rPr>
                <w:rFonts w:ascii="Arial" w:cs="Arial" w:eastAsia="Arial" w:hAnsi="Arial"/>
                <w:sz w:val="15"/>
                <w:szCs w:val="15"/>
                <w:color w:val="auto"/>
              </w:rPr>
              <w:t>68,866</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rPr>
              <w:t>(5,511)</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CCEEFF"/>
            </w:tcBorders>
            <w:shd w:val="clear" w:color="auto" w:fill="CCEEFF"/>
          </w:tcPr>
          <w:p>
            <w:pPr>
              <w:jc w:val="right"/>
              <w:ind w:right="64"/>
              <w:spacing w:after="0"/>
              <w:rPr>
                <w:sz w:val="20"/>
                <w:szCs w:val="20"/>
                <w:color w:val="auto"/>
              </w:rPr>
            </w:pPr>
            <w:r>
              <w:rPr>
                <w:rFonts w:ascii="Arial" w:cs="Arial" w:eastAsia="Arial" w:hAnsi="Arial"/>
                <w:sz w:val="15"/>
                <w:szCs w:val="15"/>
                <w:color w:val="auto"/>
              </w:rPr>
              <w:t>63,355</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ind w:right="64"/>
              <w:spacing w:after="0"/>
              <w:rPr>
                <w:sz w:val="20"/>
                <w:szCs w:val="20"/>
                <w:color w:val="auto"/>
              </w:rPr>
            </w:pPr>
            <w:r>
              <w:rPr>
                <w:rFonts w:ascii="Arial" w:cs="Arial" w:eastAsia="Arial" w:hAnsi="Arial"/>
                <w:sz w:val="15"/>
                <w:szCs w:val="15"/>
                <w:color w:val="auto"/>
              </w:rPr>
              <w:t>48,441</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rPr>
              <w:t>(3,325)</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ind w:right="64"/>
              <w:spacing w:after="0"/>
              <w:rPr>
                <w:sz w:val="20"/>
                <w:szCs w:val="20"/>
                <w:color w:val="auto"/>
              </w:rPr>
            </w:pPr>
            <w:r>
              <w:rPr>
                <w:rFonts w:ascii="Arial" w:cs="Arial" w:eastAsia="Arial" w:hAnsi="Arial"/>
                <w:sz w:val="15"/>
                <w:szCs w:val="15"/>
                <w:color w:val="auto"/>
              </w:rPr>
              <w:t>45,116</w:t>
            </w:r>
          </w:p>
        </w:tc>
        <w:tc>
          <w:tcPr>
            <w:tcW w:w="0" w:type="dxa"/>
            <w:vAlign w:val="bottom"/>
          </w:tcPr>
          <w:p>
            <w:pPr>
              <w:spacing w:after="0"/>
              <w:rPr>
                <w:sz w:val="1"/>
                <w:szCs w:val="1"/>
                <w:color w:val="auto"/>
              </w:rPr>
            </w:pPr>
          </w:p>
        </w:tc>
      </w:tr>
      <w:tr>
        <w:trPr>
          <w:trHeight w:val="212"/>
        </w:trPr>
        <w:tc>
          <w:tcPr>
            <w:tcW w:w="4360" w:type="dxa"/>
            <w:vAlign w:val="bottom"/>
          </w:tcPr>
          <w:p>
            <w:pPr>
              <w:ind w:left="340"/>
              <w:spacing w:after="0"/>
              <w:rPr>
                <w:sz w:val="20"/>
                <w:szCs w:val="20"/>
                <w:color w:val="auto"/>
              </w:rPr>
            </w:pPr>
            <w:r>
              <w:rPr>
                <w:rFonts w:ascii="Arial" w:cs="Arial" w:eastAsia="Arial" w:hAnsi="Arial"/>
                <w:sz w:val="15"/>
                <w:szCs w:val="15"/>
                <w:color w:val="auto"/>
              </w:rPr>
              <w:t>Less: Preferred return to preferred OP units / equity</w:t>
            </w:r>
          </w:p>
        </w:tc>
        <w:tc>
          <w:tcPr>
            <w:tcW w:w="140" w:type="dxa"/>
            <w:vAlign w:val="bottom"/>
          </w:tcPr>
          <w:p>
            <w:pPr>
              <w:spacing w:after="0"/>
              <w:rPr>
                <w:sz w:val="18"/>
                <w:szCs w:val="18"/>
                <w:color w:val="auto"/>
              </w:rPr>
            </w:pPr>
          </w:p>
        </w:tc>
        <w:tc>
          <w:tcPr>
            <w:tcW w:w="960" w:type="dxa"/>
            <w:vAlign w:val="bottom"/>
          </w:tcPr>
          <w:p>
            <w:pPr>
              <w:jc w:val="right"/>
              <w:ind w:right="64"/>
              <w:spacing w:after="0"/>
              <w:rPr>
                <w:sz w:val="20"/>
                <w:szCs w:val="20"/>
                <w:color w:val="auto"/>
              </w:rPr>
            </w:pPr>
            <w:r>
              <w:rPr>
                <w:rFonts w:ascii="Arial" w:cs="Arial" w:eastAsia="Arial" w:hAnsi="Arial"/>
                <w:sz w:val="15"/>
                <w:szCs w:val="15"/>
                <w:color w:val="auto"/>
              </w:rPr>
              <w:t>1,584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8"/>
                <w:szCs w:val="18"/>
                <w:color w:val="auto"/>
              </w:rPr>
            </w:pPr>
          </w:p>
        </w:tc>
        <w:tc>
          <w:tcPr>
            <w:tcW w:w="1020" w:type="dxa"/>
            <w:vAlign w:val="bottom"/>
          </w:tcPr>
          <w:p>
            <w:pPr>
              <w:jc w:val="right"/>
              <w:ind w:right="64"/>
              <w:spacing w:after="0"/>
              <w:rPr>
                <w:sz w:val="20"/>
                <w:szCs w:val="20"/>
                <w:color w:val="auto"/>
              </w:rPr>
            </w:pPr>
            <w:r>
              <w:rPr>
                <w:rFonts w:ascii="Arial" w:cs="Arial" w:eastAsia="Arial" w:hAnsi="Arial"/>
                <w:sz w:val="15"/>
                <w:szCs w:val="15"/>
                <w:color w:val="auto"/>
              </w:rPr>
              <w:t>1,584</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ind w:right="64"/>
              <w:spacing w:after="0"/>
              <w:rPr>
                <w:sz w:val="20"/>
                <w:szCs w:val="20"/>
                <w:color w:val="auto"/>
              </w:rPr>
            </w:pPr>
            <w:r>
              <w:rPr>
                <w:rFonts w:ascii="Arial" w:cs="Arial" w:eastAsia="Arial" w:hAnsi="Arial"/>
                <w:sz w:val="15"/>
                <w:szCs w:val="15"/>
                <w:color w:val="auto"/>
              </w:rPr>
              <w:t>1,718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8"/>
                <w:szCs w:val="18"/>
                <w:color w:val="auto"/>
              </w:rPr>
            </w:pPr>
          </w:p>
        </w:tc>
        <w:tc>
          <w:tcPr>
            <w:tcW w:w="1000" w:type="dxa"/>
            <w:vAlign w:val="bottom"/>
          </w:tcPr>
          <w:p>
            <w:pPr>
              <w:jc w:val="right"/>
              <w:ind w:right="64"/>
              <w:spacing w:after="0"/>
              <w:rPr>
                <w:sz w:val="20"/>
                <w:szCs w:val="20"/>
                <w:color w:val="auto"/>
              </w:rPr>
            </w:pPr>
            <w:r>
              <w:rPr>
                <w:rFonts w:ascii="Arial" w:cs="Arial" w:eastAsia="Arial" w:hAnsi="Arial"/>
                <w:sz w:val="15"/>
                <w:szCs w:val="15"/>
                <w:color w:val="auto"/>
              </w:rPr>
              <w:t>1,718</w:t>
            </w:r>
          </w:p>
        </w:tc>
        <w:tc>
          <w:tcPr>
            <w:tcW w:w="0" w:type="dxa"/>
            <w:vAlign w:val="bottom"/>
          </w:tcPr>
          <w:p>
            <w:pPr>
              <w:spacing w:after="0"/>
              <w:rPr>
                <w:sz w:val="1"/>
                <w:szCs w:val="1"/>
                <w:color w:val="auto"/>
              </w:rPr>
            </w:pPr>
          </w:p>
        </w:tc>
      </w:tr>
      <w:tr>
        <w:trPr>
          <w:trHeight w:val="220"/>
        </w:trPr>
        <w:tc>
          <w:tcPr>
            <w:tcW w:w="4360" w:type="dxa"/>
            <w:vAlign w:val="bottom"/>
            <w:shd w:val="clear" w:color="auto" w:fill="CCEEFF"/>
          </w:tcPr>
          <w:p>
            <w:pPr>
              <w:ind w:left="340"/>
              <w:spacing w:after="0"/>
              <w:rPr>
                <w:sz w:val="20"/>
                <w:szCs w:val="20"/>
                <w:color w:val="auto"/>
              </w:rPr>
            </w:pPr>
            <w:r>
              <w:rPr>
                <w:rFonts w:ascii="Arial" w:cs="Arial" w:eastAsia="Arial" w:hAnsi="Arial"/>
                <w:sz w:val="15"/>
                <w:szCs w:val="15"/>
                <w:color w:val="auto"/>
              </w:rPr>
              <w:t>Less: Income / (loss) attributable to noncontrolling interests</w:t>
            </w:r>
          </w:p>
        </w:tc>
        <w:tc>
          <w:tcPr>
            <w:tcW w:w="1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64"/>
              <w:spacing w:after="0"/>
              <w:rPr>
                <w:sz w:val="20"/>
                <w:szCs w:val="20"/>
                <w:color w:val="auto"/>
              </w:rPr>
            </w:pPr>
            <w:r>
              <w:rPr>
                <w:rFonts w:ascii="Arial" w:cs="Arial" w:eastAsia="Arial" w:hAnsi="Arial"/>
                <w:sz w:val="15"/>
                <w:szCs w:val="15"/>
                <w:color w:val="auto"/>
              </w:rPr>
              <w:t>3,083</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rPr>
              <w:t>(222)</w:t>
            </w: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64"/>
              <w:spacing w:after="0"/>
              <w:rPr>
                <w:sz w:val="20"/>
                <w:szCs w:val="20"/>
                <w:color w:val="auto"/>
              </w:rPr>
            </w:pPr>
            <w:r>
              <w:rPr>
                <w:rFonts w:ascii="Arial" w:cs="Arial" w:eastAsia="Arial" w:hAnsi="Arial"/>
                <w:sz w:val="15"/>
                <w:szCs w:val="15"/>
                <w:color w:val="auto"/>
              </w:rPr>
              <w:t>2,861</w:t>
            </w:r>
          </w:p>
        </w:tc>
        <w:tc>
          <w:tcPr>
            <w:tcW w:w="2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64"/>
              <w:spacing w:after="0"/>
              <w:rPr>
                <w:sz w:val="20"/>
                <w:szCs w:val="20"/>
                <w:color w:val="auto"/>
              </w:rPr>
            </w:pPr>
            <w:r>
              <w:rPr>
                <w:rFonts w:ascii="Arial" w:cs="Arial" w:eastAsia="Arial" w:hAnsi="Arial"/>
                <w:sz w:val="15"/>
                <w:szCs w:val="15"/>
                <w:color w:val="auto"/>
              </w:rPr>
              <w:t>2,740</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rPr>
              <w:t>(155)</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64"/>
              <w:spacing w:after="0"/>
              <w:rPr>
                <w:sz w:val="20"/>
                <w:szCs w:val="20"/>
                <w:color w:val="auto"/>
              </w:rPr>
            </w:pPr>
            <w:r>
              <w:rPr>
                <w:rFonts w:ascii="Arial" w:cs="Arial" w:eastAsia="Arial" w:hAnsi="Arial"/>
                <w:sz w:val="15"/>
                <w:szCs w:val="15"/>
                <w:color w:val="auto"/>
              </w:rPr>
              <w:t>2,585</w:t>
            </w:r>
          </w:p>
        </w:tc>
        <w:tc>
          <w:tcPr>
            <w:tcW w:w="0" w:type="dxa"/>
            <w:vAlign w:val="bottom"/>
          </w:tcPr>
          <w:p>
            <w:pPr>
              <w:spacing w:after="0"/>
              <w:rPr>
                <w:sz w:val="1"/>
                <w:szCs w:val="1"/>
                <w:color w:val="auto"/>
              </w:rPr>
            </w:pPr>
          </w:p>
        </w:tc>
      </w:tr>
      <w:tr>
        <w:trPr>
          <w:trHeight w:val="205"/>
        </w:trPr>
        <w:tc>
          <w:tcPr>
            <w:tcW w:w="4360" w:type="dxa"/>
            <w:vAlign w:val="bottom"/>
          </w:tcPr>
          <w:p>
            <w:pPr>
              <w:ind w:left="120"/>
              <w:spacing w:after="0"/>
              <w:rPr>
                <w:sz w:val="20"/>
                <w:szCs w:val="20"/>
                <w:color w:val="auto"/>
              </w:rPr>
            </w:pPr>
            <w:r>
              <w:rPr>
                <w:rFonts w:ascii="Arial" w:cs="Arial" w:eastAsia="Arial" w:hAnsi="Arial"/>
                <w:sz w:val="15"/>
                <w:szCs w:val="15"/>
                <w:b w:val="1"/>
                <w:bCs w:val="1"/>
                <w:color w:val="auto"/>
              </w:rPr>
              <w:t>Net Income / (Loss) Attributable to Sun Communities, Inc.</w:t>
            </w:r>
          </w:p>
        </w:tc>
        <w:tc>
          <w:tcPr>
            <w:tcW w:w="140" w:type="dxa"/>
            <w:vAlign w:val="bottom"/>
          </w:tcPr>
          <w:p>
            <w:pPr>
              <w:spacing w:after="0"/>
              <w:rPr>
                <w:sz w:val="17"/>
                <w:szCs w:val="17"/>
                <w:color w:val="auto"/>
              </w:rPr>
            </w:pPr>
          </w:p>
        </w:tc>
        <w:tc>
          <w:tcPr>
            <w:tcW w:w="960" w:type="dxa"/>
            <w:vAlign w:val="bottom"/>
          </w:tcPr>
          <w:p>
            <w:pPr>
              <w:jc w:val="right"/>
              <w:ind w:right="64"/>
              <w:spacing w:after="0"/>
              <w:rPr>
                <w:sz w:val="20"/>
                <w:szCs w:val="20"/>
                <w:color w:val="auto"/>
              </w:rPr>
            </w:pPr>
            <w:r>
              <w:rPr>
                <w:rFonts w:ascii="Arial" w:cs="Arial" w:eastAsia="Arial" w:hAnsi="Arial"/>
                <w:sz w:val="15"/>
                <w:szCs w:val="15"/>
                <w:color w:val="auto"/>
              </w:rPr>
              <w:t>64,199</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jc w:val="right"/>
              <w:ind w:right="24"/>
              <w:spacing w:after="0"/>
              <w:rPr>
                <w:sz w:val="20"/>
                <w:szCs w:val="20"/>
                <w:color w:val="auto"/>
              </w:rPr>
            </w:pPr>
            <w:r>
              <w:rPr>
                <w:rFonts w:ascii="Arial" w:cs="Arial" w:eastAsia="Arial" w:hAnsi="Arial"/>
                <w:sz w:val="15"/>
                <w:szCs w:val="15"/>
                <w:color w:val="auto"/>
              </w:rPr>
              <w:t>(5,289)</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right"/>
              <w:ind w:right="64"/>
              <w:spacing w:after="0"/>
              <w:rPr>
                <w:sz w:val="20"/>
                <w:szCs w:val="20"/>
                <w:color w:val="auto"/>
              </w:rPr>
            </w:pPr>
            <w:r>
              <w:rPr>
                <w:rFonts w:ascii="Arial" w:cs="Arial" w:eastAsia="Arial" w:hAnsi="Arial"/>
                <w:sz w:val="15"/>
                <w:szCs w:val="15"/>
                <w:color w:val="auto"/>
              </w:rPr>
              <w:t>58,910</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jc w:val="right"/>
              <w:ind w:right="64"/>
              <w:spacing w:after="0"/>
              <w:rPr>
                <w:sz w:val="20"/>
                <w:szCs w:val="20"/>
                <w:color w:val="auto"/>
              </w:rPr>
            </w:pPr>
            <w:r>
              <w:rPr>
                <w:rFonts w:ascii="Arial" w:cs="Arial" w:eastAsia="Arial" w:hAnsi="Arial"/>
                <w:sz w:val="15"/>
                <w:szCs w:val="15"/>
                <w:color w:val="auto"/>
              </w:rPr>
              <w:t>43,983</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jc w:val="right"/>
              <w:ind w:right="44"/>
              <w:spacing w:after="0"/>
              <w:rPr>
                <w:sz w:val="20"/>
                <w:szCs w:val="20"/>
                <w:color w:val="auto"/>
              </w:rPr>
            </w:pPr>
            <w:r>
              <w:rPr>
                <w:rFonts w:ascii="Arial" w:cs="Arial" w:eastAsia="Arial" w:hAnsi="Arial"/>
                <w:sz w:val="15"/>
                <w:szCs w:val="15"/>
                <w:color w:val="auto"/>
              </w:rPr>
              <w:t>(3,170)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ind w:right="64"/>
              <w:spacing w:after="0"/>
              <w:rPr>
                <w:sz w:val="20"/>
                <w:szCs w:val="20"/>
                <w:color w:val="auto"/>
              </w:rPr>
            </w:pPr>
            <w:r>
              <w:rPr>
                <w:rFonts w:ascii="Arial" w:cs="Arial" w:eastAsia="Arial" w:hAnsi="Arial"/>
                <w:sz w:val="15"/>
                <w:szCs w:val="15"/>
                <w:color w:val="auto"/>
              </w:rPr>
              <w:t>40,813</w:t>
            </w:r>
          </w:p>
        </w:tc>
        <w:tc>
          <w:tcPr>
            <w:tcW w:w="0" w:type="dxa"/>
            <w:vAlign w:val="bottom"/>
          </w:tcPr>
          <w:p>
            <w:pPr>
              <w:spacing w:after="0"/>
              <w:rPr>
                <w:sz w:val="1"/>
                <w:szCs w:val="1"/>
                <w:color w:val="auto"/>
              </w:rPr>
            </w:pPr>
          </w:p>
        </w:tc>
      </w:tr>
      <w:tr>
        <w:trPr>
          <w:trHeight w:val="220"/>
        </w:trPr>
        <w:tc>
          <w:tcPr>
            <w:tcW w:w="4360" w:type="dxa"/>
            <w:vAlign w:val="bottom"/>
            <w:shd w:val="clear" w:color="auto" w:fill="CCEEFF"/>
          </w:tcPr>
          <w:p>
            <w:pPr>
              <w:ind w:left="340"/>
              <w:spacing w:after="0"/>
              <w:rPr>
                <w:sz w:val="20"/>
                <w:szCs w:val="20"/>
                <w:color w:val="auto"/>
              </w:rPr>
            </w:pPr>
            <w:r>
              <w:rPr>
                <w:rFonts w:ascii="Arial" w:cs="Arial" w:eastAsia="Arial" w:hAnsi="Arial"/>
                <w:sz w:val="15"/>
                <w:szCs w:val="15"/>
                <w:color w:val="auto"/>
              </w:rPr>
              <w:t>Less: Preferred stock distribution</w:t>
            </w:r>
          </w:p>
        </w:tc>
        <w:tc>
          <w:tcPr>
            <w:tcW w:w="1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428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428</w:t>
            </w:r>
          </w:p>
        </w:tc>
        <w:tc>
          <w:tcPr>
            <w:tcW w:w="0" w:type="dxa"/>
            <w:vAlign w:val="bottom"/>
          </w:tcPr>
          <w:p>
            <w:pPr>
              <w:spacing w:after="0"/>
              <w:rPr>
                <w:sz w:val="1"/>
                <w:szCs w:val="1"/>
                <w:color w:val="auto"/>
              </w:rPr>
            </w:pPr>
          </w:p>
        </w:tc>
      </w:tr>
      <w:tr>
        <w:trPr>
          <w:trHeight w:val="152"/>
        </w:trPr>
        <w:tc>
          <w:tcPr>
            <w:tcW w:w="4360" w:type="dxa"/>
            <w:vAlign w:val="bottom"/>
          </w:tcPr>
          <w:p>
            <w:pPr>
              <w:ind w:left="120"/>
              <w:spacing w:after="0" w:line="152" w:lineRule="exact"/>
              <w:rPr>
                <w:sz w:val="20"/>
                <w:szCs w:val="20"/>
                <w:color w:val="auto"/>
              </w:rPr>
            </w:pPr>
            <w:r>
              <w:rPr>
                <w:rFonts w:ascii="Arial" w:cs="Arial" w:eastAsia="Arial" w:hAnsi="Arial"/>
                <w:sz w:val="15"/>
                <w:szCs w:val="15"/>
                <w:b w:val="1"/>
                <w:bCs w:val="1"/>
                <w:color w:val="auto"/>
              </w:rPr>
              <w:t>Net Income / (Loss) Attributable to Sun Communities, Inc.</w:t>
            </w: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5"/>
                <w:szCs w:val="15"/>
                <w:color w:val="auto"/>
                <w:w w:val="95"/>
              </w:rPr>
              <w:t>$</w:t>
            </w:r>
          </w:p>
        </w:tc>
        <w:tc>
          <w:tcPr>
            <w:tcW w:w="960" w:type="dxa"/>
            <w:vAlign w:val="bottom"/>
            <w:tcBorders>
              <w:top w:val="single" w:sz="8" w:color="auto"/>
            </w:tcBorders>
            <w:vMerge w:val="restart"/>
          </w:tcPr>
          <w:p>
            <w:pPr>
              <w:jc w:val="right"/>
              <w:ind w:right="64"/>
              <w:spacing w:after="0"/>
              <w:rPr>
                <w:sz w:val="20"/>
                <w:szCs w:val="20"/>
                <w:color w:val="auto"/>
              </w:rPr>
            </w:pPr>
            <w:r>
              <w:rPr>
                <w:rFonts w:ascii="Arial" w:cs="Arial" w:eastAsia="Arial" w:hAnsi="Arial"/>
                <w:sz w:val="15"/>
                <w:szCs w:val="15"/>
                <w:color w:val="auto"/>
              </w:rPr>
              <w:t>64,199</w:t>
            </w:r>
          </w:p>
        </w:tc>
        <w:tc>
          <w:tcPr>
            <w:tcW w:w="100" w:type="dxa"/>
            <w:vAlign w:val="bottom"/>
          </w:tcPr>
          <w:p>
            <w:pPr>
              <w:spacing w:after="0"/>
              <w:rPr>
                <w:sz w:val="13"/>
                <w:szCs w:val="13"/>
                <w:color w:val="auto"/>
              </w:rPr>
            </w:pPr>
          </w:p>
        </w:tc>
        <w:tc>
          <w:tcPr>
            <w:tcW w:w="200" w:type="dxa"/>
            <w:vAlign w:val="bottom"/>
            <w:tcBorders>
              <w:top w:val="single" w:sz="8" w:color="auto"/>
            </w:tcBorders>
            <w:vMerge w:val="restart"/>
          </w:tcPr>
          <w:p>
            <w:pPr>
              <w:ind w:left="20"/>
              <w:spacing w:after="0"/>
              <w:rPr>
                <w:sz w:val="20"/>
                <w:szCs w:val="20"/>
                <w:color w:val="auto"/>
              </w:rPr>
            </w:pPr>
            <w:r>
              <w:rPr>
                <w:rFonts w:ascii="Arial" w:cs="Arial" w:eastAsia="Arial" w:hAnsi="Arial"/>
                <w:sz w:val="15"/>
                <w:szCs w:val="15"/>
                <w:color w:val="auto"/>
              </w:rPr>
              <w:t>$</w:t>
            </w:r>
          </w:p>
        </w:tc>
        <w:tc>
          <w:tcPr>
            <w:tcW w:w="720" w:type="dxa"/>
            <w:vAlign w:val="bottom"/>
            <w:tcBorders>
              <w:top w:val="single" w:sz="8" w:color="auto"/>
            </w:tcBorders>
            <w:vMerge w:val="restart"/>
          </w:tcPr>
          <w:p>
            <w:pPr>
              <w:jc w:val="right"/>
              <w:ind w:right="24"/>
              <w:spacing w:after="0"/>
              <w:rPr>
                <w:sz w:val="20"/>
                <w:szCs w:val="20"/>
                <w:color w:val="auto"/>
              </w:rPr>
            </w:pPr>
            <w:r>
              <w:rPr>
                <w:rFonts w:ascii="Arial" w:cs="Arial" w:eastAsia="Arial" w:hAnsi="Arial"/>
                <w:sz w:val="15"/>
                <w:szCs w:val="15"/>
                <w:color w:val="auto"/>
              </w:rPr>
              <w:t>(5,289)</w:t>
            </w:r>
          </w:p>
        </w:tc>
        <w:tc>
          <w:tcPr>
            <w:tcW w:w="120" w:type="dxa"/>
            <w:vAlign w:val="bottom"/>
          </w:tcPr>
          <w:p>
            <w:pPr>
              <w:spacing w:after="0"/>
              <w:rPr>
                <w:sz w:val="13"/>
                <w:szCs w:val="13"/>
                <w:color w:val="auto"/>
              </w:rPr>
            </w:pPr>
          </w:p>
        </w:tc>
        <w:tc>
          <w:tcPr>
            <w:tcW w:w="100" w:type="dxa"/>
            <w:vAlign w:val="bottom"/>
            <w:tcBorders>
              <w:top w:val="single" w:sz="8" w:color="auto"/>
            </w:tcBorders>
            <w:vMerge w:val="restart"/>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Borders>
              <w:top w:val="single" w:sz="8" w:color="auto"/>
            </w:tcBorders>
            <w:vMerge w:val="restart"/>
          </w:tcPr>
          <w:p>
            <w:pPr>
              <w:jc w:val="right"/>
              <w:ind w:right="64"/>
              <w:spacing w:after="0"/>
              <w:rPr>
                <w:sz w:val="20"/>
                <w:szCs w:val="20"/>
                <w:color w:val="auto"/>
              </w:rPr>
            </w:pPr>
            <w:r>
              <w:rPr>
                <w:rFonts w:ascii="Arial" w:cs="Arial" w:eastAsia="Arial" w:hAnsi="Arial"/>
                <w:sz w:val="15"/>
                <w:szCs w:val="15"/>
                <w:color w:val="auto"/>
              </w:rPr>
              <w:t>58,910</w:t>
            </w:r>
          </w:p>
        </w:tc>
        <w:tc>
          <w:tcPr>
            <w:tcW w:w="220" w:type="dxa"/>
            <w:vAlign w:val="bottom"/>
          </w:tcPr>
          <w:p>
            <w:pPr>
              <w:spacing w:after="0"/>
              <w:rPr>
                <w:sz w:val="13"/>
                <w:szCs w:val="13"/>
                <w:color w:val="auto"/>
              </w:rPr>
            </w:pP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5"/>
                <w:szCs w:val="15"/>
                <w:color w:val="auto"/>
                <w:w w:val="95"/>
              </w:rPr>
              <w:t>$</w:t>
            </w:r>
          </w:p>
        </w:tc>
        <w:tc>
          <w:tcPr>
            <w:tcW w:w="900" w:type="dxa"/>
            <w:vAlign w:val="bottom"/>
            <w:tcBorders>
              <w:top w:val="single" w:sz="8" w:color="auto"/>
            </w:tcBorders>
            <w:vMerge w:val="restart"/>
          </w:tcPr>
          <w:p>
            <w:pPr>
              <w:jc w:val="right"/>
              <w:ind w:right="64"/>
              <w:spacing w:after="0"/>
              <w:rPr>
                <w:sz w:val="20"/>
                <w:szCs w:val="20"/>
                <w:color w:val="auto"/>
              </w:rPr>
            </w:pPr>
            <w:r>
              <w:rPr>
                <w:rFonts w:ascii="Arial" w:cs="Arial" w:eastAsia="Arial" w:hAnsi="Arial"/>
                <w:sz w:val="15"/>
                <w:szCs w:val="15"/>
                <w:color w:val="auto"/>
              </w:rPr>
              <w:t>43,555</w:t>
            </w:r>
          </w:p>
        </w:tc>
        <w:tc>
          <w:tcPr>
            <w:tcW w:w="120" w:type="dxa"/>
            <w:vAlign w:val="bottom"/>
          </w:tcPr>
          <w:p>
            <w:pPr>
              <w:spacing w:after="0"/>
              <w:rPr>
                <w:sz w:val="13"/>
                <w:szCs w:val="13"/>
                <w:color w:val="auto"/>
              </w:rPr>
            </w:pPr>
          </w:p>
        </w:tc>
        <w:tc>
          <w:tcPr>
            <w:tcW w:w="180" w:type="dxa"/>
            <w:vAlign w:val="bottom"/>
            <w:tcBorders>
              <w:top w:val="single" w:sz="8" w:color="auto"/>
            </w:tcBorders>
            <w:vMerge w:val="restart"/>
          </w:tcPr>
          <w:p>
            <w:pPr>
              <w:jc w:val="right"/>
              <w:ind w:right="24"/>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vMerge w:val="restart"/>
          </w:tcPr>
          <w:p>
            <w:pPr>
              <w:jc w:val="right"/>
              <w:ind w:right="44"/>
              <w:spacing w:after="0"/>
              <w:rPr>
                <w:sz w:val="20"/>
                <w:szCs w:val="20"/>
                <w:color w:val="auto"/>
              </w:rPr>
            </w:pPr>
            <w:r>
              <w:rPr>
                <w:rFonts w:ascii="Arial" w:cs="Arial" w:eastAsia="Arial" w:hAnsi="Arial"/>
                <w:sz w:val="15"/>
                <w:szCs w:val="15"/>
                <w:color w:val="auto"/>
              </w:rPr>
              <w:t>(3,170)</w:t>
            </w:r>
          </w:p>
        </w:tc>
        <w:tc>
          <w:tcPr>
            <w:tcW w:w="100" w:type="dxa"/>
            <w:vAlign w:val="bottom"/>
          </w:tcPr>
          <w:p>
            <w:pPr>
              <w:spacing w:after="0"/>
              <w:rPr>
                <w:sz w:val="13"/>
                <w:szCs w:val="13"/>
                <w:color w:val="auto"/>
              </w:rPr>
            </w:pP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Borders>
              <w:top w:val="single" w:sz="8" w:color="auto"/>
            </w:tcBorders>
            <w:vMerge w:val="restart"/>
          </w:tcPr>
          <w:p>
            <w:pPr>
              <w:jc w:val="right"/>
              <w:ind w:right="64"/>
              <w:spacing w:after="0"/>
              <w:rPr>
                <w:sz w:val="20"/>
                <w:szCs w:val="20"/>
                <w:color w:val="auto"/>
              </w:rPr>
            </w:pPr>
            <w:r>
              <w:rPr>
                <w:rFonts w:ascii="Arial" w:cs="Arial" w:eastAsia="Arial" w:hAnsi="Arial"/>
                <w:sz w:val="15"/>
                <w:szCs w:val="15"/>
                <w:color w:val="auto"/>
              </w:rPr>
              <w:t>40,385</w:t>
            </w:r>
          </w:p>
        </w:tc>
        <w:tc>
          <w:tcPr>
            <w:tcW w:w="0" w:type="dxa"/>
            <w:vAlign w:val="bottom"/>
          </w:tcPr>
          <w:p>
            <w:pPr>
              <w:spacing w:after="0"/>
              <w:rPr>
                <w:sz w:val="1"/>
                <w:szCs w:val="1"/>
                <w:color w:val="auto"/>
              </w:rPr>
            </w:pPr>
          </w:p>
        </w:tc>
      </w:tr>
      <w:tr>
        <w:trPr>
          <w:trHeight w:val="184"/>
        </w:trPr>
        <w:tc>
          <w:tcPr>
            <w:tcW w:w="4360" w:type="dxa"/>
            <w:vAlign w:val="bottom"/>
          </w:tcPr>
          <w:p>
            <w:pPr>
              <w:ind w:left="120"/>
              <w:spacing w:after="0"/>
              <w:rPr>
                <w:sz w:val="20"/>
                <w:szCs w:val="20"/>
                <w:color w:val="auto"/>
              </w:rPr>
            </w:pPr>
            <w:r>
              <w:rPr>
                <w:rFonts w:ascii="Arial" w:cs="Arial" w:eastAsia="Arial" w:hAnsi="Arial"/>
                <w:sz w:val="15"/>
                <w:szCs w:val="15"/>
                <w:b w:val="1"/>
                <w:bCs w:val="1"/>
                <w:color w:val="auto"/>
              </w:rPr>
              <w:t>Common Stockholders</w:t>
            </w:r>
          </w:p>
        </w:tc>
        <w:tc>
          <w:tcPr>
            <w:tcW w:w="140" w:type="dxa"/>
            <w:vAlign w:val="bottom"/>
            <w:tcBorders>
              <w:bottom w:val="single" w:sz="8" w:color="auto"/>
            </w:tcBorders>
            <w:vMerge w:val="continue"/>
          </w:tcPr>
          <w:p>
            <w:pPr>
              <w:spacing w:after="0"/>
              <w:rPr>
                <w:sz w:val="15"/>
                <w:szCs w:val="15"/>
                <w:color w:val="auto"/>
              </w:rPr>
            </w:pPr>
          </w:p>
        </w:tc>
        <w:tc>
          <w:tcPr>
            <w:tcW w:w="96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Borders>
              <w:bottom w:val="single" w:sz="8" w:color="auto"/>
            </w:tcBorders>
            <w:vMerge w:val="continue"/>
          </w:tcPr>
          <w:p>
            <w:pPr>
              <w:spacing w:after="0"/>
              <w:rPr>
                <w:sz w:val="15"/>
                <w:szCs w:val="15"/>
                <w:color w:val="auto"/>
              </w:rPr>
            </w:pPr>
          </w:p>
        </w:tc>
        <w:tc>
          <w:tcPr>
            <w:tcW w:w="72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Borders>
              <w:bottom w:val="single" w:sz="8" w:color="auto"/>
            </w:tcBorders>
            <w:vMerge w:val="continue"/>
          </w:tcPr>
          <w:p>
            <w:pPr>
              <w:spacing w:after="0"/>
              <w:rPr>
                <w:sz w:val="15"/>
                <w:szCs w:val="15"/>
                <w:color w:val="auto"/>
              </w:rPr>
            </w:pPr>
          </w:p>
        </w:tc>
        <w:tc>
          <w:tcPr>
            <w:tcW w:w="1020" w:type="dxa"/>
            <w:vAlign w:val="bottom"/>
            <w:tcBorders>
              <w:bottom w:val="single" w:sz="8" w:color="auto"/>
            </w:tcBorders>
            <w:vMerge w:val="continue"/>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Borders>
              <w:bottom w:val="single" w:sz="8" w:color="auto"/>
            </w:tcBorders>
            <w:vMerge w:val="continue"/>
          </w:tcPr>
          <w:p>
            <w:pPr>
              <w:spacing w:after="0"/>
              <w:rPr>
                <w:sz w:val="15"/>
                <w:szCs w:val="15"/>
                <w:color w:val="auto"/>
              </w:rPr>
            </w:pPr>
          </w:p>
        </w:tc>
        <w:tc>
          <w:tcPr>
            <w:tcW w:w="90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Borders>
              <w:bottom w:val="single" w:sz="8" w:color="auto"/>
            </w:tcBorders>
            <w:vMerge w:val="continue"/>
          </w:tcPr>
          <w:p>
            <w:pPr>
              <w:spacing w:after="0"/>
              <w:rPr>
                <w:sz w:val="15"/>
                <w:szCs w:val="15"/>
                <w:color w:val="auto"/>
              </w:rPr>
            </w:pPr>
          </w:p>
        </w:tc>
        <w:tc>
          <w:tcPr>
            <w:tcW w:w="74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bottom w:val="single" w:sz="8" w:color="auto"/>
            </w:tcBorders>
            <w:vMerge w:val="continue"/>
          </w:tcPr>
          <w:p>
            <w:pPr>
              <w:spacing w:after="0"/>
              <w:rPr>
                <w:sz w:val="15"/>
                <w:szCs w:val="15"/>
                <w:color w:val="auto"/>
              </w:rPr>
            </w:pPr>
          </w:p>
        </w:tc>
        <w:tc>
          <w:tcPr>
            <w:tcW w:w="100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25" w:name="page26"/>
    <w:bookmarkEnd w:id="25"/>
    <w:p>
      <w:pPr>
        <w:jc w:val="center"/>
        <w:spacing w:after="0"/>
        <w:rPr>
          <w:sz w:val="20"/>
          <w:szCs w:val="20"/>
          <w:color w:val="auto"/>
        </w:rPr>
      </w:pPr>
      <w:r>
        <w:rPr>
          <w:rFonts w:ascii="Arial" w:cs="Arial" w:eastAsia="Arial" w:hAnsi="Arial"/>
          <w:sz w:val="16"/>
          <w:szCs w:val="16"/>
          <w:b w:val="1"/>
          <w:bCs w:val="1"/>
          <w:color w:val="auto"/>
        </w:rPr>
        <w:t>SUN COMMUNITIES, INC.</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 -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436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260" w:type="dxa"/>
            <w:vAlign w:val="bottom"/>
            <w:tcBorders>
              <w:bottom w:val="single" w:sz="8" w:color="auto"/>
            </w:tcBorders>
            <w:gridSpan w:val="4"/>
          </w:tcPr>
          <w:p>
            <w:pPr>
              <w:jc w:val="right"/>
              <w:ind w:right="484"/>
              <w:spacing w:after="0"/>
              <w:rPr>
                <w:sz w:val="20"/>
                <w:szCs w:val="20"/>
                <w:color w:val="auto"/>
              </w:rPr>
            </w:pPr>
            <w:r>
              <w:rPr>
                <w:rFonts w:ascii="Arial" w:cs="Arial" w:eastAsia="Arial" w:hAnsi="Arial"/>
                <w:sz w:val="15"/>
                <w:szCs w:val="15"/>
                <w:b w:val="1"/>
                <w:bCs w:val="1"/>
                <w:color w:val="auto"/>
              </w:rPr>
              <w:t>Six Months Ended</w:t>
            </w: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3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gridSpan w:val="3"/>
          </w:tcPr>
          <w:p>
            <w:pPr>
              <w:ind w:left="40"/>
              <w:spacing w:after="0"/>
              <w:rPr>
                <w:sz w:val="20"/>
                <w:szCs w:val="20"/>
                <w:color w:val="auto"/>
              </w:rPr>
            </w:pPr>
            <w:r>
              <w:rPr>
                <w:rFonts w:ascii="Arial" w:cs="Arial" w:eastAsia="Arial" w:hAnsi="Arial"/>
                <w:sz w:val="15"/>
                <w:szCs w:val="15"/>
                <w:b w:val="1"/>
                <w:bCs w:val="1"/>
                <w:color w:val="auto"/>
              </w:rPr>
              <w:t>June 30, 2020</w:t>
            </w: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gridSpan w:val="3"/>
          </w:tcPr>
          <w:p>
            <w:pPr>
              <w:ind w:left="40"/>
              <w:spacing w:after="0"/>
              <w:rPr>
                <w:sz w:val="20"/>
                <w:szCs w:val="20"/>
                <w:color w:val="auto"/>
              </w:rPr>
            </w:pPr>
            <w:r>
              <w:rPr>
                <w:rFonts w:ascii="Arial" w:cs="Arial" w:eastAsia="Arial" w:hAnsi="Arial"/>
                <w:sz w:val="15"/>
                <w:szCs w:val="15"/>
                <w:b w:val="1"/>
                <w:bCs w:val="1"/>
                <w:color w:val="auto"/>
                <w:w w:val="98"/>
              </w:rPr>
              <w:t>June 30, 2019</w:t>
            </w: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4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2"/>
          </w:tcPr>
          <w:p>
            <w:pPr>
              <w:jc w:val="center"/>
              <w:ind w:right="200"/>
              <w:spacing w:after="0" w:line="169" w:lineRule="exact"/>
              <w:rPr>
                <w:sz w:val="20"/>
                <w:szCs w:val="20"/>
                <w:color w:val="auto"/>
              </w:rPr>
            </w:pPr>
            <w:r>
              <w:rPr>
                <w:rFonts w:ascii="Arial" w:cs="Arial" w:eastAsia="Arial" w:hAnsi="Arial"/>
                <w:sz w:val="15"/>
                <w:szCs w:val="15"/>
                <w:b w:val="1"/>
                <w:bCs w:val="1"/>
                <w:color w:val="auto"/>
                <w:w w:val="94"/>
              </w:rPr>
              <w:t>Real Property</w:t>
            </w:r>
          </w:p>
        </w:tc>
        <w:tc>
          <w:tcPr>
            <w:tcW w:w="1040" w:type="dxa"/>
            <w:vAlign w:val="bottom"/>
            <w:gridSpan w:val="3"/>
          </w:tcPr>
          <w:p>
            <w:pPr>
              <w:ind w:left="80"/>
              <w:spacing w:after="0" w:line="169" w:lineRule="exact"/>
              <w:rPr>
                <w:sz w:val="20"/>
                <w:szCs w:val="20"/>
                <w:color w:val="auto"/>
              </w:rPr>
            </w:pPr>
            <w:r>
              <w:rPr>
                <w:rFonts w:ascii="Arial" w:cs="Arial" w:eastAsia="Arial" w:hAnsi="Arial"/>
                <w:sz w:val="15"/>
                <w:szCs w:val="15"/>
                <w:b w:val="1"/>
                <w:bCs w:val="1"/>
                <w:color w:val="auto"/>
              </w:rPr>
              <w:t>Home Sales</w:t>
            </w: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gridSpan w:val="2"/>
          </w:tcPr>
          <w:p>
            <w:pPr>
              <w:jc w:val="center"/>
              <w:spacing w:after="0" w:line="169" w:lineRule="exact"/>
              <w:rPr>
                <w:sz w:val="20"/>
                <w:szCs w:val="20"/>
                <w:color w:val="auto"/>
              </w:rPr>
            </w:pPr>
            <w:r>
              <w:rPr>
                <w:rFonts w:ascii="Arial" w:cs="Arial" w:eastAsia="Arial" w:hAnsi="Arial"/>
                <w:sz w:val="15"/>
                <w:szCs w:val="15"/>
                <w:b w:val="1"/>
                <w:bCs w:val="1"/>
                <w:color w:val="auto"/>
                <w:w w:val="94"/>
              </w:rPr>
              <w:t>Real Property</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3"/>
          </w:tcPr>
          <w:p>
            <w:pPr>
              <w:ind w:left="80"/>
              <w:spacing w:after="0" w:line="169" w:lineRule="exact"/>
              <w:rPr>
                <w:sz w:val="20"/>
                <w:szCs w:val="20"/>
                <w:color w:val="auto"/>
              </w:rPr>
            </w:pPr>
            <w:r>
              <w:rPr>
                <w:rFonts w:ascii="Arial" w:cs="Arial" w:eastAsia="Arial" w:hAnsi="Arial"/>
                <w:sz w:val="15"/>
                <w:szCs w:val="15"/>
                <w:b w:val="1"/>
                <w:bCs w:val="1"/>
                <w:color w:val="auto"/>
              </w:rPr>
              <w:t>Home Sales</w:t>
            </w: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436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center"/>
              <w:ind w:right="4"/>
              <w:spacing w:after="0"/>
              <w:rPr>
                <w:sz w:val="20"/>
                <w:szCs w:val="20"/>
                <w:color w:val="auto"/>
              </w:rPr>
            </w:pPr>
            <w:r>
              <w:rPr>
                <w:rFonts w:ascii="Arial" w:cs="Arial" w:eastAsia="Arial" w:hAnsi="Arial"/>
                <w:sz w:val="15"/>
                <w:szCs w:val="15"/>
                <w:b w:val="1"/>
                <w:bCs w:val="1"/>
                <w:color w:val="auto"/>
                <w:w w:val="93"/>
              </w:rPr>
              <w:t>Operations</w:t>
            </w:r>
          </w:p>
        </w:tc>
        <w:tc>
          <w:tcPr>
            <w:tcW w:w="100" w:type="dxa"/>
            <w:vAlign w:val="bottom"/>
            <w:tcBorders>
              <w:bottom w:val="single" w:sz="8" w:color="CCEEFF"/>
            </w:tcBorders>
          </w:tcPr>
          <w:p>
            <w:pPr>
              <w:spacing w:after="0"/>
              <w:rPr>
                <w:sz w:val="17"/>
                <w:szCs w:val="17"/>
                <w:color w:val="auto"/>
              </w:rPr>
            </w:pPr>
          </w:p>
        </w:tc>
        <w:tc>
          <w:tcPr>
            <w:tcW w:w="920" w:type="dxa"/>
            <w:vAlign w:val="bottom"/>
            <w:tcBorders>
              <w:bottom w:val="single" w:sz="8" w:color="auto"/>
            </w:tcBorders>
            <w:gridSpan w:val="2"/>
          </w:tcPr>
          <w:p>
            <w:pPr>
              <w:ind w:left="80"/>
              <w:spacing w:after="0"/>
              <w:rPr>
                <w:sz w:val="20"/>
                <w:szCs w:val="20"/>
                <w:color w:val="auto"/>
              </w:rPr>
            </w:pPr>
            <w:r>
              <w:rPr>
                <w:rFonts w:ascii="Arial" w:cs="Arial" w:eastAsia="Arial" w:hAnsi="Arial"/>
                <w:sz w:val="15"/>
                <w:szCs w:val="15"/>
                <w:b w:val="1"/>
                <w:bCs w:val="1"/>
                <w:color w:val="auto"/>
                <w:w w:val="96"/>
              </w:rPr>
              <w:t>and Rentals</w:t>
            </w: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b w:val="1"/>
                <w:bCs w:val="1"/>
                <w:color w:val="auto"/>
                <w:w w:val="90"/>
              </w:rPr>
              <w:t>Consolidated</w:t>
            </w:r>
          </w:p>
        </w:tc>
        <w:tc>
          <w:tcPr>
            <w:tcW w:w="2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center"/>
              <w:ind w:right="24"/>
              <w:spacing w:after="0"/>
              <w:rPr>
                <w:sz w:val="20"/>
                <w:szCs w:val="20"/>
                <w:color w:val="auto"/>
              </w:rPr>
            </w:pPr>
            <w:r>
              <w:rPr>
                <w:rFonts w:ascii="Arial" w:cs="Arial" w:eastAsia="Arial" w:hAnsi="Arial"/>
                <w:sz w:val="15"/>
                <w:szCs w:val="15"/>
                <w:b w:val="1"/>
                <w:bCs w:val="1"/>
                <w:color w:val="auto"/>
                <w:w w:val="93"/>
              </w:rPr>
              <w:t>Operations</w:t>
            </w: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920" w:type="dxa"/>
            <w:vAlign w:val="bottom"/>
            <w:tcBorders>
              <w:bottom w:val="single" w:sz="8" w:color="auto"/>
            </w:tcBorders>
            <w:gridSpan w:val="2"/>
          </w:tcPr>
          <w:p>
            <w:pPr>
              <w:ind w:left="60"/>
              <w:spacing w:after="0"/>
              <w:rPr>
                <w:sz w:val="20"/>
                <w:szCs w:val="20"/>
                <w:color w:val="auto"/>
              </w:rPr>
            </w:pPr>
            <w:r>
              <w:rPr>
                <w:rFonts w:ascii="Arial" w:cs="Arial" w:eastAsia="Arial" w:hAnsi="Arial"/>
                <w:sz w:val="15"/>
                <w:szCs w:val="15"/>
                <w:b w:val="1"/>
                <w:bCs w:val="1"/>
                <w:color w:val="auto"/>
                <w:w w:val="98"/>
              </w:rPr>
              <w:t>and Rentals</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b w:val="1"/>
                <w:bCs w:val="1"/>
                <w:color w:val="auto"/>
                <w:w w:val="88"/>
              </w:rPr>
              <w:t>Consolidated</w:t>
            </w:r>
          </w:p>
        </w:tc>
        <w:tc>
          <w:tcPr>
            <w:tcW w:w="0" w:type="dxa"/>
            <w:vAlign w:val="bottom"/>
          </w:tcPr>
          <w:p>
            <w:pPr>
              <w:spacing w:after="0"/>
              <w:rPr>
                <w:sz w:val="1"/>
                <w:szCs w:val="1"/>
                <w:color w:val="auto"/>
              </w:rPr>
            </w:pPr>
          </w:p>
        </w:tc>
      </w:tr>
      <w:tr>
        <w:trPr>
          <w:trHeight w:val="213"/>
        </w:trPr>
        <w:tc>
          <w:tcPr>
            <w:tcW w:w="4360" w:type="dxa"/>
            <w:vAlign w:val="bottom"/>
            <w:shd w:val="clear" w:color="auto" w:fill="CCEEFF"/>
          </w:tcPr>
          <w:p>
            <w:pPr>
              <w:ind w:left="20"/>
              <w:spacing w:after="0"/>
              <w:rPr>
                <w:sz w:val="20"/>
                <w:szCs w:val="20"/>
                <w:color w:val="auto"/>
              </w:rPr>
            </w:pPr>
            <w:r>
              <w:rPr>
                <w:rFonts w:ascii="Arial" w:cs="Arial" w:eastAsia="Arial" w:hAnsi="Arial"/>
                <w:sz w:val="15"/>
                <w:szCs w:val="15"/>
                <w:color w:val="auto"/>
              </w:rPr>
              <w:t>Revenues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491,839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ind w:left="20"/>
              <w:spacing w:after="0"/>
              <w:rPr>
                <w:sz w:val="20"/>
                <w:szCs w:val="20"/>
                <w:color w:val="auto"/>
              </w:rPr>
            </w:pPr>
            <w:r>
              <w:rPr>
                <w:rFonts w:ascii="Arial" w:cs="Arial" w:eastAsia="Arial" w:hAnsi="Arial"/>
                <w:sz w:val="15"/>
                <w:szCs w:val="15"/>
                <w:color w:val="auto"/>
              </w:rPr>
              <w:t>$</w:t>
            </w:r>
          </w:p>
        </w:tc>
        <w:tc>
          <w:tcPr>
            <w:tcW w:w="72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109,557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601,396</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88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468,625</w:t>
            </w:r>
          </w:p>
        </w:tc>
        <w:tc>
          <w:tcPr>
            <w:tcW w:w="320" w:type="dxa"/>
            <w:vAlign w:val="bottom"/>
            <w:gridSpan w:val="3"/>
            <w:shd w:val="clear" w:color="auto" w:fill="CCEEFF"/>
          </w:tcPr>
          <w:p>
            <w:pPr>
              <w:jc w:val="right"/>
              <w:ind w:right="24"/>
              <w:spacing w:after="0"/>
              <w:rPr>
                <w:sz w:val="20"/>
                <w:szCs w:val="20"/>
                <w:color w:val="auto"/>
              </w:rPr>
            </w:pPr>
            <w:r>
              <w:rPr>
                <w:rFonts w:ascii="Arial" w:cs="Arial" w:eastAsia="Arial" w:hAnsi="Arial"/>
                <w:sz w:val="15"/>
                <w:szCs w:val="15"/>
                <w:color w:val="auto"/>
              </w:rPr>
              <w:t>$</w:t>
            </w:r>
          </w:p>
        </w:tc>
        <w:tc>
          <w:tcPr>
            <w:tcW w:w="74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rPr>
              <w:t>115,243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583,868</w:t>
            </w:r>
          </w:p>
        </w:tc>
        <w:tc>
          <w:tcPr>
            <w:tcW w:w="0" w:type="dxa"/>
            <w:vAlign w:val="bottom"/>
          </w:tcPr>
          <w:p>
            <w:pPr>
              <w:spacing w:after="0"/>
              <w:rPr>
                <w:sz w:val="1"/>
                <w:szCs w:val="1"/>
                <w:color w:val="auto"/>
              </w:rPr>
            </w:pPr>
          </w:p>
        </w:tc>
      </w:tr>
      <w:tr>
        <w:trPr>
          <w:trHeight w:val="212"/>
        </w:trPr>
        <w:tc>
          <w:tcPr>
            <w:tcW w:w="436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Operating expenses / Cost of sales</w:t>
            </w:r>
          </w:p>
        </w:tc>
        <w:tc>
          <w:tcPr>
            <w:tcW w:w="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color w:val="auto"/>
              </w:rPr>
              <w:t>179,868</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color w:val="auto"/>
              </w:rPr>
              <w:t>69,392</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color w:val="auto"/>
              </w:rPr>
              <w:t>249,260</w:t>
            </w:r>
          </w:p>
        </w:tc>
        <w:tc>
          <w:tcPr>
            <w:tcW w:w="2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174,434</w:t>
            </w: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color w:val="auto"/>
              </w:rPr>
              <w:t>73,721</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color w:val="auto"/>
              </w:rPr>
              <w:t>248,155</w:t>
            </w:r>
          </w:p>
        </w:tc>
        <w:tc>
          <w:tcPr>
            <w:tcW w:w="0" w:type="dxa"/>
            <w:vAlign w:val="bottom"/>
          </w:tcPr>
          <w:p>
            <w:pPr>
              <w:spacing w:after="0"/>
              <w:rPr>
                <w:sz w:val="1"/>
                <w:szCs w:val="1"/>
                <w:color w:val="auto"/>
              </w:rPr>
            </w:pPr>
          </w:p>
        </w:tc>
      </w:tr>
      <w:tr>
        <w:trPr>
          <w:trHeight w:val="214"/>
        </w:trPr>
        <w:tc>
          <w:tcPr>
            <w:tcW w:w="4360" w:type="dxa"/>
            <w:vAlign w:val="bottom"/>
            <w:shd w:val="clear" w:color="auto" w:fill="CCEEFF"/>
          </w:tcPr>
          <w:p>
            <w:pPr>
              <w:ind w:left="120"/>
              <w:spacing w:after="0"/>
              <w:rPr>
                <w:sz w:val="20"/>
                <w:szCs w:val="20"/>
                <w:color w:val="auto"/>
              </w:rPr>
            </w:pPr>
            <w:r>
              <w:rPr>
                <w:rFonts w:ascii="Arial" w:cs="Arial" w:eastAsia="Arial" w:hAnsi="Arial"/>
                <w:sz w:val="15"/>
                <w:szCs w:val="15"/>
                <w:b w:val="1"/>
                <w:bCs w:val="1"/>
                <w:color w:val="auto"/>
              </w:rPr>
              <w:t>Net Operating Income / Gross Profit</w:t>
            </w: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311,971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40,165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352,136</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294,191</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rPr>
              <w:t>41,522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335,713</w:t>
            </w:r>
          </w:p>
        </w:tc>
        <w:tc>
          <w:tcPr>
            <w:tcW w:w="0" w:type="dxa"/>
            <w:vAlign w:val="bottom"/>
          </w:tcPr>
          <w:p>
            <w:pPr>
              <w:spacing w:after="0"/>
              <w:rPr>
                <w:sz w:val="1"/>
                <w:szCs w:val="1"/>
                <w:color w:val="auto"/>
              </w:rPr>
            </w:pPr>
          </w:p>
        </w:tc>
      </w:tr>
      <w:tr>
        <w:trPr>
          <w:trHeight w:val="212"/>
        </w:trPr>
        <w:tc>
          <w:tcPr>
            <w:tcW w:w="4360" w:type="dxa"/>
            <w:vAlign w:val="bottom"/>
          </w:tcPr>
          <w:p>
            <w:pPr>
              <w:ind w:left="20"/>
              <w:spacing w:after="0"/>
              <w:rPr>
                <w:sz w:val="20"/>
                <w:szCs w:val="20"/>
                <w:color w:val="auto"/>
              </w:rPr>
            </w:pPr>
            <w:r>
              <w:rPr>
                <w:rFonts w:ascii="Arial" w:cs="Arial" w:eastAsia="Arial" w:hAnsi="Arial"/>
                <w:sz w:val="15"/>
                <w:szCs w:val="15"/>
                <w:color w:val="auto"/>
              </w:rPr>
              <w:t>Adjustments to arrive at net income / (loss)</w:t>
            </w: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4360" w:type="dxa"/>
            <w:vAlign w:val="bottom"/>
            <w:shd w:val="clear" w:color="auto" w:fill="CCEEFF"/>
          </w:tcPr>
          <w:p>
            <w:pPr>
              <w:ind w:left="120"/>
              <w:spacing w:after="0"/>
              <w:rPr>
                <w:sz w:val="20"/>
                <w:szCs w:val="20"/>
                <w:color w:val="auto"/>
              </w:rPr>
            </w:pPr>
            <w:r>
              <w:rPr>
                <w:rFonts w:ascii="Arial" w:cs="Arial" w:eastAsia="Arial" w:hAnsi="Arial"/>
                <w:sz w:val="15"/>
                <w:szCs w:val="15"/>
                <w:color w:val="auto"/>
              </w:rPr>
              <w:t>Interest and other revenues, net</w:t>
            </w:r>
          </w:p>
        </w:tc>
        <w:tc>
          <w:tcPr>
            <w:tcW w:w="8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12,172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12,172</w:t>
            </w: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15,907</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15,907</w:t>
            </w:r>
          </w:p>
        </w:tc>
        <w:tc>
          <w:tcPr>
            <w:tcW w:w="0" w:type="dxa"/>
            <w:vAlign w:val="bottom"/>
          </w:tcPr>
          <w:p>
            <w:pPr>
              <w:spacing w:after="0"/>
              <w:rPr>
                <w:sz w:val="1"/>
                <w:szCs w:val="1"/>
                <w:color w:val="auto"/>
              </w:rPr>
            </w:pPr>
          </w:p>
        </w:tc>
      </w:tr>
      <w:tr>
        <w:trPr>
          <w:trHeight w:val="212"/>
        </w:trPr>
        <w:tc>
          <w:tcPr>
            <w:tcW w:w="4360" w:type="dxa"/>
            <w:vAlign w:val="bottom"/>
          </w:tcPr>
          <w:p>
            <w:pPr>
              <w:ind w:left="120"/>
              <w:spacing w:after="0"/>
              <w:rPr>
                <w:sz w:val="20"/>
                <w:szCs w:val="20"/>
                <w:color w:val="auto"/>
              </w:rPr>
            </w:pPr>
            <w:r>
              <w:rPr>
                <w:rFonts w:ascii="Arial" w:cs="Arial" w:eastAsia="Arial" w:hAnsi="Arial"/>
                <w:sz w:val="15"/>
                <w:szCs w:val="15"/>
                <w:color w:val="auto"/>
              </w:rPr>
              <w:t>Home selling expenses</w:t>
            </w:r>
          </w:p>
        </w:tc>
        <w:tc>
          <w:tcPr>
            <w:tcW w:w="8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8"/>
                <w:szCs w:val="18"/>
                <w:color w:val="auto"/>
              </w:rPr>
            </w:pPr>
          </w:p>
        </w:tc>
        <w:tc>
          <w:tcPr>
            <w:tcW w:w="720" w:type="dxa"/>
            <w:vAlign w:val="bottom"/>
          </w:tcPr>
          <w:p>
            <w:pPr>
              <w:jc w:val="right"/>
              <w:ind w:right="24"/>
              <w:spacing w:after="0"/>
              <w:rPr>
                <w:sz w:val="20"/>
                <w:szCs w:val="20"/>
                <w:color w:val="auto"/>
              </w:rPr>
            </w:pPr>
            <w:r>
              <w:rPr>
                <w:rFonts w:ascii="Arial" w:cs="Arial" w:eastAsia="Arial" w:hAnsi="Arial"/>
                <w:sz w:val="15"/>
                <w:szCs w:val="15"/>
                <w:color w:val="auto"/>
              </w:rPr>
              <w:t>(6,856)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ind w:right="44"/>
              <w:spacing w:after="0"/>
              <w:rPr>
                <w:sz w:val="20"/>
                <w:szCs w:val="20"/>
                <w:color w:val="auto"/>
              </w:rPr>
            </w:pPr>
            <w:r>
              <w:rPr>
                <w:rFonts w:ascii="Arial" w:cs="Arial" w:eastAsia="Arial" w:hAnsi="Arial"/>
                <w:sz w:val="15"/>
                <w:szCs w:val="15"/>
                <w:color w:val="auto"/>
              </w:rPr>
              <w:t>(6,856)</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ind w:right="44"/>
              <w:spacing w:after="0"/>
              <w:rPr>
                <w:sz w:val="20"/>
                <w:szCs w:val="20"/>
                <w:color w:val="auto"/>
              </w:rPr>
            </w:pPr>
            <w:r>
              <w:rPr>
                <w:rFonts w:ascii="Arial" w:cs="Arial" w:eastAsia="Arial" w:hAnsi="Arial"/>
                <w:sz w:val="15"/>
                <w:szCs w:val="15"/>
                <w:color w:val="auto"/>
              </w:rPr>
              <w:t>(6,950)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ind w:right="24"/>
              <w:spacing w:after="0"/>
              <w:rPr>
                <w:sz w:val="20"/>
                <w:szCs w:val="20"/>
                <w:color w:val="auto"/>
              </w:rPr>
            </w:pPr>
            <w:r>
              <w:rPr>
                <w:rFonts w:ascii="Arial" w:cs="Arial" w:eastAsia="Arial" w:hAnsi="Arial"/>
                <w:sz w:val="15"/>
                <w:szCs w:val="15"/>
                <w:color w:val="auto"/>
              </w:rPr>
              <w:t>(6,950)</w:t>
            </w:r>
          </w:p>
        </w:tc>
        <w:tc>
          <w:tcPr>
            <w:tcW w:w="0" w:type="dxa"/>
            <w:vAlign w:val="bottom"/>
          </w:tcPr>
          <w:p>
            <w:pPr>
              <w:spacing w:after="0"/>
              <w:rPr>
                <w:sz w:val="1"/>
                <w:szCs w:val="1"/>
                <w:color w:val="auto"/>
              </w:rPr>
            </w:pPr>
          </w:p>
        </w:tc>
      </w:tr>
      <w:tr>
        <w:trPr>
          <w:trHeight w:val="220"/>
        </w:trPr>
        <w:tc>
          <w:tcPr>
            <w:tcW w:w="4360" w:type="dxa"/>
            <w:vAlign w:val="bottom"/>
            <w:shd w:val="clear" w:color="auto" w:fill="CCEEFF"/>
          </w:tcPr>
          <w:p>
            <w:pPr>
              <w:ind w:left="120"/>
              <w:spacing w:after="0"/>
              <w:rPr>
                <w:sz w:val="20"/>
                <w:szCs w:val="20"/>
                <w:color w:val="auto"/>
              </w:rPr>
            </w:pPr>
            <w:r>
              <w:rPr>
                <w:rFonts w:ascii="Arial" w:cs="Arial" w:eastAsia="Arial" w:hAnsi="Arial"/>
                <w:sz w:val="15"/>
                <w:szCs w:val="15"/>
                <w:color w:val="auto"/>
              </w:rPr>
              <w:t>General and administrative expenses</w:t>
            </w:r>
          </w:p>
        </w:tc>
        <w:tc>
          <w:tcPr>
            <w:tcW w:w="8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(47,011)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(5,239)</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(52,250)</w:t>
            </w: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(39,956)</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(5,628)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(45,584)</w:t>
            </w:r>
          </w:p>
        </w:tc>
        <w:tc>
          <w:tcPr>
            <w:tcW w:w="0" w:type="dxa"/>
            <w:vAlign w:val="bottom"/>
          </w:tcPr>
          <w:p>
            <w:pPr>
              <w:spacing w:after="0"/>
              <w:rPr>
                <w:sz w:val="1"/>
                <w:szCs w:val="1"/>
                <w:color w:val="auto"/>
              </w:rPr>
            </w:pPr>
          </w:p>
        </w:tc>
      </w:tr>
      <w:tr>
        <w:trPr>
          <w:trHeight w:val="212"/>
        </w:trPr>
        <w:tc>
          <w:tcPr>
            <w:tcW w:w="4360" w:type="dxa"/>
            <w:vAlign w:val="bottom"/>
          </w:tcPr>
          <w:p>
            <w:pPr>
              <w:ind w:left="120"/>
              <w:spacing w:after="0"/>
              <w:rPr>
                <w:sz w:val="20"/>
                <w:szCs w:val="20"/>
                <w:color w:val="auto"/>
              </w:rPr>
            </w:pPr>
            <w:r>
              <w:rPr>
                <w:rFonts w:ascii="Arial" w:cs="Arial" w:eastAsia="Arial" w:hAnsi="Arial"/>
                <w:sz w:val="15"/>
                <w:szCs w:val="15"/>
                <w:color w:val="auto"/>
              </w:rPr>
              <w:t>Catastrophic weather-related charges, net</w:t>
            </w:r>
          </w:p>
        </w:tc>
        <w:tc>
          <w:tcPr>
            <w:tcW w:w="80" w:type="dxa"/>
            <w:vAlign w:val="bottom"/>
          </w:tcPr>
          <w:p>
            <w:pPr>
              <w:spacing w:after="0"/>
              <w:rPr>
                <w:sz w:val="18"/>
                <w:szCs w:val="18"/>
                <w:color w:val="auto"/>
              </w:rPr>
            </w:pPr>
          </w:p>
        </w:tc>
        <w:tc>
          <w:tcPr>
            <w:tcW w:w="1020" w:type="dxa"/>
            <w:vAlign w:val="bottom"/>
          </w:tcPr>
          <w:p>
            <w:pPr>
              <w:jc w:val="right"/>
              <w:ind w:right="24"/>
              <w:spacing w:after="0"/>
              <w:rPr>
                <w:sz w:val="20"/>
                <w:szCs w:val="20"/>
                <w:color w:val="auto"/>
              </w:rPr>
            </w:pPr>
            <w:r>
              <w:rPr>
                <w:rFonts w:ascii="Arial" w:cs="Arial" w:eastAsia="Arial" w:hAnsi="Arial"/>
                <w:sz w:val="15"/>
                <w:szCs w:val="15"/>
                <w:color w:val="auto"/>
              </w:rPr>
              <w:t>(40)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8"/>
                <w:szCs w:val="18"/>
                <w:color w:val="auto"/>
              </w:rPr>
            </w:pPr>
          </w:p>
        </w:tc>
        <w:tc>
          <w:tcPr>
            <w:tcW w:w="1020" w:type="dxa"/>
            <w:vAlign w:val="bottom"/>
          </w:tcPr>
          <w:p>
            <w:pPr>
              <w:jc w:val="right"/>
              <w:ind w:right="44"/>
              <w:spacing w:after="0"/>
              <w:rPr>
                <w:sz w:val="20"/>
                <w:szCs w:val="20"/>
                <w:color w:val="auto"/>
              </w:rPr>
            </w:pPr>
            <w:r>
              <w:rPr>
                <w:rFonts w:ascii="Arial" w:cs="Arial" w:eastAsia="Arial" w:hAnsi="Arial"/>
                <w:sz w:val="15"/>
                <w:szCs w:val="15"/>
                <w:color w:val="auto"/>
              </w:rPr>
              <w:t>(40)</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ind w:right="4"/>
              <w:spacing w:after="0"/>
              <w:rPr>
                <w:sz w:val="20"/>
                <w:szCs w:val="20"/>
                <w:color w:val="auto"/>
              </w:rPr>
            </w:pPr>
            <w:r>
              <w:rPr>
                <w:rFonts w:ascii="Arial" w:cs="Arial" w:eastAsia="Arial" w:hAnsi="Arial"/>
                <w:sz w:val="15"/>
                <w:szCs w:val="15"/>
                <w:color w:val="auto"/>
              </w:rPr>
              <w:t>(953)</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ind w:right="44"/>
              <w:spacing w:after="0"/>
              <w:rPr>
                <w:sz w:val="20"/>
                <w:szCs w:val="20"/>
                <w:color w:val="auto"/>
              </w:rPr>
            </w:pPr>
            <w:r>
              <w:rPr>
                <w:rFonts w:ascii="Arial" w:cs="Arial" w:eastAsia="Arial" w:hAnsi="Arial"/>
                <w:sz w:val="15"/>
                <w:szCs w:val="15"/>
                <w:color w:val="auto"/>
              </w:rPr>
              <w:t>(8)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ind w:right="24"/>
              <w:spacing w:after="0"/>
              <w:rPr>
                <w:sz w:val="20"/>
                <w:szCs w:val="20"/>
                <w:color w:val="auto"/>
              </w:rPr>
            </w:pPr>
            <w:r>
              <w:rPr>
                <w:rFonts w:ascii="Arial" w:cs="Arial" w:eastAsia="Arial" w:hAnsi="Arial"/>
                <w:sz w:val="15"/>
                <w:szCs w:val="15"/>
                <w:color w:val="auto"/>
              </w:rPr>
              <w:t>(961)</w:t>
            </w:r>
          </w:p>
        </w:tc>
        <w:tc>
          <w:tcPr>
            <w:tcW w:w="0" w:type="dxa"/>
            <w:vAlign w:val="bottom"/>
          </w:tcPr>
          <w:p>
            <w:pPr>
              <w:spacing w:after="0"/>
              <w:rPr>
                <w:sz w:val="1"/>
                <w:szCs w:val="1"/>
                <w:color w:val="auto"/>
              </w:rPr>
            </w:pPr>
          </w:p>
        </w:tc>
      </w:tr>
      <w:tr>
        <w:trPr>
          <w:trHeight w:val="220"/>
        </w:trPr>
        <w:tc>
          <w:tcPr>
            <w:tcW w:w="4360" w:type="dxa"/>
            <w:vAlign w:val="bottom"/>
            <w:shd w:val="clear" w:color="auto" w:fill="CCEEFF"/>
          </w:tcPr>
          <w:p>
            <w:pPr>
              <w:ind w:left="120"/>
              <w:spacing w:after="0"/>
              <w:rPr>
                <w:sz w:val="20"/>
                <w:szCs w:val="20"/>
                <w:color w:val="auto"/>
              </w:rPr>
            </w:pPr>
            <w:r>
              <w:rPr>
                <w:rFonts w:ascii="Arial" w:cs="Arial" w:eastAsia="Arial" w:hAnsi="Arial"/>
                <w:sz w:val="15"/>
                <w:szCs w:val="15"/>
                <w:color w:val="auto"/>
              </w:rPr>
              <w:t>Depreciation and amortization</w:t>
            </w:r>
          </w:p>
        </w:tc>
        <w:tc>
          <w:tcPr>
            <w:tcW w:w="8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(128,895)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(42,059)</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(170,954)</w:t>
            </w: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(115,299)</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(37,410)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(152,709)</w:t>
            </w:r>
          </w:p>
        </w:tc>
        <w:tc>
          <w:tcPr>
            <w:tcW w:w="0" w:type="dxa"/>
            <w:vAlign w:val="bottom"/>
          </w:tcPr>
          <w:p>
            <w:pPr>
              <w:spacing w:after="0"/>
              <w:rPr>
                <w:sz w:val="1"/>
                <w:szCs w:val="1"/>
                <w:color w:val="auto"/>
              </w:rPr>
            </w:pPr>
          </w:p>
        </w:tc>
      </w:tr>
      <w:tr>
        <w:trPr>
          <w:trHeight w:val="212"/>
        </w:trPr>
        <w:tc>
          <w:tcPr>
            <w:tcW w:w="4360" w:type="dxa"/>
            <w:vAlign w:val="bottom"/>
          </w:tcPr>
          <w:p>
            <w:pPr>
              <w:ind w:left="120"/>
              <w:spacing w:after="0"/>
              <w:rPr>
                <w:sz w:val="20"/>
                <w:szCs w:val="20"/>
                <w:color w:val="auto"/>
              </w:rPr>
            </w:pPr>
            <w:r>
              <w:rPr>
                <w:rFonts w:ascii="Arial" w:cs="Arial" w:eastAsia="Arial" w:hAnsi="Arial"/>
                <w:sz w:val="15"/>
                <w:szCs w:val="15"/>
                <w:color w:val="auto"/>
              </w:rPr>
              <w:t>Loss on extinguishment of debt (see Note 8)</w:t>
            </w:r>
          </w:p>
        </w:tc>
        <w:tc>
          <w:tcPr>
            <w:tcW w:w="80" w:type="dxa"/>
            <w:vAlign w:val="bottom"/>
          </w:tcPr>
          <w:p>
            <w:pPr>
              <w:spacing w:after="0"/>
              <w:rPr>
                <w:sz w:val="18"/>
                <w:szCs w:val="18"/>
                <w:color w:val="auto"/>
              </w:rPr>
            </w:pPr>
          </w:p>
        </w:tc>
        <w:tc>
          <w:tcPr>
            <w:tcW w:w="1020" w:type="dxa"/>
            <w:vAlign w:val="bottom"/>
          </w:tcPr>
          <w:p>
            <w:pPr>
              <w:jc w:val="right"/>
              <w:ind w:right="24"/>
              <w:spacing w:after="0"/>
              <w:rPr>
                <w:sz w:val="20"/>
                <w:szCs w:val="20"/>
                <w:color w:val="auto"/>
              </w:rPr>
            </w:pPr>
            <w:r>
              <w:rPr>
                <w:rFonts w:ascii="Arial" w:cs="Arial" w:eastAsia="Arial" w:hAnsi="Arial"/>
                <w:sz w:val="15"/>
                <w:szCs w:val="15"/>
                <w:color w:val="auto"/>
              </w:rPr>
              <w:t>(5,209)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8"/>
                <w:szCs w:val="18"/>
                <w:color w:val="auto"/>
              </w:rPr>
            </w:pPr>
          </w:p>
        </w:tc>
        <w:tc>
          <w:tcPr>
            <w:tcW w:w="1020" w:type="dxa"/>
            <w:vAlign w:val="bottom"/>
          </w:tcPr>
          <w:p>
            <w:pPr>
              <w:jc w:val="right"/>
              <w:ind w:right="44"/>
              <w:spacing w:after="0"/>
              <w:rPr>
                <w:sz w:val="20"/>
                <w:szCs w:val="20"/>
                <w:color w:val="auto"/>
              </w:rPr>
            </w:pPr>
            <w:r>
              <w:rPr>
                <w:rFonts w:ascii="Arial" w:cs="Arial" w:eastAsia="Arial" w:hAnsi="Arial"/>
                <w:sz w:val="15"/>
                <w:szCs w:val="15"/>
                <w:color w:val="auto"/>
              </w:rPr>
              <w:t>(5,209)</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ind w:right="4"/>
              <w:spacing w:after="0"/>
              <w:rPr>
                <w:sz w:val="20"/>
                <w:szCs w:val="20"/>
                <w:color w:val="auto"/>
              </w:rPr>
            </w:pPr>
            <w:r>
              <w:rPr>
                <w:rFonts w:ascii="Arial" w:cs="Arial" w:eastAsia="Arial" w:hAnsi="Arial"/>
                <w:sz w:val="15"/>
                <w:szCs w:val="15"/>
                <w:color w:val="auto"/>
              </w:rPr>
              <w:t>(723)</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8"/>
                <w:szCs w:val="18"/>
                <w:color w:val="auto"/>
              </w:rPr>
            </w:pPr>
          </w:p>
        </w:tc>
        <w:tc>
          <w:tcPr>
            <w:tcW w:w="1000" w:type="dxa"/>
            <w:vAlign w:val="bottom"/>
          </w:tcPr>
          <w:p>
            <w:pPr>
              <w:jc w:val="right"/>
              <w:ind w:right="24"/>
              <w:spacing w:after="0"/>
              <w:rPr>
                <w:sz w:val="20"/>
                <w:szCs w:val="20"/>
                <w:color w:val="auto"/>
              </w:rPr>
            </w:pPr>
            <w:r>
              <w:rPr>
                <w:rFonts w:ascii="Arial" w:cs="Arial" w:eastAsia="Arial" w:hAnsi="Arial"/>
                <w:sz w:val="15"/>
                <w:szCs w:val="15"/>
                <w:color w:val="auto"/>
              </w:rPr>
              <w:t>(723)</w:t>
            </w:r>
          </w:p>
        </w:tc>
        <w:tc>
          <w:tcPr>
            <w:tcW w:w="0" w:type="dxa"/>
            <w:vAlign w:val="bottom"/>
          </w:tcPr>
          <w:p>
            <w:pPr>
              <w:spacing w:after="0"/>
              <w:rPr>
                <w:sz w:val="1"/>
                <w:szCs w:val="1"/>
                <w:color w:val="auto"/>
              </w:rPr>
            </w:pPr>
          </w:p>
        </w:tc>
      </w:tr>
      <w:tr>
        <w:trPr>
          <w:trHeight w:val="220"/>
        </w:trPr>
        <w:tc>
          <w:tcPr>
            <w:tcW w:w="4360" w:type="dxa"/>
            <w:vAlign w:val="bottom"/>
            <w:shd w:val="clear" w:color="auto" w:fill="CCEEFF"/>
          </w:tcPr>
          <w:p>
            <w:pPr>
              <w:ind w:left="120"/>
              <w:spacing w:after="0"/>
              <w:rPr>
                <w:sz w:val="20"/>
                <w:szCs w:val="20"/>
                <w:color w:val="auto"/>
              </w:rPr>
            </w:pPr>
            <w:r>
              <w:rPr>
                <w:rFonts w:ascii="Arial" w:cs="Arial" w:eastAsia="Arial" w:hAnsi="Arial"/>
                <w:sz w:val="15"/>
                <w:szCs w:val="15"/>
                <w:color w:val="auto"/>
              </w:rPr>
              <w:t>Interest expense</w:t>
            </w:r>
          </w:p>
        </w:tc>
        <w:tc>
          <w:tcPr>
            <w:tcW w:w="8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(63,830)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(14)</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(63,844)</w:t>
            </w: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(67,666)</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(67,675)</w:t>
            </w:r>
          </w:p>
        </w:tc>
        <w:tc>
          <w:tcPr>
            <w:tcW w:w="0" w:type="dxa"/>
            <w:vAlign w:val="bottom"/>
          </w:tcPr>
          <w:p>
            <w:pPr>
              <w:spacing w:after="0"/>
              <w:rPr>
                <w:sz w:val="1"/>
                <w:szCs w:val="1"/>
                <w:color w:val="auto"/>
              </w:rPr>
            </w:pPr>
          </w:p>
        </w:tc>
      </w:tr>
      <w:tr>
        <w:trPr>
          <w:trHeight w:val="212"/>
        </w:trPr>
        <w:tc>
          <w:tcPr>
            <w:tcW w:w="4360" w:type="dxa"/>
            <w:vAlign w:val="bottom"/>
          </w:tcPr>
          <w:p>
            <w:pPr>
              <w:ind w:left="120"/>
              <w:spacing w:after="0"/>
              <w:rPr>
                <w:sz w:val="20"/>
                <w:szCs w:val="20"/>
                <w:color w:val="auto"/>
              </w:rPr>
            </w:pPr>
            <w:r>
              <w:rPr>
                <w:rFonts w:ascii="Arial" w:cs="Arial" w:eastAsia="Arial" w:hAnsi="Arial"/>
                <w:sz w:val="15"/>
                <w:szCs w:val="15"/>
                <w:color w:val="auto"/>
              </w:rPr>
              <w:t>Interest on mandatorily redeemable preferred OP units / equity</w:t>
            </w:r>
          </w:p>
        </w:tc>
        <w:tc>
          <w:tcPr>
            <w:tcW w:w="80" w:type="dxa"/>
            <w:vAlign w:val="bottom"/>
          </w:tcPr>
          <w:p>
            <w:pPr>
              <w:spacing w:after="0"/>
              <w:rPr>
                <w:sz w:val="18"/>
                <w:szCs w:val="18"/>
                <w:color w:val="auto"/>
              </w:rPr>
            </w:pPr>
          </w:p>
        </w:tc>
        <w:tc>
          <w:tcPr>
            <w:tcW w:w="1020" w:type="dxa"/>
            <w:vAlign w:val="bottom"/>
          </w:tcPr>
          <w:p>
            <w:pPr>
              <w:jc w:val="right"/>
              <w:ind w:right="24"/>
              <w:spacing w:after="0"/>
              <w:rPr>
                <w:sz w:val="20"/>
                <w:szCs w:val="20"/>
                <w:color w:val="auto"/>
              </w:rPr>
            </w:pPr>
            <w:r>
              <w:rPr>
                <w:rFonts w:ascii="Arial" w:cs="Arial" w:eastAsia="Arial" w:hAnsi="Arial"/>
                <w:sz w:val="15"/>
                <w:szCs w:val="15"/>
                <w:color w:val="auto"/>
              </w:rPr>
              <w:t>(2,083)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8"/>
                <w:szCs w:val="18"/>
                <w:color w:val="auto"/>
              </w:rPr>
            </w:pPr>
          </w:p>
        </w:tc>
        <w:tc>
          <w:tcPr>
            <w:tcW w:w="1020" w:type="dxa"/>
            <w:vAlign w:val="bottom"/>
          </w:tcPr>
          <w:p>
            <w:pPr>
              <w:jc w:val="right"/>
              <w:ind w:right="44"/>
              <w:spacing w:after="0"/>
              <w:rPr>
                <w:sz w:val="20"/>
                <w:szCs w:val="20"/>
                <w:color w:val="auto"/>
              </w:rPr>
            </w:pPr>
            <w:r>
              <w:rPr>
                <w:rFonts w:ascii="Arial" w:cs="Arial" w:eastAsia="Arial" w:hAnsi="Arial"/>
                <w:sz w:val="15"/>
                <w:szCs w:val="15"/>
                <w:color w:val="auto"/>
              </w:rPr>
              <w:t>(2,083)</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ind w:right="4"/>
              <w:spacing w:after="0"/>
              <w:rPr>
                <w:sz w:val="20"/>
                <w:szCs w:val="20"/>
                <w:color w:val="auto"/>
              </w:rPr>
            </w:pPr>
            <w:r>
              <w:rPr>
                <w:rFonts w:ascii="Arial" w:cs="Arial" w:eastAsia="Arial" w:hAnsi="Arial"/>
                <w:sz w:val="15"/>
                <w:szCs w:val="15"/>
                <w:color w:val="auto"/>
              </w:rPr>
              <w:t>(2,275)</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8"/>
                <w:szCs w:val="18"/>
                <w:color w:val="auto"/>
              </w:rPr>
            </w:pPr>
          </w:p>
        </w:tc>
        <w:tc>
          <w:tcPr>
            <w:tcW w:w="1000" w:type="dxa"/>
            <w:vAlign w:val="bottom"/>
          </w:tcPr>
          <w:p>
            <w:pPr>
              <w:jc w:val="right"/>
              <w:ind w:right="24"/>
              <w:spacing w:after="0"/>
              <w:rPr>
                <w:sz w:val="20"/>
                <w:szCs w:val="20"/>
                <w:color w:val="auto"/>
              </w:rPr>
            </w:pPr>
            <w:r>
              <w:rPr>
                <w:rFonts w:ascii="Arial" w:cs="Arial" w:eastAsia="Arial" w:hAnsi="Arial"/>
                <w:sz w:val="15"/>
                <w:szCs w:val="15"/>
                <w:color w:val="auto"/>
              </w:rPr>
              <w:t>(2,275)</w:t>
            </w:r>
          </w:p>
        </w:tc>
        <w:tc>
          <w:tcPr>
            <w:tcW w:w="0" w:type="dxa"/>
            <w:vAlign w:val="bottom"/>
          </w:tcPr>
          <w:p>
            <w:pPr>
              <w:spacing w:after="0"/>
              <w:rPr>
                <w:sz w:val="1"/>
                <w:szCs w:val="1"/>
                <w:color w:val="auto"/>
              </w:rPr>
            </w:pPr>
          </w:p>
        </w:tc>
      </w:tr>
      <w:tr>
        <w:trPr>
          <w:trHeight w:val="220"/>
        </w:trPr>
        <w:tc>
          <w:tcPr>
            <w:tcW w:w="4360" w:type="dxa"/>
            <w:vAlign w:val="bottom"/>
            <w:shd w:val="clear" w:color="auto" w:fill="CCEEFF"/>
          </w:tcPr>
          <w:p>
            <w:pPr>
              <w:ind w:left="120"/>
              <w:spacing w:after="0"/>
              <w:rPr>
                <w:sz w:val="20"/>
                <w:szCs w:val="20"/>
                <w:color w:val="auto"/>
              </w:rPr>
            </w:pPr>
            <w:r>
              <w:rPr>
                <w:rFonts w:ascii="Arial" w:cs="Arial" w:eastAsia="Arial" w:hAnsi="Arial"/>
                <w:sz w:val="15"/>
                <w:szCs w:val="15"/>
                <w:color w:val="auto"/>
              </w:rPr>
              <w:t>Gain / (loss) on remeasurement of marketable securities</w:t>
            </w:r>
          </w:p>
        </w:tc>
        <w:tc>
          <w:tcPr>
            <w:tcW w:w="8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(4,128)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(4,128)</w:t>
            </w: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3,887</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3,887</w:t>
            </w:r>
          </w:p>
        </w:tc>
        <w:tc>
          <w:tcPr>
            <w:tcW w:w="0" w:type="dxa"/>
            <w:vAlign w:val="bottom"/>
          </w:tcPr>
          <w:p>
            <w:pPr>
              <w:spacing w:after="0"/>
              <w:rPr>
                <w:sz w:val="1"/>
                <w:szCs w:val="1"/>
                <w:color w:val="auto"/>
              </w:rPr>
            </w:pPr>
          </w:p>
        </w:tc>
      </w:tr>
      <w:tr>
        <w:trPr>
          <w:trHeight w:val="212"/>
        </w:trPr>
        <w:tc>
          <w:tcPr>
            <w:tcW w:w="4360" w:type="dxa"/>
            <w:vAlign w:val="bottom"/>
          </w:tcPr>
          <w:p>
            <w:pPr>
              <w:ind w:left="120"/>
              <w:spacing w:after="0"/>
              <w:rPr>
                <w:sz w:val="20"/>
                <w:szCs w:val="20"/>
                <w:color w:val="auto"/>
              </w:rPr>
            </w:pPr>
            <w:r>
              <w:rPr>
                <w:rFonts w:ascii="Arial" w:cs="Arial" w:eastAsia="Arial" w:hAnsi="Arial"/>
                <w:sz w:val="15"/>
                <w:szCs w:val="15"/>
                <w:color w:val="auto"/>
              </w:rPr>
              <w:t>Gain / (loss) on foreign currency translation</w:t>
            </w:r>
          </w:p>
        </w:tc>
        <w:tc>
          <w:tcPr>
            <w:tcW w:w="80" w:type="dxa"/>
            <w:vAlign w:val="bottom"/>
          </w:tcPr>
          <w:p>
            <w:pPr>
              <w:spacing w:after="0"/>
              <w:rPr>
                <w:sz w:val="18"/>
                <w:szCs w:val="18"/>
                <w:color w:val="auto"/>
              </w:rPr>
            </w:pPr>
          </w:p>
        </w:tc>
        <w:tc>
          <w:tcPr>
            <w:tcW w:w="1020" w:type="dxa"/>
            <w:vAlign w:val="bottom"/>
          </w:tcPr>
          <w:p>
            <w:pPr>
              <w:jc w:val="right"/>
              <w:ind w:right="24"/>
              <w:spacing w:after="0"/>
              <w:rPr>
                <w:sz w:val="20"/>
                <w:szCs w:val="20"/>
                <w:color w:val="auto"/>
              </w:rPr>
            </w:pPr>
            <w:r>
              <w:rPr>
                <w:rFonts w:ascii="Arial" w:cs="Arial" w:eastAsia="Arial" w:hAnsi="Arial"/>
                <w:sz w:val="15"/>
                <w:szCs w:val="15"/>
                <w:color w:val="auto"/>
              </w:rPr>
              <w:t>(7,096)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ind w:right="24"/>
              <w:spacing w:after="0"/>
              <w:rPr>
                <w:sz w:val="20"/>
                <w:szCs w:val="20"/>
                <w:color w:val="auto"/>
              </w:rPr>
            </w:pPr>
            <w:r>
              <w:rPr>
                <w:rFonts w:ascii="Arial" w:cs="Arial" w:eastAsia="Arial" w:hAnsi="Arial"/>
                <w:sz w:val="15"/>
                <w:szCs w:val="15"/>
                <w:color w:val="auto"/>
              </w:rPr>
              <w:t>(9)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ind w:right="44"/>
              <w:spacing w:after="0"/>
              <w:rPr>
                <w:sz w:val="20"/>
                <w:szCs w:val="20"/>
                <w:color w:val="auto"/>
              </w:rPr>
            </w:pPr>
            <w:r>
              <w:rPr>
                <w:rFonts w:ascii="Arial" w:cs="Arial" w:eastAsia="Arial" w:hAnsi="Arial"/>
                <w:sz w:val="15"/>
                <w:szCs w:val="15"/>
                <w:color w:val="auto"/>
              </w:rPr>
              <w:t>(7,105)</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ind w:right="44"/>
              <w:spacing w:after="0"/>
              <w:rPr>
                <w:sz w:val="20"/>
                <w:szCs w:val="20"/>
                <w:color w:val="auto"/>
              </w:rPr>
            </w:pPr>
            <w:r>
              <w:rPr>
                <w:rFonts w:ascii="Arial" w:cs="Arial" w:eastAsia="Arial" w:hAnsi="Arial"/>
                <w:sz w:val="15"/>
                <w:szCs w:val="15"/>
                <w:color w:val="auto"/>
              </w:rPr>
              <w:t>3,078</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ind w:right="84"/>
              <w:spacing w:after="0"/>
              <w:rPr>
                <w:sz w:val="20"/>
                <w:szCs w:val="20"/>
                <w:color w:val="auto"/>
              </w:rPr>
            </w:pPr>
            <w:r>
              <w:rPr>
                <w:rFonts w:ascii="Arial" w:cs="Arial" w:eastAsia="Arial" w:hAnsi="Arial"/>
                <w:sz w:val="15"/>
                <w:szCs w:val="15"/>
                <w:color w:val="auto"/>
              </w:rPr>
              <w:t>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ind w:right="64"/>
              <w:spacing w:after="0"/>
              <w:rPr>
                <w:sz w:val="20"/>
                <w:szCs w:val="20"/>
                <w:color w:val="auto"/>
              </w:rPr>
            </w:pPr>
            <w:r>
              <w:rPr>
                <w:rFonts w:ascii="Arial" w:cs="Arial" w:eastAsia="Arial" w:hAnsi="Arial"/>
                <w:sz w:val="15"/>
                <w:szCs w:val="15"/>
                <w:color w:val="auto"/>
              </w:rPr>
              <w:t>3,081</w:t>
            </w:r>
          </w:p>
        </w:tc>
        <w:tc>
          <w:tcPr>
            <w:tcW w:w="0" w:type="dxa"/>
            <w:vAlign w:val="bottom"/>
          </w:tcPr>
          <w:p>
            <w:pPr>
              <w:spacing w:after="0"/>
              <w:rPr>
                <w:sz w:val="1"/>
                <w:szCs w:val="1"/>
                <w:color w:val="auto"/>
              </w:rPr>
            </w:pPr>
          </w:p>
        </w:tc>
      </w:tr>
      <w:tr>
        <w:trPr>
          <w:trHeight w:val="220"/>
        </w:trPr>
        <w:tc>
          <w:tcPr>
            <w:tcW w:w="4360" w:type="dxa"/>
            <w:vAlign w:val="bottom"/>
            <w:shd w:val="clear" w:color="auto" w:fill="CCEEFF"/>
          </w:tcPr>
          <w:p>
            <w:pPr>
              <w:ind w:left="120"/>
              <w:spacing w:after="0"/>
              <w:rPr>
                <w:sz w:val="20"/>
                <w:szCs w:val="20"/>
                <w:color w:val="auto"/>
              </w:rPr>
            </w:pPr>
            <w:r>
              <w:rPr>
                <w:rFonts w:ascii="Arial" w:cs="Arial" w:eastAsia="Arial" w:hAnsi="Arial"/>
                <w:sz w:val="15"/>
                <w:szCs w:val="15"/>
                <w:color w:val="auto"/>
              </w:rPr>
              <w:t>Other income / (expense), net</w:t>
            </w:r>
          </w:p>
        </w:tc>
        <w:tc>
          <w:tcPr>
            <w:tcW w:w="8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(855)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1</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(854)</w:t>
            </w: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(157)</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(162)</w:t>
            </w:r>
          </w:p>
        </w:tc>
        <w:tc>
          <w:tcPr>
            <w:tcW w:w="0" w:type="dxa"/>
            <w:vAlign w:val="bottom"/>
          </w:tcPr>
          <w:p>
            <w:pPr>
              <w:spacing w:after="0"/>
              <w:rPr>
                <w:sz w:val="1"/>
                <w:szCs w:val="1"/>
                <w:color w:val="auto"/>
              </w:rPr>
            </w:pPr>
          </w:p>
        </w:tc>
      </w:tr>
      <w:tr>
        <w:trPr>
          <w:trHeight w:val="212"/>
        </w:trPr>
        <w:tc>
          <w:tcPr>
            <w:tcW w:w="4360" w:type="dxa"/>
            <w:vAlign w:val="bottom"/>
          </w:tcPr>
          <w:p>
            <w:pPr>
              <w:ind w:left="120"/>
              <w:spacing w:after="0"/>
              <w:rPr>
                <w:sz w:val="20"/>
                <w:szCs w:val="20"/>
                <w:color w:val="auto"/>
              </w:rPr>
            </w:pPr>
            <w:r>
              <w:rPr>
                <w:rFonts w:ascii="Arial" w:cs="Arial" w:eastAsia="Arial" w:hAnsi="Arial"/>
                <w:sz w:val="15"/>
                <w:szCs w:val="15"/>
                <w:color w:val="auto"/>
              </w:rPr>
              <w:t>Loss on remeasurement of notes receivable</w:t>
            </w:r>
          </w:p>
        </w:tc>
        <w:tc>
          <w:tcPr>
            <w:tcW w:w="80" w:type="dxa"/>
            <w:vAlign w:val="bottom"/>
          </w:tcPr>
          <w:p>
            <w:pPr>
              <w:spacing w:after="0"/>
              <w:rPr>
                <w:sz w:val="18"/>
                <w:szCs w:val="18"/>
                <w:color w:val="auto"/>
              </w:rPr>
            </w:pPr>
          </w:p>
        </w:tc>
        <w:tc>
          <w:tcPr>
            <w:tcW w:w="1020" w:type="dxa"/>
            <w:vAlign w:val="bottom"/>
          </w:tcPr>
          <w:p>
            <w:pPr>
              <w:jc w:val="right"/>
              <w:ind w:right="24"/>
              <w:spacing w:after="0"/>
              <w:rPr>
                <w:sz w:val="20"/>
                <w:szCs w:val="20"/>
                <w:color w:val="auto"/>
              </w:rPr>
            </w:pPr>
            <w:r>
              <w:rPr>
                <w:rFonts w:ascii="Arial" w:cs="Arial" w:eastAsia="Arial" w:hAnsi="Arial"/>
                <w:sz w:val="15"/>
                <w:szCs w:val="15"/>
                <w:color w:val="auto"/>
              </w:rPr>
              <w:t>(1,866)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8"/>
                <w:szCs w:val="18"/>
                <w:color w:val="auto"/>
              </w:rPr>
            </w:pPr>
          </w:p>
        </w:tc>
        <w:tc>
          <w:tcPr>
            <w:tcW w:w="1020" w:type="dxa"/>
            <w:vAlign w:val="bottom"/>
          </w:tcPr>
          <w:p>
            <w:pPr>
              <w:jc w:val="right"/>
              <w:ind w:right="44"/>
              <w:spacing w:after="0"/>
              <w:rPr>
                <w:sz w:val="20"/>
                <w:szCs w:val="20"/>
                <w:color w:val="auto"/>
              </w:rPr>
            </w:pPr>
            <w:r>
              <w:rPr>
                <w:rFonts w:ascii="Arial" w:cs="Arial" w:eastAsia="Arial" w:hAnsi="Arial"/>
                <w:sz w:val="15"/>
                <w:szCs w:val="15"/>
                <w:color w:val="auto"/>
              </w:rPr>
              <w:t>(1,866)</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8"/>
                <w:szCs w:val="18"/>
                <w:color w:val="auto"/>
              </w:rPr>
            </w:pPr>
          </w:p>
        </w:tc>
        <w:tc>
          <w:tcPr>
            <w:tcW w:w="1000" w:type="dxa"/>
            <w:vAlign w:val="bottom"/>
          </w:tcPr>
          <w:p>
            <w:pPr>
              <w:jc w:val="right"/>
              <w:ind w:right="6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20"/>
        </w:trPr>
        <w:tc>
          <w:tcPr>
            <w:tcW w:w="4360" w:type="dxa"/>
            <w:vAlign w:val="bottom"/>
            <w:shd w:val="clear" w:color="auto" w:fill="CCEEFF"/>
          </w:tcPr>
          <w:p>
            <w:pPr>
              <w:ind w:left="120"/>
              <w:spacing w:after="0"/>
              <w:rPr>
                <w:sz w:val="20"/>
                <w:szCs w:val="20"/>
                <w:color w:val="auto"/>
              </w:rPr>
            </w:pPr>
            <w:r>
              <w:rPr>
                <w:rFonts w:ascii="Arial" w:cs="Arial" w:eastAsia="Arial" w:hAnsi="Arial"/>
                <w:sz w:val="15"/>
                <w:szCs w:val="15"/>
                <w:color w:val="auto"/>
              </w:rPr>
              <w:t>Income from nonconsolidated affiliates (see Note 6)</w:t>
            </w:r>
          </w:p>
        </w:tc>
        <w:tc>
          <w:tcPr>
            <w:tcW w:w="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144</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144</w:t>
            </w: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rPr>
              <w:t>867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867</w:t>
            </w:r>
          </w:p>
        </w:tc>
        <w:tc>
          <w:tcPr>
            <w:tcW w:w="0" w:type="dxa"/>
            <w:vAlign w:val="bottom"/>
          </w:tcPr>
          <w:p>
            <w:pPr>
              <w:spacing w:after="0"/>
              <w:rPr>
                <w:sz w:val="1"/>
                <w:szCs w:val="1"/>
                <w:color w:val="auto"/>
              </w:rPr>
            </w:pPr>
          </w:p>
        </w:tc>
      </w:tr>
      <w:tr>
        <w:trPr>
          <w:trHeight w:val="212"/>
        </w:trPr>
        <w:tc>
          <w:tcPr>
            <w:tcW w:w="4360" w:type="dxa"/>
            <w:vAlign w:val="bottom"/>
          </w:tcPr>
          <w:p>
            <w:pPr>
              <w:ind w:left="120"/>
              <w:spacing w:after="0"/>
              <w:rPr>
                <w:sz w:val="20"/>
                <w:szCs w:val="20"/>
                <w:color w:val="auto"/>
              </w:rPr>
            </w:pPr>
            <w:r>
              <w:rPr>
                <w:rFonts w:ascii="Arial" w:cs="Arial" w:eastAsia="Arial" w:hAnsi="Arial"/>
                <w:sz w:val="15"/>
                <w:szCs w:val="15"/>
                <w:color w:val="auto"/>
                <w:w w:val="95"/>
              </w:rPr>
              <w:t>Loss on remeasurement of investment in nonconsolidated affiliates</w:t>
            </w:r>
          </w:p>
        </w:tc>
        <w:tc>
          <w:tcPr>
            <w:tcW w:w="8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8"/>
                <w:szCs w:val="18"/>
                <w:color w:val="auto"/>
              </w:rPr>
            </w:pPr>
          </w:p>
        </w:tc>
        <w:tc>
          <w:tcPr>
            <w:tcW w:w="720" w:type="dxa"/>
            <w:vAlign w:val="bottom"/>
          </w:tcPr>
          <w:p>
            <w:pPr>
              <w:jc w:val="right"/>
              <w:ind w:right="24"/>
              <w:spacing w:after="0"/>
              <w:rPr>
                <w:sz w:val="20"/>
                <w:szCs w:val="20"/>
                <w:color w:val="auto"/>
              </w:rPr>
            </w:pPr>
            <w:r>
              <w:rPr>
                <w:rFonts w:ascii="Arial" w:cs="Arial" w:eastAsia="Arial" w:hAnsi="Arial"/>
                <w:sz w:val="15"/>
                <w:szCs w:val="15"/>
                <w:color w:val="auto"/>
              </w:rPr>
              <w:t>(1,059)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ind w:right="44"/>
              <w:spacing w:after="0"/>
              <w:rPr>
                <w:sz w:val="20"/>
                <w:szCs w:val="20"/>
                <w:color w:val="auto"/>
              </w:rPr>
            </w:pPr>
            <w:r>
              <w:rPr>
                <w:rFonts w:ascii="Arial" w:cs="Arial" w:eastAsia="Arial" w:hAnsi="Arial"/>
                <w:sz w:val="15"/>
                <w:szCs w:val="15"/>
                <w:color w:val="auto"/>
              </w:rPr>
              <w:t>(1,059)</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8"/>
                <w:szCs w:val="18"/>
                <w:color w:val="auto"/>
              </w:rPr>
            </w:pPr>
          </w:p>
        </w:tc>
        <w:tc>
          <w:tcPr>
            <w:tcW w:w="1000" w:type="dxa"/>
            <w:vAlign w:val="bottom"/>
          </w:tcPr>
          <w:p>
            <w:pPr>
              <w:jc w:val="right"/>
              <w:ind w:right="6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20"/>
        </w:trPr>
        <w:tc>
          <w:tcPr>
            <w:tcW w:w="4360" w:type="dxa"/>
            <w:vAlign w:val="bottom"/>
            <w:shd w:val="clear" w:color="auto" w:fill="CCEEFF"/>
          </w:tcPr>
          <w:p>
            <w:pPr>
              <w:ind w:left="120"/>
              <w:spacing w:after="0"/>
              <w:rPr>
                <w:sz w:val="20"/>
                <w:szCs w:val="20"/>
                <w:color w:val="auto"/>
              </w:rPr>
            </w:pPr>
            <w:r>
              <w:rPr>
                <w:rFonts w:ascii="Arial" w:cs="Arial" w:eastAsia="Arial" w:hAnsi="Arial"/>
                <w:sz w:val="15"/>
                <w:szCs w:val="15"/>
                <w:color w:val="auto"/>
              </w:rPr>
              <w:t>Current tax expense</w:t>
            </w:r>
          </w:p>
        </w:tc>
        <w:tc>
          <w:tcPr>
            <w:tcW w:w="8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(264)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(305)</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(569)</w:t>
            </w: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(301)</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(185)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(486)</w:t>
            </w:r>
          </w:p>
        </w:tc>
        <w:tc>
          <w:tcPr>
            <w:tcW w:w="0" w:type="dxa"/>
            <w:vAlign w:val="bottom"/>
          </w:tcPr>
          <w:p>
            <w:pPr>
              <w:spacing w:after="0"/>
              <w:rPr>
                <w:sz w:val="1"/>
                <w:szCs w:val="1"/>
                <w:color w:val="auto"/>
              </w:rPr>
            </w:pPr>
          </w:p>
        </w:tc>
      </w:tr>
      <w:tr>
        <w:trPr>
          <w:trHeight w:val="212"/>
        </w:trPr>
        <w:tc>
          <w:tcPr>
            <w:tcW w:w="4360" w:type="dxa"/>
            <w:vAlign w:val="bottom"/>
          </w:tcPr>
          <w:p>
            <w:pPr>
              <w:ind w:left="120"/>
              <w:spacing w:after="0"/>
              <w:rPr>
                <w:sz w:val="20"/>
                <w:szCs w:val="20"/>
                <w:color w:val="auto"/>
              </w:rPr>
            </w:pPr>
            <w:r>
              <w:rPr>
                <w:rFonts w:ascii="Arial" w:cs="Arial" w:eastAsia="Arial" w:hAnsi="Arial"/>
                <w:sz w:val="15"/>
                <w:szCs w:val="15"/>
                <w:color w:val="auto"/>
              </w:rPr>
              <w:t>Deferred tax benefit</w:t>
            </w:r>
          </w:p>
        </w:tc>
        <w:tc>
          <w:tcPr>
            <w:tcW w:w="80" w:type="dxa"/>
            <w:vAlign w:val="bottom"/>
          </w:tcPr>
          <w:p>
            <w:pPr>
              <w:spacing w:after="0"/>
              <w:rPr>
                <w:sz w:val="18"/>
                <w:szCs w:val="18"/>
                <w:color w:val="auto"/>
              </w:rPr>
            </w:pPr>
          </w:p>
        </w:tc>
        <w:tc>
          <w:tcPr>
            <w:tcW w:w="1020" w:type="dxa"/>
            <w:vAlign w:val="bottom"/>
          </w:tcPr>
          <w:p>
            <w:pPr>
              <w:jc w:val="right"/>
              <w:ind w:right="64"/>
              <w:spacing w:after="0"/>
              <w:rPr>
                <w:sz w:val="20"/>
                <w:szCs w:val="20"/>
                <w:color w:val="auto"/>
              </w:rPr>
            </w:pPr>
            <w:r>
              <w:rPr>
                <w:rFonts w:ascii="Arial" w:cs="Arial" w:eastAsia="Arial" w:hAnsi="Arial"/>
                <w:sz w:val="15"/>
                <w:szCs w:val="15"/>
                <w:color w:val="auto"/>
              </w:rPr>
              <w:t>242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8"/>
                <w:szCs w:val="18"/>
                <w:color w:val="auto"/>
              </w:rPr>
            </w:pPr>
          </w:p>
        </w:tc>
        <w:tc>
          <w:tcPr>
            <w:tcW w:w="1020" w:type="dxa"/>
            <w:vAlign w:val="bottom"/>
          </w:tcPr>
          <w:p>
            <w:pPr>
              <w:jc w:val="right"/>
              <w:ind w:right="64"/>
              <w:spacing w:after="0"/>
              <w:rPr>
                <w:sz w:val="20"/>
                <w:szCs w:val="20"/>
                <w:color w:val="auto"/>
              </w:rPr>
            </w:pPr>
            <w:r>
              <w:rPr>
                <w:rFonts w:ascii="Arial" w:cs="Arial" w:eastAsia="Arial" w:hAnsi="Arial"/>
                <w:sz w:val="15"/>
                <w:szCs w:val="15"/>
                <w:color w:val="auto"/>
              </w:rPr>
              <w:t>242</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ind w:right="44"/>
              <w:spacing w:after="0"/>
              <w:rPr>
                <w:sz w:val="20"/>
                <w:szCs w:val="20"/>
                <w:color w:val="auto"/>
              </w:rPr>
            </w:pPr>
            <w:r>
              <w:rPr>
                <w:rFonts w:ascii="Arial" w:cs="Arial" w:eastAsia="Arial" w:hAnsi="Arial"/>
                <w:sz w:val="15"/>
                <w:szCs w:val="15"/>
                <w:color w:val="auto"/>
              </w:rPr>
              <w:t>313</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8"/>
                <w:szCs w:val="18"/>
                <w:color w:val="auto"/>
              </w:rPr>
            </w:pPr>
          </w:p>
        </w:tc>
        <w:tc>
          <w:tcPr>
            <w:tcW w:w="1000" w:type="dxa"/>
            <w:vAlign w:val="bottom"/>
          </w:tcPr>
          <w:p>
            <w:pPr>
              <w:jc w:val="right"/>
              <w:ind w:right="64"/>
              <w:spacing w:after="0"/>
              <w:rPr>
                <w:sz w:val="20"/>
                <w:szCs w:val="20"/>
                <w:color w:val="auto"/>
              </w:rPr>
            </w:pPr>
            <w:r>
              <w:rPr>
                <w:rFonts w:ascii="Arial" w:cs="Arial" w:eastAsia="Arial" w:hAnsi="Arial"/>
                <w:sz w:val="15"/>
                <w:szCs w:val="15"/>
                <w:color w:val="auto"/>
              </w:rPr>
              <w:t>313</w:t>
            </w:r>
          </w:p>
        </w:tc>
        <w:tc>
          <w:tcPr>
            <w:tcW w:w="0" w:type="dxa"/>
            <w:vAlign w:val="bottom"/>
          </w:tcPr>
          <w:p>
            <w:pPr>
              <w:spacing w:after="0"/>
              <w:rPr>
                <w:sz w:val="1"/>
                <w:szCs w:val="1"/>
                <w:color w:val="auto"/>
              </w:rPr>
            </w:pPr>
          </w:p>
        </w:tc>
      </w:tr>
      <w:tr>
        <w:trPr>
          <w:trHeight w:val="213"/>
        </w:trPr>
        <w:tc>
          <w:tcPr>
            <w:tcW w:w="4360" w:type="dxa"/>
            <w:vAlign w:val="bottom"/>
            <w:tcBorders>
              <w:top w:val="single" w:sz="8" w:color="CCEEFF"/>
            </w:tcBorders>
            <w:shd w:val="clear" w:color="auto" w:fill="CCEEFF"/>
          </w:tcPr>
          <w:p>
            <w:pPr>
              <w:ind w:left="120"/>
              <w:spacing w:after="0"/>
              <w:rPr>
                <w:sz w:val="20"/>
                <w:szCs w:val="20"/>
                <w:color w:val="auto"/>
              </w:rPr>
            </w:pPr>
            <w:r>
              <w:rPr>
                <w:rFonts w:ascii="Arial" w:cs="Arial" w:eastAsia="Arial" w:hAnsi="Arial"/>
                <w:sz w:val="15"/>
                <w:szCs w:val="15"/>
                <w:b w:val="1"/>
                <w:bCs w:val="1"/>
                <w:color w:val="auto"/>
              </w:rPr>
              <w:t>Net Income / (Loss)</w:t>
            </w:r>
          </w:p>
        </w:tc>
        <w:tc>
          <w:tcPr>
            <w:tcW w:w="8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ind w:right="64"/>
              <w:spacing w:after="0"/>
              <w:rPr>
                <w:sz w:val="20"/>
                <w:szCs w:val="20"/>
                <w:color w:val="auto"/>
              </w:rPr>
            </w:pPr>
            <w:r>
              <w:rPr>
                <w:rFonts w:ascii="Arial" w:cs="Arial" w:eastAsia="Arial" w:hAnsi="Arial"/>
                <w:sz w:val="15"/>
                <w:szCs w:val="15"/>
                <w:color w:val="auto"/>
              </w:rPr>
              <w:t>63,108</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rPr>
              <w:t>(15,231)</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ind w:right="64"/>
              <w:spacing w:after="0"/>
              <w:rPr>
                <w:sz w:val="20"/>
                <w:szCs w:val="20"/>
                <w:color w:val="auto"/>
              </w:rPr>
            </w:pPr>
            <w:r>
              <w:rPr>
                <w:rFonts w:ascii="Arial" w:cs="Arial" w:eastAsia="Arial" w:hAnsi="Arial"/>
                <w:sz w:val="15"/>
                <w:szCs w:val="15"/>
                <w:color w:val="auto"/>
              </w:rPr>
              <w:t>47,877</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rPr>
              <w:t>90,046</w:t>
            </w:r>
          </w:p>
        </w:tc>
        <w:tc>
          <w:tcPr>
            <w:tcW w:w="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rPr>
              <w:t>(7,803)</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ind w:right="64"/>
              <w:spacing w:after="0"/>
              <w:rPr>
                <w:sz w:val="20"/>
                <w:szCs w:val="20"/>
                <w:color w:val="auto"/>
              </w:rPr>
            </w:pPr>
            <w:r>
              <w:rPr>
                <w:rFonts w:ascii="Arial" w:cs="Arial" w:eastAsia="Arial" w:hAnsi="Arial"/>
                <w:sz w:val="15"/>
                <w:szCs w:val="15"/>
                <w:color w:val="auto"/>
              </w:rPr>
              <w:t>82,243</w:t>
            </w:r>
          </w:p>
        </w:tc>
        <w:tc>
          <w:tcPr>
            <w:tcW w:w="0" w:type="dxa"/>
            <w:vAlign w:val="bottom"/>
          </w:tcPr>
          <w:p>
            <w:pPr>
              <w:spacing w:after="0"/>
              <w:rPr>
                <w:sz w:val="1"/>
                <w:szCs w:val="1"/>
                <w:color w:val="auto"/>
              </w:rPr>
            </w:pPr>
          </w:p>
        </w:tc>
      </w:tr>
      <w:tr>
        <w:trPr>
          <w:trHeight w:val="212"/>
        </w:trPr>
        <w:tc>
          <w:tcPr>
            <w:tcW w:w="4360" w:type="dxa"/>
            <w:vAlign w:val="bottom"/>
          </w:tcPr>
          <w:p>
            <w:pPr>
              <w:ind w:left="340"/>
              <w:spacing w:after="0"/>
              <w:rPr>
                <w:sz w:val="20"/>
                <w:szCs w:val="20"/>
                <w:color w:val="auto"/>
              </w:rPr>
            </w:pPr>
            <w:r>
              <w:rPr>
                <w:rFonts w:ascii="Arial" w:cs="Arial" w:eastAsia="Arial" w:hAnsi="Arial"/>
                <w:sz w:val="15"/>
                <w:szCs w:val="15"/>
                <w:color w:val="auto"/>
              </w:rPr>
              <w:t>Less: Preferred return to preferred OP units / equity</w:t>
            </w:r>
          </w:p>
        </w:tc>
        <w:tc>
          <w:tcPr>
            <w:tcW w:w="80" w:type="dxa"/>
            <w:vAlign w:val="bottom"/>
          </w:tcPr>
          <w:p>
            <w:pPr>
              <w:spacing w:after="0"/>
              <w:rPr>
                <w:sz w:val="18"/>
                <w:szCs w:val="18"/>
                <w:color w:val="auto"/>
              </w:rPr>
            </w:pPr>
          </w:p>
        </w:tc>
        <w:tc>
          <w:tcPr>
            <w:tcW w:w="1020" w:type="dxa"/>
            <w:vAlign w:val="bottom"/>
          </w:tcPr>
          <w:p>
            <w:pPr>
              <w:jc w:val="right"/>
              <w:ind w:right="64"/>
              <w:spacing w:after="0"/>
              <w:rPr>
                <w:sz w:val="20"/>
                <w:szCs w:val="20"/>
                <w:color w:val="auto"/>
              </w:rPr>
            </w:pPr>
            <w:r>
              <w:rPr>
                <w:rFonts w:ascii="Arial" w:cs="Arial" w:eastAsia="Arial" w:hAnsi="Arial"/>
                <w:sz w:val="15"/>
                <w:szCs w:val="15"/>
                <w:color w:val="auto"/>
              </w:rPr>
              <w:t>3,154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8"/>
                <w:szCs w:val="18"/>
                <w:color w:val="auto"/>
              </w:rPr>
            </w:pPr>
          </w:p>
        </w:tc>
        <w:tc>
          <w:tcPr>
            <w:tcW w:w="1020" w:type="dxa"/>
            <w:vAlign w:val="bottom"/>
          </w:tcPr>
          <w:p>
            <w:pPr>
              <w:jc w:val="right"/>
              <w:ind w:right="64"/>
              <w:spacing w:after="0"/>
              <w:rPr>
                <w:sz w:val="20"/>
                <w:szCs w:val="20"/>
                <w:color w:val="auto"/>
              </w:rPr>
            </w:pPr>
            <w:r>
              <w:rPr>
                <w:rFonts w:ascii="Arial" w:cs="Arial" w:eastAsia="Arial" w:hAnsi="Arial"/>
                <w:sz w:val="15"/>
                <w:szCs w:val="15"/>
                <w:color w:val="auto"/>
              </w:rPr>
              <w:t>3,154</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ind w:right="44"/>
              <w:spacing w:after="0"/>
              <w:rPr>
                <w:sz w:val="20"/>
                <w:szCs w:val="20"/>
                <w:color w:val="auto"/>
              </w:rPr>
            </w:pPr>
            <w:r>
              <w:rPr>
                <w:rFonts w:ascii="Arial" w:cs="Arial" w:eastAsia="Arial" w:hAnsi="Arial"/>
                <w:sz w:val="15"/>
                <w:szCs w:val="15"/>
                <w:color w:val="auto"/>
              </w:rPr>
              <w:t>3,041</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8"/>
                <w:szCs w:val="18"/>
                <w:color w:val="auto"/>
              </w:rPr>
            </w:pPr>
          </w:p>
        </w:tc>
        <w:tc>
          <w:tcPr>
            <w:tcW w:w="1000" w:type="dxa"/>
            <w:vAlign w:val="bottom"/>
          </w:tcPr>
          <w:p>
            <w:pPr>
              <w:jc w:val="right"/>
              <w:ind w:right="64"/>
              <w:spacing w:after="0"/>
              <w:rPr>
                <w:sz w:val="20"/>
                <w:szCs w:val="20"/>
                <w:color w:val="auto"/>
              </w:rPr>
            </w:pPr>
            <w:r>
              <w:rPr>
                <w:rFonts w:ascii="Arial" w:cs="Arial" w:eastAsia="Arial" w:hAnsi="Arial"/>
                <w:sz w:val="15"/>
                <w:szCs w:val="15"/>
                <w:color w:val="auto"/>
              </w:rPr>
              <w:t>3,041</w:t>
            </w:r>
          </w:p>
        </w:tc>
        <w:tc>
          <w:tcPr>
            <w:tcW w:w="0" w:type="dxa"/>
            <w:vAlign w:val="bottom"/>
          </w:tcPr>
          <w:p>
            <w:pPr>
              <w:spacing w:after="0"/>
              <w:rPr>
                <w:sz w:val="1"/>
                <w:szCs w:val="1"/>
                <w:color w:val="auto"/>
              </w:rPr>
            </w:pPr>
          </w:p>
        </w:tc>
      </w:tr>
      <w:tr>
        <w:trPr>
          <w:trHeight w:val="220"/>
        </w:trPr>
        <w:tc>
          <w:tcPr>
            <w:tcW w:w="4360" w:type="dxa"/>
            <w:vAlign w:val="bottom"/>
            <w:shd w:val="clear" w:color="auto" w:fill="CCEEFF"/>
          </w:tcPr>
          <w:p>
            <w:pPr>
              <w:ind w:left="340"/>
              <w:spacing w:after="0"/>
              <w:rPr>
                <w:sz w:val="20"/>
                <w:szCs w:val="20"/>
                <w:color w:val="auto"/>
              </w:rPr>
            </w:pPr>
            <w:r>
              <w:rPr>
                <w:rFonts w:ascii="Arial" w:cs="Arial" w:eastAsia="Arial" w:hAnsi="Arial"/>
                <w:sz w:val="15"/>
                <w:szCs w:val="15"/>
                <w:color w:val="auto"/>
              </w:rPr>
              <w:t>Less: Income / (loss) attributable to noncontrolling interests</w:t>
            </w:r>
          </w:p>
        </w:tc>
        <w:tc>
          <w:tcPr>
            <w:tcW w:w="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64"/>
              <w:spacing w:after="0"/>
              <w:rPr>
                <w:sz w:val="20"/>
                <w:szCs w:val="20"/>
                <w:color w:val="auto"/>
              </w:rPr>
            </w:pPr>
            <w:r>
              <w:rPr>
                <w:rFonts w:ascii="Arial" w:cs="Arial" w:eastAsia="Arial" w:hAnsi="Arial"/>
                <w:sz w:val="15"/>
                <w:szCs w:val="15"/>
                <w:color w:val="auto"/>
              </w:rPr>
              <w:t>2,528</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rPr>
              <w:t>(629)</w:t>
            </w: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64"/>
              <w:spacing w:after="0"/>
              <w:rPr>
                <w:sz w:val="20"/>
                <w:szCs w:val="20"/>
                <w:color w:val="auto"/>
              </w:rPr>
            </w:pPr>
            <w:r>
              <w:rPr>
                <w:rFonts w:ascii="Arial" w:cs="Arial" w:eastAsia="Arial" w:hAnsi="Arial"/>
                <w:sz w:val="15"/>
                <w:szCs w:val="15"/>
                <w:color w:val="auto"/>
              </w:rPr>
              <w:t>1,899</w:t>
            </w:r>
          </w:p>
        </w:tc>
        <w:tc>
          <w:tcPr>
            <w:tcW w:w="2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rPr>
              <w:t>3,999</w:t>
            </w:r>
          </w:p>
        </w:tc>
        <w:tc>
          <w:tcPr>
            <w:tcW w:w="2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rPr>
              <w:t>(373)</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64"/>
              <w:spacing w:after="0"/>
              <w:rPr>
                <w:sz w:val="20"/>
                <w:szCs w:val="20"/>
                <w:color w:val="auto"/>
              </w:rPr>
            </w:pPr>
            <w:r>
              <w:rPr>
                <w:rFonts w:ascii="Arial" w:cs="Arial" w:eastAsia="Arial" w:hAnsi="Arial"/>
                <w:sz w:val="15"/>
                <w:szCs w:val="15"/>
                <w:color w:val="auto"/>
              </w:rPr>
              <w:t>3,626</w:t>
            </w:r>
          </w:p>
        </w:tc>
        <w:tc>
          <w:tcPr>
            <w:tcW w:w="0" w:type="dxa"/>
            <w:vAlign w:val="bottom"/>
          </w:tcPr>
          <w:p>
            <w:pPr>
              <w:spacing w:after="0"/>
              <w:rPr>
                <w:sz w:val="1"/>
                <w:szCs w:val="1"/>
                <w:color w:val="auto"/>
              </w:rPr>
            </w:pPr>
          </w:p>
        </w:tc>
      </w:tr>
      <w:tr>
        <w:trPr>
          <w:trHeight w:val="205"/>
        </w:trPr>
        <w:tc>
          <w:tcPr>
            <w:tcW w:w="4360" w:type="dxa"/>
            <w:vAlign w:val="bottom"/>
          </w:tcPr>
          <w:p>
            <w:pPr>
              <w:ind w:left="120"/>
              <w:spacing w:after="0"/>
              <w:rPr>
                <w:sz w:val="20"/>
                <w:szCs w:val="20"/>
                <w:color w:val="auto"/>
              </w:rPr>
            </w:pPr>
            <w:r>
              <w:rPr>
                <w:rFonts w:ascii="Arial" w:cs="Arial" w:eastAsia="Arial" w:hAnsi="Arial"/>
                <w:sz w:val="15"/>
                <w:szCs w:val="15"/>
                <w:b w:val="1"/>
                <w:bCs w:val="1"/>
                <w:color w:val="auto"/>
              </w:rPr>
              <w:t>Net Income / (Loss) Attributable to Sun Communities, Inc.</w:t>
            </w:r>
          </w:p>
        </w:tc>
        <w:tc>
          <w:tcPr>
            <w:tcW w:w="80" w:type="dxa"/>
            <w:vAlign w:val="bottom"/>
          </w:tcPr>
          <w:p>
            <w:pPr>
              <w:spacing w:after="0"/>
              <w:rPr>
                <w:sz w:val="17"/>
                <w:szCs w:val="17"/>
                <w:color w:val="auto"/>
              </w:rPr>
            </w:pPr>
          </w:p>
        </w:tc>
        <w:tc>
          <w:tcPr>
            <w:tcW w:w="1020" w:type="dxa"/>
            <w:vAlign w:val="bottom"/>
          </w:tcPr>
          <w:p>
            <w:pPr>
              <w:jc w:val="right"/>
              <w:ind w:right="64"/>
              <w:spacing w:after="0"/>
              <w:rPr>
                <w:sz w:val="20"/>
                <w:szCs w:val="20"/>
                <w:color w:val="auto"/>
              </w:rPr>
            </w:pPr>
            <w:r>
              <w:rPr>
                <w:rFonts w:ascii="Arial" w:cs="Arial" w:eastAsia="Arial" w:hAnsi="Arial"/>
                <w:sz w:val="15"/>
                <w:szCs w:val="15"/>
                <w:color w:val="auto"/>
              </w:rPr>
              <w:t>57,426</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jc w:val="right"/>
              <w:ind w:right="24"/>
              <w:spacing w:after="0"/>
              <w:rPr>
                <w:sz w:val="20"/>
                <w:szCs w:val="20"/>
                <w:color w:val="auto"/>
              </w:rPr>
            </w:pPr>
            <w:r>
              <w:rPr>
                <w:rFonts w:ascii="Arial" w:cs="Arial" w:eastAsia="Arial" w:hAnsi="Arial"/>
                <w:sz w:val="15"/>
                <w:szCs w:val="15"/>
                <w:color w:val="auto"/>
              </w:rPr>
              <w:t>(14,602)</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right"/>
              <w:ind w:right="64"/>
              <w:spacing w:after="0"/>
              <w:rPr>
                <w:sz w:val="20"/>
                <w:szCs w:val="20"/>
                <w:color w:val="auto"/>
              </w:rPr>
            </w:pPr>
            <w:r>
              <w:rPr>
                <w:rFonts w:ascii="Arial" w:cs="Arial" w:eastAsia="Arial" w:hAnsi="Arial"/>
                <w:sz w:val="15"/>
                <w:szCs w:val="15"/>
                <w:color w:val="auto"/>
              </w:rPr>
              <w:t>42,824</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jc w:val="right"/>
              <w:ind w:right="44"/>
              <w:spacing w:after="0"/>
              <w:rPr>
                <w:sz w:val="20"/>
                <w:szCs w:val="20"/>
                <w:color w:val="auto"/>
              </w:rPr>
            </w:pPr>
            <w:r>
              <w:rPr>
                <w:rFonts w:ascii="Arial" w:cs="Arial" w:eastAsia="Arial" w:hAnsi="Arial"/>
                <w:sz w:val="15"/>
                <w:szCs w:val="15"/>
                <w:color w:val="auto"/>
              </w:rPr>
              <w:t>83,006</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jc w:val="right"/>
              <w:ind w:right="44"/>
              <w:spacing w:after="0"/>
              <w:rPr>
                <w:sz w:val="20"/>
                <w:szCs w:val="20"/>
                <w:color w:val="auto"/>
              </w:rPr>
            </w:pPr>
            <w:r>
              <w:rPr>
                <w:rFonts w:ascii="Arial" w:cs="Arial" w:eastAsia="Arial" w:hAnsi="Arial"/>
                <w:sz w:val="15"/>
                <w:szCs w:val="15"/>
                <w:color w:val="auto"/>
              </w:rPr>
              <w:t>(7,430)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ind w:right="64"/>
              <w:spacing w:after="0"/>
              <w:rPr>
                <w:sz w:val="20"/>
                <w:szCs w:val="20"/>
                <w:color w:val="auto"/>
              </w:rPr>
            </w:pPr>
            <w:r>
              <w:rPr>
                <w:rFonts w:ascii="Arial" w:cs="Arial" w:eastAsia="Arial" w:hAnsi="Arial"/>
                <w:sz w:val="15"/>
                <w:szCs w:val="15"/>
                <w:color w:val="auto"/>
              </w:rPr>
              <w:t>75,576</w:t>
            </w:r>
          </w:p>
        </w:tc>
        <w:tc>
          <w:tcPr>
            <w:tcW w:w="0" w:type="dxa"/>
            <w:vAlign w:val="bottom"/>
          </w:tcPr>
          <w:p>
            <w:pPr>
              <w:spacing w:after="0"/>
              <w:rPr>
                <w:sz w:val="1"/>
                <w:szCs w:val="1"/>
                <w:color w:val="auto"/>
              </w:rPr>
            </w:pPr>
          </w:p>
        </w:tc>
      </w:tr>
      <w:tr>
        <w:trPr>
          <w:trHeight w:val="220"/>
        </w:trPr>
        <w:tc>
          <w:tcPr>
            <w:tcW w:w="4360" w:type="dxa"/>
            <w:vAlign w:val="bottom"/>
            <w:shd w:val="clear" w:color="auto" w:fill="CCEEFF"/>
          </w:tcPr>
          <w:p>
            <w:pPr>
              <w:ind w:left="340"/>
              <w:spacing w:after="0"/>
              <w:rPr>
                <w:sz w:val="20"/>
                <w:szCs w:val="20"/>
                <w:color w:val="auto"/>
              </w:rPr>
            </w:pPr>
            <w:r>
              <w:rPr>
                <w:rFonts w:ascii="Arial" w:cs="Arial" w:eastAsia="Arial" w:hAnsi="Arial"/>
                <w:sz w:val="15"/>
                <w:szCs w:val="15"/>
                <w:color w:val="auto"/>
              </w:rPr>
              <w:t>Less: Preferred stock distribution</w:t>
            </w:r>
          </w:p>
        </w:tc>
        <w:tc>
          <w:tcPr>
            <w:tcW w:w="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64"/>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ind w:right="64"/>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64"/>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rPr>
              <w:t>860</w:t>
            </w:r>
          </w:p>
        </w:tc>
        <w:tc>
          <w:tcPr>
            <w:tcW w:w="2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ind w:right="84"/>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64"/>
              <w:spacing w:after="0"/>
              <w:rPr>
                <w:sz w:val="20"/>
                <w:szCs w:val="20"/>
                <w:color w:val="auto"/>
              </w:rPr>
            </w:pPr>
            <w:r>
              <w:rPr>
                <w:rFonts w:ascii="Arial" w:cs="Arial" w:eastAsia="Arial" w:hAnsi="Arial"/>
                <w:sz w:val="15"/>
                <w:szCs w:val="15"/>
                <w:color w:val="auto"/>
              </w:rPr>
              <w:t>860</w:t>
            </w:r>
          </w:p>
        </w:tc>
        <w:tc>
          <w:tcPr>
            <w:tcW w:w="0" w:type="dxa"/>
            <w:vAlign w:val="bottom"/>
          </w:tcPr>
          <w:p>
            <w:pPr>
              <w:spacing w:after="0"/>
              <w:rPr>
                <w:sz w:val="1"/>
                <w:szCs w:val="1"/>
                <w:color w:val="auto"/>
              </w:rPr>
            </w:pPr>
          </w:p>
        </w:tc>
      </w:tr>
      <w:tr>
        <w:trPr>
          <w:trHeight w:val="152"/>
        </w:trPr>
        <w:tc>
          <w:tcPr>
            <w:tcW w:w="4360" w:type="dxa"/>
            <w:vAlign w:val="bottom"/>
          </w:tcPr>
          <w:p>
            <w:pPr>
              <w:ind w:left="120"/>
              <w:spacing w:after="0" w:line="152" w:lineRule="exact"/>
              <w:rPr>
                <w:sz w:val="20"/>
                <w:szCs w:val="20"/>
                <w:color w:val="auto"/>
              </w:rPr>
            </w:pPr>
            <w:r>
              <w:rPr>
                <w:rFonts w:ascii="Arial" w:cs="Arial" w:eastAsia="Arial" w:hAnsi="Arial"/>
                <w:sz w:val="15"/>
                <w:szCs w:val="15"/>
                <w:b w:val="1"/>
                <w:bCs w:val="1"/>
                <w:color w:val="auto"/>
              </w:rPr>
              <w:t>Net Income / (Loss) Attributable to Sun Communities, Inc.</w:t>
            </w:r>
          </w:p>
        </w:tc>
        <w:tc>
          <w:tcPr>
            <w:tcW w:w="8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vMerge w:val="restart"/>
          </w:tcPr>
          <w:p>
            <w:pPr>
              <w:jc w:val="right"/>
              <w:ind w:right="64"/>
              <w:spacing w:after="0"/>
              <w:rPr>
                <w:sz w:val="20"/>
                <w:szCs w:val="20"/>
                <w:color w:val="auto"/>
              </w:rPr>
            </w:pPr>
            <w:r>
              <w:rPr>
                <w:rFonts w:ascii="Arial" w:cs="Arial" w:eastAsia="Arial" w:hAnsi="Arial"/>
                <w:sz w:val="15"/>
                <w:szCs w:val="15"/>
                <w:color w:val="auto"/>
              </w:rPr>
              <w:t>57,426</w:t>
            </w:r>
          </w:p>
        </w:tc>
        <w:tc>
          <w:tcPr>
            <w:tcW w:w="100" w:type="dxa"/>
            <w:vAlign w:val="bottom"/>
          </w:tcPr>
          <w:p>
            <w:pPr>
              <w:spacing w:after="0"/>
              <w:rPr>
                <w:sz w:val="13"/>
                <w:szCs w:val="13"/>
                <w:color w:val="auto"/>
              </w:rPr>
            </w:pPr>
          </w:p>
        </w:tc>
        <w:tc>
          <w:tcPr>
            <w:tcW w:w="200" w:type="dxa"/>
            <w:vAlign w:val="bottom"/>
            <w:vMerge w:val="restart"/>
          </w:tcPr>
          <w:p>
            <w:pPr>
              <w:ind w:left="20"/>
              <w:spacing w:after="0"/>
              <w:rPr>
                <w:sz w:val="20"/>
                <w:szCs w:val="20"/>
                <w:color w:val="auto"/>
              </w:rPr>
            </w:pPr>
            <w:r>
              <w:rPr>
                <w:rFonts w:ascii="Arial" w:cs="Arial" w:eastAsia="Arial" w:hAnsi="Arial"/>
                <w:sz w:val="15"/>
                <w:szCs w:val="15"/>
                <w:color w:val="auto"/>
              </w:rPr>
              <w:t>$</w:t>
            </w:r>
          </w:p>
        </w:tc>
        <w:tc>
          <w:tcPr>
            <w:tcW w:w="720" w:type="dxa"/>
            <w:vAlign w:val="bottom"/>
            <w:vMerge w:val="restart"/>
          </w:tcPr>
          <w:p>
            <w:pPr>
              <w:jc w:val="right"/>
              <w:ind w:right="24"/>
              <w:spacing w:after="0"/>
              <w:rPr>
                <w:sz w:val="20"/>
                <w:szCs w:val="20"/>
                <w:color w:val="auto"/>
              </w:rPr>
            </w:pPr>
            <w:r>
              <w:rPr>
                <w:rFonts w:ascii="Arial" w:cs="Arial" w:eastAsia="Arial" w:hAnsi="Arial"/>
                <w:sz w:val="15"/>
                <w:szCs w:val="15"/>
                <w:color w:val="auto"/>
              </w:rPr>
              <w:t>(14,602)</w:t>
            </w:r>
          </w:p>
        </w:tc>
        <w:tc>
          <w:tcPr>
            <w:tcW w:w="120" w:type="dxa"/>
            <w:vAlign w:val="bottom"/>
          </w:tcPr>
          <w:p>
            <w:pPr>
              <w:spacing w:after="0"/>
              <w:rPr>
                <w:sz w:val="13"/>
                <w:szCs w:val="13"/>
                <w:color w:val="auto"/>
              </w:rPr>
            </w:pPr>
          </w:p>
        </w:tc>
        <w:tc>
          <w:tcPr>
            <w:tcW w:w="100" w:type="dxa"/>
            <w:vAlign w:val="bottom"/>
            <w:vMerge w:val="restart"/>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vMerge w:val="restart"/>
          </w:tcPr>
          <w:p>
            <w:pPr>
              <w:jc w:val="right"/>
              <w:ind w:right="64"/>
              <w:spacing w:after="0"/>
              <w:rPr>
                <w:sz w:val="20"/>
                <w:szCs w:val="20"/>
                <w:color w:val="auto"/>
              </w:rPr>
            </w:pPr>
            <w:r>
              <w:rPr>
                <w:rFonts w:ascii="Arial" w:cs="Arial" w:eastAsia="Arial" w:hAnsi="Arial"/>
                <w:sz w:val="15"/>
                <w:szCs w:val="15"/>
                <w:color w:val="auto"/>
              </w:rPr>
              <w:t>42,824</w:t>
            </w:r>
          </w:p>
        </w:tc>
        <w:tc>
          <w:tcPr>
            <w:tcW w:w="220" w:type="dxa"/>
            <w:vAlign w:val="bottom"/>
          </w:tcPr>
          <w:p>
            <w:pPr>
              <w:spacing w:after="0"/>
              <w:rPr>
                <w:sz w:val="13"/>
                <w:szCs w:val="13"/>
                <w:color w:val="auto"/>
              </w:rPr>
            </w:pPr>
          </w:p>
        </w:tc>
        <w:tc>
          <w:tcPr>
            <w:tcW w:w="140" w:type="dxa"/>
            <w:vAlign w:val="bottom"/>
            <w:vMerge w:val="restart"/>
          </w:tcPr>
          <w:p>
            <w:pPr>
              <w:jc w:val="right"/>
              <w:spacing w:after="0"/>
              <w:rPr>
                <w:sz w:val="20"/>
                <w:szCs w:val="20"/>
                <w:color w:val="auto"/>
              </w:rPr>
            </w:pPr>
            <w:r>
              <w:rPr>
                <w:rFonts w:ascii="Arial" w:cs="Arial" w:eastAsia="Arial" w:hAnsi="Arial"/>
                <w:sz w:val="15"/>
                <w:szCs w:val="15"/>
                <w:color w:val="auto"/>
                <w:w w:val="95"/>
              </w:rPr>
              <w:t>$</w:t>
            </w:r>
          </w:p>
        </w:tc>
        <w:tc>
          <w:tcPr>
            <w:tcW w:w="880" w:type="dxa"/>
            <w:vAlign w:val="bottom"/>
            <w:vMerge w:val="restart"/>
          </w:tcPr>
          <w:p>
            <w:pPr>
              <w:jc w:val="right"/>
              <w:ind w:right="44"/>
              <w:spacing w:after="0"/>
              <w:rPr>
                <w:sz w:val="20"/>
                <w:szCs w:val="20"/>
                <w:color w:val="auto"/>
              </w:rPr>
            </w:pPr>
            <w:r>
              <w:rPr>
                <w:rFonts w:ascii="Arial" w:cs="Arial" w:eastAsia="Arial" w:hAnsi="Arial"/>
                <w:sz w:val="15"/>
                <w:szCs w:val="15"/>
                <w:color w:val="auto"/>
              </w:rPr>
              <w:t>82,146</w:t>
            </w:r>
          </w:p>
        </w:tc>
        <w:tc>
          <w:tcPr>
            <w:tcW w:w="20" w:type="dxa"/>
            <w:vAlign w:val="bottom"/>
            <w:vMerge w:val="restart"/>
          </w:tcPr>
          <w:p>
            <w:pPr>
              <w:spacing w:after="0"/>
              <w:rPr>
                <w:sz w:val="13"/>
                <w:szCs w:val="13"/>
                <w:color w:val="auto"/>
              </w:rPr>
            </w:pPr>
          </w:p>
        </w:tc>
        <w:tc>
          <w:tcPr>
            <w:tcW w:w="120" w:type="dxa"/>
            <w:vAlign w:val="bottom"/>
            <w:vMerge w:val="restart"/>
          </w:tcPr>
          <w:p>
            <w:pPr>
              <w:spacing w:after="0"/>
              <w:rPr>
                <w:sz w:val="13"/>
                <w:szCs w:val="13"/>
                <w:color w:val="auto"/>
              </w:rPr>
            </w:pPr>
          </w:p>
        </w:tc>
        <w:tc>
          <w:tcPr>
            <w:tcW w:w="180" w:type="dxa"/>
            <w:vAlign w:val="bottom"/>
            <w:vMerge w:val="restart"/>
          </w:tcPr>
          <w:p>
            <w:pPr>
              <w:jc w:val="right"/>
              <w:ind w:right="24"/>
              <w:spacing w:after="0"/>
              <w:rPr>
                <w:sz w:val="20"/>
                <w:szCs w:val="20"/>
                <w:color w:val="auto"/>
              </w:rPr>
            </w:pPr>
            <w:r>
              <w:rPr>
                <w:rFonts w:ascii="Arial" w:cs="Arial" w:eastAsia="Arial" w:hAnsi="Arial"/>
                <w:sz w:val="15"/>
                <w:szCs w:val="15"/>
                <w:color w:val="auto"/>
                <w:w w:val="71"/>
              </w:rPr>
              <w:t>$</w:t>
            </w:r>
          </w:p>
        </w:tc>
        <w:tc>
          <w:tcPr>
            <w:tcW w:w="740" w:type="dxa"/>
            <w:vAlign w:val="bottom"/>
            <w:vMerge w:val="restart"/>
          </w:tcPr>
          <w:p>
            <w:pPr>
              <w:jc w:val="right"/>
              <w:ind w:right="44"/>
              <w:spacing w:after="0"/>
              <w:rPr>
                <w:sz w:val="20"/>
                <w:szCs w:val="20"/>
                <w:color w:val="auto"/>
              </w:rPr>
            </w:pPr>
            <w:r>
              <w:rPr>
                <w:rFonts w:ascii="Arial" w:cs="Arial" w:eastAsia="Arial" w:hAnsi="Arial"/>
                <w:sz w:val="15"/>
                <w:szCs w:val="15"/>
                <w:color w:val="auto"/>
              </w:rPr>
              <w:t>(7,430)</w:t>
            </w:r>
          </w:p>
        </w:tc>
        <w:tc>
          <w:tcPr>
            <w:tcW w:w="100" w:type="dxa"/>
            <w:vAlign w:val="bottom"/>
          </w:tcPr>
          <w:p>
            <w:pPr>
              <w:spacing w:after="0"/>
              <w:rPr>
                <w:sz w:val="13"/>
                <w:szCs w:val="13"/>
                <w:color w:val="auto"/>
              </w:rPr>
            </w:pPr>
          </w:p>
        </w:tc>
        <w:tc>
          <w:tcPr>
            <w:tcW w:w="120" w:type="dxa"/>
            <w:vAlign w:val="bottom"/>
            <w:vMerge w:val="restart"/>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vMerge w:val="restart"/>
          </w:tcPr>
          <w:p>
            <w:pPr>
              <w:jc w:val="right"/>
              <w:ind w:right="64"/>
              <w:spacing w:after="0"/>
              <w:rPr>
                <w:sz w:val="20"/>
                <w:szCs w:val="20"/>
                <w:color w:val="auto"/>
              </w:rPr>
            </w:pPr>
            <w:r>
              <w:rPr>
                <w:rFonts w:ascii="Arial" w:cs="Arial" w:eastAsia="Arial" w:hAnsi="Arial"/>
                <w:sz w:val="15"/>
                <w:szCs w:val="15"/>
                <w:color w:val="auto"/>
              </w:rPr>
              <w:t>74,716</w:t>
            </w:r>
          </w:p>
        </w:tc>
        <w:tc>
          <w:tcPr>
            <w:tcW w:w="0" w:type="dxa"/>
            <w:vAlign w:val="bottom"/>
          </w:tcPr>
          <w:p>
            <w:pPr>
              <w:spacing w:after="0"/>
              <w:rPr>
                <w:sz w:val="1"/>
                <w:szCs w:val="1"/>
                <w:color w:val="auto"/>
              </w:rPr>
            </w:pPr>
          </w:p>
        </w:tc>
      </w:tr>
      <w:tr>
        <w:trPr>
          <w:trHeight w:val="184"/>
        </w:trPr>
        <w:tc>
          <w:tcPr>
            <w:tcW w:w="4360" w:type="dxa"/>
            <w:vAlign w:val="bottom"/>
          </w:tcPr>
          <w:p>
            <w:pPr>
              <w:ind w:left="120"/>
              <w:spacing w:after="0"/>
              <w:rPr>
                <w:sz w:val="20"/>
                <w:szCs w:val="20"/>
                <w:color w:val="auto"/>
              </w:rPr>
            </w:pPr>
            <w:r>
              <w:rPr>
                <w:rFonts w:ascii="Arial" w:cs="Arial" w:eastAsia="Arial" w:hAnsi="Arial"/>
                <w:sz w:val="15"/>
                <w:szCs w:val="15"/>
                <w:b w:val="1"/>
                <w:bCs w:val="1"/>
                <w:color w:val="auto"/>
              </w:rPr>
              <w:t>Common Stockholders</w:t>
            </w:r>
          </w:p>
        </w:tc>
        <w:tc>
          <w:tcPr>
            <w:tcW w:w="80" w:type="dxa"/>
            <w:vAlign w:val="bottom"/>
            <w:tcBorders>
              <w:bottom w:val="single" w:sz="8" w:color="auto"/>
            </w:tcBorders>
            <w:vMerge w:val="continue"/>
          </w:tcPr>
          <w:p>
            <w:pPr>
              <w:spacing w:after="0"/>
              <w:rPr>
                <w:sz w:val="15"/>
                <w:szCs w:val="15"/>
                <w:color w:val="auto"/>
              </w:rPr>
            </w:pPr>
          </w:p>
        </w:tc>
        <w:tc>
          <w:tcPr>
            <w:tcW w:w="102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Borders>
              <w:bottom w:val="single" w:sz="8" w:color="auto"/>
            </w:tcBorders>
            <w:vMerge w:val="continue"/>
          </w:tcPr>
          <w:p>
            <w:pPr>
              <w:spacing w:after="0"/>
              <w:rPr>
                <w:sz w:val="15"/>
                <w:szCs w:val="15"/>
                <w:color w:val="auto"/>
              </w:rPr>
            </w:pPr>
          </w:p>
        </w:tc>
        <w:tc>
          <w:tcPr>
            <w:tcW w:w="72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Borders>
              <w:bottom w:val="single" w:sz="8" w:color="auto"/>
            </w:tcBorders>
            <w:vMerge w:val="continue"/>
          </w:tcPr>
          <w:p>
            <w:pPr>
              <w:spacing w:after="0"/>
              <w:rPr>
                <w:sz w:val="15"/>
                <w:szCs w:val="15"/>
                <w:color w:val="auto"/>
              </w:rPr>
            </w:pPr>
          </w:p>
        </w:tc>
        <w:tc>
          <w:tcPr>
            <w:tcW w:w="1020" w:type="dxa"/>
            <w:vAlign w:val="bottom"/>
            <w:tcBorders>
              <w:bottom w:val="single" w:sz="8" w:color="auto"/>
            </w:tcBorders>
            <w:vMerge w:val="continue"/>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Borders>
              <w:bottom w:val="single" w:sz="8" w:color="auto"/>
            </w:tcBorders>
            <w:vMerge w:val="continue"/>
          </w:tcPr>
          <w:p>
            <w:pPr>
              <w:spacing w:after="0"/>
              <w:rPr>
                <w:sz w:val="15"/>
                <w:szCs w:val="15"/>
                <w:color w:val="auto"/>
              </w:rPr>
            </w:pPr>
          </w:p>
        </w:tc>
        <w:tc>
          <w:tcPr>
            <w:tcW w:w="880" w:type="dxa"/>
            <w:vAlign w:val="bottom"/>
            <w:tcBorders>
              <w:bottom w:val="single" w:sz="8" w:color="auto"/>
            </w:tcBorders>
            <w:vMerge w:val="continue"/>
          </w:tcPr>
          <w:p>
            <w:pPr>
              <w:spacing w:after="0"/>
              <w:rPr>
                <w:sz w:val="15"/>
                <w:szCs w:val="15"/>
                <w:color w:val="auto"/>
              </w:rPr>
            </w:pPr>
          </w:p>
        </w:tc>
        <w:tc>
          <w:tcPr>
            <w:tcW w:w="20" w:type="dxa"/>
            <w:vAlign w:val="bottom"/>
            <w:tcBorders>
              <w:bottom w:val="single" w:sz="8" w:color="auto"/>
            </w:tcBorders>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180" w:type="dxa"/>
            <w:vAlign w:val="bottom"/>
            <w:tcBorders>
              <w:bottom w:val="single" w:sz="8" w:color="auto"/>
            </w:tcBorders>
            <w:vMerge w:val="continue"/>
          </w:tcPr>
          <w:p>
            <w:pPr>
              <w:spacing w:after="0"/>
              <w:rPr>
                <w:sz w:val="15"/>
                <w:szCs w:val="15"/>
                <w:color w:val="auto"/>
              </w:rPr>
            </w:pPr>
          </w:p>
        </w:tc>
        <w:tc>
          <w:tcPr>
            <w:tcW w:w="74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bottom w:val="single" w:sz="8" w:color="auto"/>
            </w:tcBorders>
            <w:vMerge w:val="continue"/>
          </w:tcPr>
          <w:p>
            <w:pPr>
              <w:spacing w:after="0"/>
              <w:rPr>
                <w:sz w:val="15"/>
                <w:szCs w:val="15"/>
                <w:color w:val="auto"/>
              </w:rPr>
            </w:pPr>
          </w:p>
        </w:tc>
        <w:tc>
          <w:tcPr>
            <w:tcW w:w="100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84"/>
        </w:trPr>
        <w:tc>
          <w:tcPr>
            <w:tcW w:w="436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gridSpan w:val="3"/>
          </w:tcPr>
          <w:p>
            <w:pPr>
              <w:ind w:left="40"/>
              <w:spacing w:after="0"/>
              <w:rPr>
                <w:sz w:val="20"/>
                <w:szCs w:val="20"/>
                <w:color w:val="auto"/>
              </w:rPr>
            </w:pPr>
            <w:r>
              <w:rPr>
                <w:rFonts w:ascii="Arial" w:cs="Arial" w:eastAsia="Arial" w:hAnsi="Arial"/>
                <w:sz w:val="15"/>
                <w:szCs w:val="15"/>
                <w:b w:val="1"/>
                <w:bCs w:val="1"/>
                <w:color w:val="auto"/>
              </w:rPr>
              <w:t>June 30, 2020</w:t>
            </w: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gridSpan w:val="6"/>
          </w:tcPr>
          <w:p>
            <w:pPr>
              <w:jc w:val="right"/>
              <w:spacing w:after="0"/>
              <w:rPr>
                <w:sz w:val="20"/>
                <w:szCs w:val="20"/>
                <w:color w:val="auto"/>
              </w:rPr>
            </w:pPr>
            <w:r>
              <w:rPr>
                <w:rFonts w:ascii="Arial" w:cs="Arial" w:eastAsia="Arial" w:hAnsi="Arial"/>
                <w:sz w:val="15"/>
                <w:szCs w:val="15"/>
                <w:b w:val="1"/>
                <w:bCs w:val="1"/>
                <w:color w:val="auto"/>
                <w:w w:val="91"/>
              </w:rPr>
              <w:t>December 31, 2019</w:t>
            </w:r>
          </w:p>
        </w:tc>
        <w:tc>
          <w:tcPr>
            <w:tcW w:w="10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4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2"/>
          </w:tcPr>
          <w:p>
            <w:pPr>
              <w:jc w:val="center"/>
              <w:ind w:right="200"/>
              <w:spacing w:after="0" w:line="169" w:lineRule="exact"/>
              <w:rPr>
                <w:sz w:val="20"/>
                <w:szCs w:val="20"/>
                <w:color w:val="auto"/>
              </w:rPr>
            </w:pPr>
            <w:r>
              <w:rPr>
                <w:rFonts w:ascii="Arial" w:cs="Arial" w:eastAsia="Arial" w:hAnsi="Arial"/>
                <w:sz w:val="15"/>
                <w:szCs w:val="15"/>
                <w:b w:val="1"/>
                <w:bCs w:val="1"/>
                <w:color w:val="auto"/>
                <w:w w:val="94"/>
              </w:rPr>
              <w:t>Real Property</w:t>
            </w:r>
          </w:p>
        </w:tc>
        <w:tc>
          <w:tcPr>
            <w:tcW w:w="1040" w:type="dxa"/>
            <w:vAlign w:val="bottom"/>
            <w:gridSpan w:val="3"/>
          </w:tcPr>
          <w:p>
            <w:pPr>
              <w:ind w:left="80"/>
              <w:spacing w:after="0" w:line="169" w:lineRule="exact"/>
              <w:rPr>
                <w:sz w:val="20"/>
                <w:szCs w:val="20"/>
                <w:color w:val="auto"/>
              </w:rPr>
            </w:pPr>
            <w:r>
              <w:rPr>
                <w:rFonts w:ascii="Arial" w:cs="Arial" w:eastAsia="Arial" w:hAnsi="Arial"/>
                <w:sz w:val="15"/>
                <w:szCs w:val="15"/>
                <w:b w:val="1"/>
                <w:bCs w:val="1"/>
                <w:color w:val="auto"/>
              </w:rPr>
              <w:t>Home Sales</w:t>
            </w: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gridSpan w:val="2"/>
          </w:tcPr>
          <w:p>
            <w:pPr>
              <w:jc w:val="center"/>
              <w:spacing w:after="0" w:line="169" w:lineRule="exact"/>
              <w:rPr>
                <w:sz w:val="20"/>
                <w:szCs w:val="20"/>
                <w:color w:val="auto"/>
              </w:rPr>
            </w:pPr>
            <w:r>
              <w:rPr>
                <w:rFonts w:ascii="Arial" w:cs="Arial" w:eastAsia="Arial" w:hAnsi="Arial"/>
                <w:sz w:val="15"/>
                <w:szCs w:val="15"/>
                <w:b w:val="1"/>
                <w:bCs w:val="1"/>
                <w:color w:val="auto"/>
                <w:w w:val="94"/>
              </w:rPr>
              <w:t>Real Property</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3"/>
          </w:tcPr>
          <w:p>
            <w:pPr>
              <w:ind w:left="80"/>
              <w:spacing w:after="0" w:line="169" w:lineRule="exact"/>
              <w:rPr>
                <w:sz w:val="20"/>
                <w:szCs w:val="20"/>
                <w:color w:val="auto"/>
              </w:rPr>
            </w:pPr>
            <w:r>
              <w:rPr>
                <w:rFonts w:ascii="Arial" w:cs="Arial" w:eastAsia="Arial" w:hAnsi="Arial"/>
                <w:sz w:val="15"/>
                <w:szCs w:val="15"/>
                <w:b w:val="1"/>
                <w:bCs w:val="1"/>
                <w:color w:val="auto"/>
              </w:rPr>
              <w:t>Home Sales</w:t>
            </w: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0"/>
        </w:trPr>
        <w:tc>
          <w:tcPr>
            <w:tcW w:w="4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gridSpan w:val="2"/>
          </w:tcPr>
          <w:p>
            <w:pPr>
              <w:jc w:val="center"/>
              <w:ind w:right="180"/>
              <w:spacing w:after="0"/>
              <w:rPr>
                <w:sz w:val="20"/>
                <w:szCs w:val="20"/>
                <w:color w:val="auto"/>
              </w:rPr>
            </w:pPr>
            <w:r>
              <w:rPr>
                <w:rFonts w:ascii="Arial" w:cs="Arial" w:eastAsia="Arial" w:hAnsi="Arial"/>
                <w:sz w:val="15"/>
                <w:szCs w:val="15"/>
                <w:b w:val="1"/>
                <w:bCs w:val="1"/>
                <w:color w:val="auto"/>
                <w:w w:val="93"/>
              </w:rPr>
              <w:t>Operations</w:t>
            </w:r>
          </w:p>
        </w:tc>
        <w:tc>
          <w:tcPr>
            <w:tcW w:w="1040" w:type="dxa"/>
            <w:vAlign w:val="bottom"/>
            <w:gridSpan w:val="3"/>
          </w:tcPr>
          <w:p>
            <w:pPr>
              <w:ind w:left="80"/>
              <w:spacing w:after="0"/>
              <w:rPr>
                <w:sz w:val="20"/>
                <w:szCs w:val="20"/>
                <w:color w:val="auto"/>
              </w:rPr>
            </w:pPr>
            <w:r>
              <w:rPr>
                <w:rFonts w:ascii="Arial" w:cs="Arial" w:eastAsia="Arial" w:hAnsi="Arial"/>
                <w:sz w:val="15"/>
                <w:szCs w:val="15"/>
                <w:b w:val="1"/>
                <w:bCs w:val="1"/>
                <w:color w:val="auto"/>
              </w:rPr>
              <w:t>and Rentals</w:t>
            </w:r>
          </w:p>
        </w:tc>
        <w:tc>
          <w:tcPr>
            <w:tcW w:w="100" w:type="dxa"/>
            <w:vAlign w:val="bottom"/>
          </w:tcPr>
          <w:p>
            <w:pPr>
              <w:spacing w:after="0"/>
              <w:rPr>
                <w:sz w:val="17"/>
                <w:szCs w:val="17"/>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5"/>
                <w:szCs w:val="15"/>
                <w:b w:val="1"/>
                <w:bCs w:val="1"/>
                <w:color w:val="auto"/>
                <w:w w:val="90"/>
              </w:rPr>
              <w:t>Consolidated</w:t>
            </w:r>
          </w:p>
        </w:tc>
        <w:tc>
          <w:tcPr>
            <w:tcW w:w="140" w:type="dxa"/>
            <w:vAlign w:val="bottom"/>
          </w:tcPr>
          <w:p>
            <w:pPr>
              <w:spacing w:after="0"/>
              <w:rPr>
                <w:sz w:val="17"/>
                <w:szCs w:val="17"/>
                <w:color w:val="auto"/>
              </w:rPr>
            </w:pPr>
          </w:p>
        </w:tc>
        <w:tc>
          <w:tcPr>
            <w:tcW w:w="880" w:type="dxa"/>
            <w:vAlign w:val="bottom"/>
          </w:tcPr>
          <w:p>
            <w:pPr>
              <w:jc w:val="center"/>
              <w:ind w:right="24"/>
              <w:spacing w:after="0"/>
              <w:rPr>
                <w:sz w:val="20"/>
                <w:szCs w:val="20"/>
                <w:color w:val="auto"/>
              </w:rPr>
            </w:pPr>
            <w:r>
              <w:rPr>
                <w:rFonts w:ascii="Arial" w:cs="Arial" w:eastAsia="Arial" w:hAnsi="Arial"/>
                <w:sz w:val="15"/>
                <w:szCs w:val="15"/>
                <w:b w:val="1"/>
                <w:bCs w:val="1"/>
                <w:color w:val="auto"/>
                <w:w w:val="93"/>
              </w:rPr>
              <w:t>Operations</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3"/>
          </w:tcPr>
          <w:p>
            <w:pPr>
              <w:ind w:left="60"/>
              <w:spacing w:after="0"/>
              <w:rPr>
                <w:sz w:val="20"/>
                <w:szCs w:val="20"/>
                <w:color w:val="auto"/>
              </w:rPr>
            </w:pPr>
            <w:r>
              <w:rPr>
                <w:rFonts w:ascii="Arial" w:cs="Arial" w:eastAsia="Arial" w:hAnsi="Arial"/>
                <w:sz w:val="15"/>
                <w:szCs w:val="15"/>
                <w:b w:val="1"/>
                <w:bCs w:val="1"/>
                <w:color w:val="auto"/>
              </w:rPr>
              <w:t>and Rentals</w:t>
            </w:r>
          </w:p>
        </w:tc>
        <w:tc>
          <w:tcPr>
            <w:tcW w:w="120" w:type="dxa"/>
            <w:vAlign w:val="bottom"/>
          </w:tcPr>
          <w:p>
            <w:pPr>
              <w:spacing w:after="0"/>
              <w:rPr>
                <w:sz w:val="17"/>
                <w:szCs w:val="17"/>
                <w:color w:val="auto"/>
              </w:rPr>
            </w:pPr>
          </w:p>
        </w:tc>
        <w:tc>
          <w:tcPr>
            <w:tcW w:w="1000" w:type="dxa"/>
            <w:vAlign w:val="bottom"/>
          </w:tcPr>
          <w:p>
            <w:pPr>
              <w:jc w:val="right"/>
              <w:ind w:right="64"/>
              <w:spacing w:after="0"/>
              <w:rPr>
                <w:sz w:val="20"/>
                <w:szCs w:val="20"/>
                <w:color w:val="auto"/>
              </w:rPr>
            </w:pPr>
            <w:r>
              <w:rPr>
                <w:rFonts w:ascii="Arial" w:cs="Arial" w:eastAsia="Arial" w:hAnsi="Arial"/>
                <w:sz w:val="15"/>
                <w:szCs w:val="15"/>
                <w:b w:val="1"/>
                <w:bCs w:val="1"/>
                <w:color w:val="auto"/>
                <w:w w:val="88"/>
              </w:rPr>
              <w:t>Consolidated</w:t>
            </w:r>
          </w:p>
        </w:tc>
        <w:tc>
          <w:tcPr>
            <w:tcW w:w="0" w:type="dxa"/>
            <w:vAlign w:val="bottom"/>
          </w:tcPr>
          <w:p>
            <w:pPr>
              <w:spacing w:after="0"/>
              <w:rPr>
                <w:sz w:val="1"/>
                <w:szCs w:val="1"/>
                <w:color w:val="auto"/>
              </w:rPr>
            </w:pPr>
          </w:p>
        </w:tc>
      </w:tr>
      <w:tr>
        <w:trPr>
          <w:trHeight w:val="212"/>
        </w:trPr>
        <w:tc>
          <w:tcPr>
            <w:tcW w:w="4360" w:type="dxa"/>
            <w:vAlign w:val="bottom"/>
          </w:tcPr>
          <w:p>
            <w:pPr>
              <w:ind w:left="20"/>
              <w:spacing w:after="0"/>
              <w:rPr>
                <w:sz w:val="20"/>
                <w:szCs w:val="20"/>
                <w:color w:val="auto"/>
              </w:rPr>
            </w:pPr>
            <w:r>
              <w:rPr>
                <w:rFonts w:ascii="Arial" w:cs="Arial" w:eastAsia="Arial" w:hAnsi="Arial"/>
                <w:sz w:val="15"/>
                <w:szCs w:val="15"/>
                <w:b w:val="1"/>
                <w:bCs w:val="1"/>
                <w:color w:val="auto"/>
              </w:rPr>
              <w:t>Identifiable Assets</w:t>
            </w:r>
          </w:p>
        </w:tc>
        <w:tc>
          <w:tcPr>
            <w:tcW w:w="8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4360" w:type="dxa"/>
            <w:vAlign w:val="bottom"/>
            <w:shd w:val="clear" w:color="auto" w:fill="CCEEFF"/>
          </w:tcPr>
          <w:p>
            <w:pPr>
              <w:ind w:left="120"/>
              <w:spacing w:after="0"/>
              <w:rPr>
                <w:sz w:val="20"/>
                <w:szCs w:val="20"/>
                <w:color w:val="auto"/>
              </w:rPr>
            </w:pPr>
            <w:r>
              <w:rPr>
                <w:rFonts w:ascii="Arial" w:cs="Arial" w:eastAsia="Arial" w:hAnsi="Arial"/>
                <w:sz w:val="15"/>
                <w:szCs w:val="15"/>
                <w:color w:val="auto"/>
              </w:rPr>
              <w:t>Investment property, net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6,787,026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ind w:left="20"/>
              <w:spacing w:after="0"/>
              <w:rPr>
                <w:sz w:val="20"/>
                <w:szCs w:val="20"/>
                <w:color w:val="auto"/>
              </w:rPr>
            </w:pPr>
            <w:r>
              <w:rPr>
                <w:rFonts w:ascii="Arial" w:cs="Arial" w:eastAsia="Arial" w:hAnsi="Arial"/>
                <w:sz w:val="15"/>
                <w:szCs w:val="15"/>
                <w:color w:val="auto"/>
              </w:rPr>
              <w:t>$</w:t>
            </w:r>
          </w:p>
        </w:tc>
        <w:tc>
          <w:tcPr>
            <w:tcW w:w="72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610,493</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7,397,519</w:t>
            </w: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88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6,651,275</w:t>
            </w:r>
          </w:p>
        </w:tc>
        <w:tc>
          <w:tcPr>
            <w:tcW w:w="320" w:type="dxa"/>
            <w:vAlign w:val="bottom"/>
            <w:gridSpan w:val="3"/>
            <w:shd w:val="clear" w:color="auto" w:fill="CCEEFF"/>
          </w:tcPr>
          <w:p>
            <w:pPr>
              <w:jc w:val="right"/>
              <w:ind w:right="24"/>
              <w:spacing w:after="0"/>
              <w:rPr>
                <w:sz w:val="20"/>
                <w:szCs w:val="20"/>
                <w:color w:val="auto"/>
              </w:rPr>
            </w:pPr>
            <w:r>
              <w:rPr>
                <w:rFonts w:ascii="Arial" w:cs="Arial" w:eastAsia="Arial" w:hAnsi="Arial"/>
                <w:sz w:val="15"/>
                <w:szCs w:val="15"/>
                <w:color w:val="auto"/>
              </w:rPr>
              <w:t>$</w:t>
            </w:r>
          </w:p>
        </w:tc>
        <w:tc>
          <w:tcPr>
            <w:tcW w:w="74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rPr>
              <w:t>581,345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7,232,620</w:t>
            </w:r>
          </w:p>
        </w:tc>
        <w:tc>
          <w:tcPr>
            <w:tcW w:w="0" w:type="dxa"/>
            <w:vAlign w:val="bottom"/>
          </w:tcPr>
          <w:p>
            <w:pPr>
              <w:spacing w:after="0"/>
              <w:rPr>
                <w:sz w:val="1"/>
                <w:szCs w:val="1"/>
                <w:color w:val="auto"/>
              </w:rPr>
            </w:pPr>
          </w:p>
        </w:tc>
      </w:tr>
      <w:tr>
        <w:trPr>
          <w:trHeight w:val="212"/>
        </w:trPr>
        <w:tc>
          <w:tcPr>
            <w:tcW w:w="4360" w:type="dxa"/>
            <w:vAlign w:val="bottom"/>
          </w:tcPr>
          <w:p>
            <w:pPr>
              <w:ind w:left="120"/>
              <w:spacing w:after="0"/>
              <w:rPr>
                <w:sz w:val="20"/>
                <w:szCs w:val="20"/>
                <w:color w:val="auto"/>
              </w:rPr>
            </w:pPr>
            <w:r>
              <w:rPr>
                <w:rFonts w:ascii="Arial" w:cs="Arial" w:eastAsia="Arial" w:hAnsi="Arial"/>
                <w:sz w:val="15"/>
                <w:szCs w:val="15"/>
                <w:color w:val="auto"/>
              </w:rPr>
              <w:t>Cash, cash equivalents and restricted cash</w:t>
            </w:r>
          </w:p>
        </w:tc>
        <w:tc>
          <w:tcPr>
            <w:tcW w:w="80" w:type="dxa"/>
            <w:vAlign w:val="bottom"/>
          </w:tcPr>
          <w:p>
            <w:pPr>
              <w:spacing w:after="0"/>
              <w:rPr>
                <w:sz w:val="18"/>
                <w:szCs w:val="18"/>
                <w:color w:val="auto"/>
              </w:rPr>
            </w:pPr>
          </w:p>
        </w:tc>
        <w:tc>
          <w:tcPr>
            <w:tcW w:w="1020" w:type="dxa"/>
            <w:vAlign w:val="bottom"/>
          </w:tcPr>
          <w:p>
            <w:pPr>
              <w:jc w:val="right"/>
              <w:ind w:right="64"/>
              <w:spacing w:after="0"/>
              <w:rPr>
                <w:sz w:val="20"/>
                <w:szCs w:val="20"/>
                <w:color w:val="auto"/>
              </w:rPr>
            </w:pPr>
            <w:r>
              <w:rPr>
                <w:rFonts w:ascii="Arial" w:cs="Arial" w:eastAsia="Arial" w:hAnsi="Arial"/>
                <w:sz w:val="15"/>
                <w:szCs w:val="15"/>
                <w:color w:val="auto"/>
              </w:rPr>
              <w:t>336,793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ind w:right="64"/>
              <w:spacing w:after="0"/>
              <w:rPr>
                <w:sz w:val="20"/>
                <w:szCs w:val="20"/>
                <w:color w:val="auto"/>
              </w:rPr>
            </w:pPr>
            <w:r>
              <w:rPr>
                <w:rFonts w:ascii="Arial" w:cs="Arial" w:eastAsia="Arial" w:hAnsi="Arial"/>
                <w:sz w:val="15"/>
                <w:szCs w:val="15"/>
                <w:color w:val="auto"/>
              </w:rPr>
              <w:t>52,421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ind w:right="64"/>
              <w:spacing w:after="0"/>
              <w:rPr>
                <w:sz w:val="20"/>
                <w:szCs w:val="20"/>
                <w:color w:val="auto"/>
              </w:rPr>
            </w:pPr>
            <w:r>
              <w:rPr>
                <w:rFonts w:ascii="Arial" w:cs="Arial" w:eastAsia="Arial" w:hAnsi="Arial"/>
                <w:sz w:val="15"/>
                <w:szCs w:val="15"/>
                <w:color w:val="auto"/>
              </w:rPr>
              <w:t>389,214</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ind w:right="4"/>
              <w:spacing w:after="0"/>
              <w:rPr>
                <w:sz w:val="20"/>
                <w:szCs w:val="20"/>
                <w:color w:val="auto"/>
              </w:rPr>
            </w:pPr>
            <w:r>
              <w:rPr>
                <w:rFonts w:ascii="Arial" w:cs="Arial" w:eastAsia="Arial" w:hAnsi="Arial"/>
                <w:sz w:val="15"/>
                <w:szCs w:val="15"/>
                <w:color w:val="auto"/>
              </w:rPr>
              <w:t>(8,346)</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ind w:right="84"/>
              <w:spacing w:after="0"/>
              <w:rPr>
                <w:sz w:val="20"/>
                <w:szCs w:val="20"/>
                <w:color w:val="auto"/>
              </w:rPr>
            </w:pPr>
            <w:r>
              <w:rPr>
                <w:rFonts w:ascii="Arial" w:cs="Arial" w:eastAsia="Arial" w:hAnsi="Arial"/>
                <w:sz w:val="15"/>
                <w:szCs w:val="15"/>
                <w:color w:val="auto"/>
              </w:rPr>
              <w:t>43,176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ind w:right="64"/>
              <w:spacing w:after="0"/>
              <w:rPr>
                <w:sz w:val="20"/>
                <w:szCs w:val="20"/>
                <w:color w:val="auto"/>
              </w:rPr>
            </w:pPr>
            <w:r>
              <w:rPr>
                <w:rFonts w:ascii="Arial" w:cs="Arial" w:eastAsia="Arial" w:hAnsi="Arial"/>
                <w:sz w:val="15"/>
                <w:szCs w:val="15"/>
                <w:color w:val="auto"/>
              </w:rPr>
              <w:t>34,830</w:t>
            </w:r>
          </w:p>
        </w:tc>
        <w:tc>
          <w:tcPr>
            <w:tcW w:w="0" w:type="dxa"/>
            <w:vAlign w:val="bottom"/>
          </w:tcPr>
          <w:p>
            <w:pPr>
              <w:spacing w:after="0"/>
              <w:rPr>
                <w:sz w:val="1"/>
                <w:szCs w:val="1"/>
                <w:color w:val="auto"/>
              </w:rPr>
            </w:pPr>
          </w:p>
        </w:tc>
      </w:tr>
      <w:tr>
        <w:trPr>
          <w:trHeight w:val="220"/>
        </w:trPr>
        <w:tc>
          <w:tcPr>
            <w:tcW w:w="4360" w:type="dxa"/>
            <w:vAlign w:val="bottom"/>
            <w:shd w:val="clear" w:color="auto" w:fill="CCEEFF"/>
          </w:tcPr>
          <w:p>
            <w:pPr>
              <w:ind w:left="120"/>
              <w:spacing w:after="0"/>
              <w:rPr>
                <w:sz w:val="20"/>
                <w:szCs w:val="20"/>
                <w:color w:val="auto"/>
              </w:rPr>
            </w:pPr>
            <w:r>
              <w:rPr>
                <w:rFonts w:ascii="Arial" w:cs="Arial" w:eastAsia="Arial" w:hAnsi="Arial"/>
                <w:sz w:val="15"/>
                <w:szCs w:val="15"/>
                <w:color w:val="auto"/>
              </w:rPr>
              <w:t>Marketable securities</w:t>
            </w:r>
          </w:p>
        </w:tc>
        <w:tc>
          <w:tcPr>
            <w:tcW w:w="8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100,564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100,564</w:t>
            </w: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94,727</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94,727</w:t>
            </w:r>
          </w:p>
        </w:tc>
        <w:tc>
          <w:tcPr>
            <w:tcW w:w="0" w:type="dxa"/>
            <w:vAlign w:val="bottom"/>
          </w:tcPr>
          <w:p>
            <w:pPr>
              <w:spacing w:after="0"/>
              <w:rPr>
                <w:sz w:val="1"/>
                <w:szCs w:val="1"/>
                <w:color w:val="auto"/>
              </w:rPr>
            </w:pPr>
          </w:p>
        </w:tc>
      </w:tr>
      <w:tr>
        <w:trPr>
          <w:trHeight w:val="212"/>
        </w:trPr>
        <w:tc>
          <w:tcPr>
            <w:tcW w:w="4360" w:type="dxa"/>
            <w:vAlign w:val="bottom"/>
          </w:tcPr>
          <w:p>
            <w:pPr>
              <w:ind w:left="120"/>
              <w:spacing w:after="0"/>
              <w:rPr>
                <w:sz w:val="20"/>
                <w:szCs w:val="20"/>
                <w:color w:val="auto"/>
              </w:rPr>
            </w:pPr>
            <w:r>
              <w:rPr>
                <w:rFonts w:ascii="Arial" w:cs="Arial" w:eastAsia="Arial" w:hAnsi="Arial"/>
                <w:sz w:val="15"/>
                <w:szCs w:val="15"/>
                <w:color w:val="auto"/>
              </w:rPr>
              <w:t>Inventory of manufactured homes</w:t>
            </w:r>
          </w:p>
        </w:tc>
        <w:tc>
          <w:tcPr>
            <w:tcW w:w="8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8"/>
                <w:szCs w:val="18"/>
                <w:color w:val="auto"/>
              </w:rPr>
            </w:pPr>
          </w:p>
        </w:tc>
        <w:tc>
          <w:tcPr>
            <w:tcW w:w="720" w:type="dxa"/>
            <w:vAlign w:val="bottom"/>
          </w:tcPr>
          <w:p>
            <w:pPr>
              <w:jc w:val="right"/>
              <w:ind w:right="64"/>
              <w:spacing w:after="0"/>
              <w:rPr>
                <w:sz w:val="20"/>
                <w:szCs w:val="20"/>
                <w:color w:val="auto"/>
              </w:rPr>
            </w:pPr>
            <w:r>
              <w:rPr>
                <w:rFonts w:ascii="Arial" w:cs="Arial" w:eastAsia="Arial" w:hAnsi="Arial"/>
                <w:sz w:val="15"/>
                <w:szCs w:val="15"/>
                <w:color w:val="auto"/>
              </w:rPr>
              <w:t>58,744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ind w:right="64"/>
              <w:spacing w:after="0"/>
              <w:rPr>
                <w:sz w:val="20"/>
                <w:szCs w:val="20"/>
                <w:color w:val="auto"/>
              </w:rPr>
            </w:pPr>
            <w:r>
              <w:rPr>
                <w:rFonts w:ascii="Arial" w:cs="Arial" w:eastAsia="Arial" w:hAnsi="Arial"/>
                <w:sz w:val="15"/>
                <w:szCs w:val="15"/>
                <w:color w:val="auto"/>
              </w:rPr>
              <w:t>58,744</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ind w:right="84"/>
              <w:spacing w:after="0"/>
              <w:rPr>
                <w:sz w:val="20"/>
                <w:szCs w:val="20"/>
                <w:color w:val="auto"/>
              </w:rPr>
            </w:pPr>
            <w:r>
              <w:rPr>
                <w:rFonts w:ascii="Arial" w:cs="Arial" w:eastAsia="Arial" w:hAnsi="Arial"/>
                <w:sz w:val="15"/>
                <w:szCs w:val="15"/>
                <w:color w:val="auto"/>
              </w:rPr>
              <w:t>62,061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ind w:right="64"/>
              <w:spacing w:after="0"/>
              <w:rPr>
                <w:sz w:val="20"/>
                <w:szCs w:val="20"/>
                <w:color w:val="auto"/>
              </w:rPr>
            </w:pPr>
            <w:r>
              <w:rPr>
                <w:rFonts w:ascii="Arial" w:cs="Arial" w:eastAsia="Arial" w:hAnsi="Arial"/>
                <w:sz w:val="15"/>
                <w:szCs w:val="15"/>
                <w:color w:val="auto"/>
              </w:rPr>
              <w:t>62,061</w:t>
            </w:r>
          </w:p>
        </w:tc>
        <w:tc>
          <w:tcPr>
            <w:tcW w:w="0" w:type="dxa"/>
            <w:vAlign w:val="bottom"/>
          </w:tcPr>
          <w:p>
            <w:pPr>
              <w:spacing w:after="0"/>
              <w:rPr>
                <w:sz w:val="1"/>
                <w:szCs w:val="1"/>
                <w:color w:val="auto"/>
              </w:rPr>
            </w:pPr>
          </w:p>
        </w:tc>
      </w:tr>
      <w:tr>
        <w:trPr>
          <w:trHeight w:val="220"/>
        </w:trPr>
        <w:tc>
          <w:tcPr>
            <w:tcW w:w="4360" w:type="dxa"/>
            <w:vAlign w:val="bottom"/>
            <w:shd w:val="clear" w:color="auto" w:fill="CCEEFF"/>
          </w:tcPr>
          <w:p>
            <w:pPr>
              <w:ind w:left="120"/>
              <w:spacing w:after="0"/>
              <w:rPr>
                <w:sz w:val="20"/>
                <w:szCs w:val="20"/>
                <w:color w:val="auto"/>
              </w:rPr>
            </w:pPr>
            <w:r>
              <w:rPr>
                <w:rFonts w:ascii="Arial" w:cs="Arial" w:eastAsia="Arial" w:hAnsi="Arial"/>
                <w:sz w:val="15"/>
                <w:szCs w:val="15"/>
                <w:color w:val="auto"/>
              </w:rPr>
              <w:t>Notes and other receivables, net</w:t>
            </w:r>
          </w:p>
        </w:tc>
        <w:tc>
          <w:tcPr>
            <w:tcW w:w="8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165,976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14,415</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180,391</w:t>
            </w: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142,509</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rPr>
              <w:t>15,417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157,926</w:t>
            </w:r>
          </w:p>
        </w:tc>
        <w:tc>
          <w:tcPr>
            <w:tcW w:w="0" w:type="dxa"/>
            <w:vAlign w:val="bottom"/>
          </w:tcPr>
          <w:p>
            <w:pPr>
              <w:spacing w:after="0"/>
              <w:rPr>
                <w:sz w:val="1"/>
                <w:szCs w:val="1"/>
                <w:color w:val="auto"/>
              </w:rPr>
            </w:pPr>
          </w:p>
        </w:tc>
      </w:tr>
      <w:tr>
        <w:trPr>
          <w:trHeight w:val="212"/>
        </w:trPr>
        <w:tc>
          <w:tcPr>
            <w:tcW w:w="4360" w:type="dxa"/>
            <w:vAlign w:val="bottom"/>
            <w:tcBorders>
              <w:bottom w:val="single" w:sz="8" w:color="CCEEFF"/>
            </w:tcBorders>
          </w:tcPr>
          <w:p>
            <w:pPr>
              <w:ind w:left="120"/>
              <w:spacing w:after="0"/>
              <w:rPr>
                <w:sz w:val="20"/>
                <w:szCs w:val="20"/>
                <w:color w:val="auto"/>
              </w:rPr>
            </w:pPr>
            <w:r>
              <w:rPr>
                <w:rFonts w:ascii="Arial" w:cs="Arial" w:eastAsia="Arial" w:hAnsi="Arial"/>
                <w:sz w:val="15"/>
                <w:szCs w:val="15"/>
                <w:color w:val="auto"/>
              </w:rPr>
              <w:t>Other assets, net</w:t>
            </w:r>
          </w:p>
        </w:tc>
        <w:tc>
          <w:tcPr>
            <w:tcW w:w="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color w:val="auto"/>
              </w:rPr>
              <w:t>159,246</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color w:val="auto"/>
              </w:rPr>
              <w:t>62,981</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color w:val="auto"/>
              </w:rPr>
              <w:t>222,227</w:t>
            </w:r>
          </w:p>
        </w:tc>
        <w:tc>
          <w:tcPr>
            <w:tcW w:w="2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167,804</w:t>
            </w: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color w:val="auto"/>
              </w:rPr>
              <w:t>52,092</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color w:val="auto"/>
              </w:rPr>
              <w:t>219,896</w:t>
            </w:r>
          </w:p>
        </w:tc>
        <w:tc>
          <w:tcPr>
            <w:tcW w:w="0" w:type="dxa"/>
            <w:vAlign w:val="bottom"/>
          </w:tcPr>
          <w:p>
            <w:pPr>
              <w:spacing w:after="0"/>
              <w:rPr>
                <w:sz w:val="1"/>
                <w:szCs w:val="1"/>
                <w:color w:val="auto"/>
              </w:rPr>
            </w:pPr>
          </w:p>
        </w:tc>
      </w:tr>
      <w:tr>
        <w:trPr>
          <w:trHeight w:val="234"/>
        </w:trPr>
        <w:tc>
          <w:tcPr>
            <w:tcW w:w="4360" w:type="dxa"/>
            <w:vAlign w:val="bottom"/>
            <w:shd w:val="clear" w:color="auto" w:fill="CCEEFF"/>
          </w:tcPr>
          <w:p>
            <w:pPr>
              <w:ind w:left="220"/>
              <w:spacing w:after="0"/>
              <w:rPr>
                <w:sz w:val="20"/>
                <w:szCs w:val="20"/>
                <w:color w:val="auto"/>
              </w:rPr>
            </w:pPr>
            <w:r>
              <w:rPr>
                <w:rFonts w:ascii="Arial" w:cs="Arial" w:eastAsia="Arial" w:hAnsi="Arial"/>
                <w:sz w:val="15"/>
                <w:szCs w:val="15"/>
                <w:b w:val="1"/>
                <w:bCs w:val="1"/>
                <w:color w:val="auto"/>
              </w:rPr>
              <w:t>Total Assets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7,549,605</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ind w:left="20"/>
              <w:spacing w:after="0"/>
              <w:rPr>
                <w:sz w:val="20"/>
                <w:szCs w:val="20"/>
                <w:color w:val="auto"/>
              </w:rPr>
            </w:pPr>
            <w:r>
              <w:rPr>
                <w:rFonts w:ascii="Arial" w:cs="Arial" w:eastAsia="Arial" w:hAnsi="Arial"/>
                <w:sz w:val="15"/>
                <w:szCs w:val="15"/>
                <w:color w:val="auto"/>
              </w:rPr>
              <w:t>$</w:t>
            </w:r>
          </w:p>
        </w:tc>
        <w:tc>
          <w:tcPr>
            <w:tcW w:w="72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799,054</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8,348,659</w:t>
            </w: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88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7,047,969</w:t>
            </w:r>
          </w:p>
        </w:tc>
        <w:tc>
          <w:tcPr>
            <w:tcW w:w="320" w:type="dxa"/>
            <w:vAlign w:val="bottom"/>
            <w:gridSpan w:val="3"/>
            <w:shd w:val="clear" w:color="auto" w:fill="CCEEFF"/>
          </w:tcPr>
          <w:p>
            <w:pPr>
              <w:jc w:val="right"/>
              <w:ind w:right="24"/>
              <w:spacing w:after="0"/>
              <w:rPr>
                <w:sz w:val="20"/>
                <w:szCs w:val="20"/>
                <w:color w:val="auto"/>
              </w:rPr>
            </w:pPr>
            <w:r>
              <w:rPr>
                <w:rFonts w:ascii="Arial" w:cs="Arial" w:eastAsia="Arial" w:hAnsi="Arial"/>
                <w:sz w:val="15"/>
                <w:szCs w:val="15"/>
                <w:color w:val="auto"/>
              </w:rPr>
              <w:t>$</w:t>
            </w:r>
          </w:p>
        </w:tc>
        <w:tc>
          <w:tcPr>
            <w:tcW w:w="74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rPr>
              <w:t>754,091</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7,802,060</w:t>
            </w:r>
          </w:p>
        </w:tc>
        <w:tc>
          <w:tcPr>
            <w:tcW w:w="0" w:type="dxa"/>
            <w:vAlign w:val="bottom"/>
          </w:tcPr>
          <w:p>
            <w:pPr>
              <w:spacing w:after="0"/>
              <w:rPr>
                <w:sz w:val="1"/>
                <w:szCs w:val="1"/>
                <w:color w:val="auto"/>
              </w:rPr>
            </w:pP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26" w:name="page27"/>
    <w:bookmarkEnd w:id="26"/>
    <w:p>
      <w:pPr>
        <w:jc w:val="center"/>
        <w:spacing w:after="0"/>
        <w:rPr>
          <w:sz w:val="20"/>
          <w:szCs w:val="20"/>
          <w:color w:val="auto"/>
        </w:rPr>
      </w:pPr>
      <w:r>
        <w:rPr>
          <w:rFonts w:ascii="Arial" w:cs="Arial" w:eastAsia="Arial" w:hAnsi="Arial"/>
          <w:sz w:val="16"/>
          <w:szCs w:val="16"/>
          <w:b w:val="1"/>
          <w:bCs w:val="1"/>
          <w:color w:val="auto"/>
        </w:rPr>
        <w:t>SUN COMMUNITIES, INC.</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 -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269" w:lineRule="exact"/>
        <w:rPr>
          <w:sz w:val="20"/>
          <w:szCs w:val="20"/>
          <w:color w:val="auto"/>
        </w:rPr>
      </w:pPr>
    </w:p>
    <w:p>
      <w:pPr>
        <w:ind w:left="460" w:hanging="452"/>
        <w:spacing w:after="0"/>
        <w:tabs>
          <w:tab w:leader="none" w:pos="46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elected to be taxed as a real estate investment trust (“REIT”) pursuant to Section 856(c) of the Internal Revenue Code of 1986, as amended (“Code”). In order for us to qualify as a REIT, at least 95 percent of our gross income in any year must be derived from qualifying sources. In addition, a REIT must distribute annually at least 90 percent of its REIT taxable income (calculated without any deduction for dividends paid and excluding capital gain) to its stockholders and meet other tests.</w:t>
      </w:r>
    </w:p>
    <w:p>
      <w:pPr>
        <w:spacing w:after="0" w:line="214"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Qualification as a REIT involves the satisfaction of numerous requirements (on an annual and quarterly basis) established under highly technical and complex Code provisions for which there are limited judicial or administrative interpretations and involves the determination of various factual matters and circumstances not entirely within our control. In addition, frequent changes occur in the area of REIT taxation which requires us to continually monitor our tax status. We analyzed the various REIT tests and confirmed that we continued to qualify as a REIT for the quarter ended June 30, 2020.</w:t>
      </w:r>
    </w:p>
    <w:p>
      <w:pPr>
        <w:spacing w:after="0" w:line="18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As a REIT, we generally will not be subject to United States (“U.S.”) federal income taxes at the corporate level on the ordinary taxable income we distribute to our stockholders as dividends. If we fail to qualify as a REIT in any taxable year, our taxable income could be subject to U.S. federal income tax at regular corporate rates. Even if we qualify as a REIT, we may be subject to certain state and local income taxes as well as U.S. federal income and excise taxes on our undistributed income. In addition, taxable income from non-REIT activities managed through taxable REIT subsidiaries is subject to federal, state, and local income taxes. we are also subject to local income taxes in Canada as a result of the acquisition in 2016 of certain properties located in Canada. We do not provide for withholding taxes on our undistributed earnings from our Canadian subsidiaries as they are reinvested and will continue to be reinvested indefinitely outside of the U.S. However, we are subject to Australian withholding taxes on distributions from our investment in Ingenia Communities Group.</w:t>
      </w:r>
    </w:p>
    <w:p>
      <w:pPr>
        <w:spacing w:after="0" w:line="21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Deferred tax assets and liabilities reflect the impact of temporary differences between the amounts of assets and liabilities for financial reporting purposes and the basis of such assets and liabilities as measured by tax laws. Deferred tax assets are reduced, if necessary, by a valuation allowance to the amount where realization is more likely than not assured after considering all available evidence. Our temporary differences primarily relate to net operating loss carryforwards, depreciation and basis differences between tax and U.S. GAAP on our Canadian investments. Our deferred tax assets that have a full valuation allowance relate to our taxable REIT subsidiaries business. Net deferred tax liabilities of $19.8 million and $21.0 million for Canadian entities have been recorded in relation to corporate entities and included in “Other liabilities” in our Consolidated Balance Sheets as of June 30, 2020 and December 31, 2019, respectively. There are no U.S. federal deferred tax assets or liabilities included in our Consolidated Balance Sheets as of June 30, 2020 and December 31, 2019.</w:t>
      </w:r>
    </w:p>
    <w:p>
      <w:pPr>
        <w:spacing w:after="0" w:line="21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had no unrecognized tax benefits as of June 30, 2020 and 2019. We do not expect significant changes in tax positions that would result in unrecognized tax benefits within one year of June 30, 2020.</w:t>
      </w:r>
    </w:p>
    <w:p>
      <w:pPr>
        <w:spacing w:after="0" w:line="19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the three and six months ended June 30, 2020 we recorded a current tax expense for federal, state, Canadian income taxes and Australian withholding taxes of $0.1 million and $0.6 million, respectively. For the three and six months ended June 30, 2019 we recorded a current tax expense for federal, state and Canadian income taxes of $0.3 million and $0.5 million, respectively.</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the three months and six months ended June 30, 2020 we recorded a deferred tax benefit of $0.1 million and $0.2 million, respectively. For the three months and six months ended June 30, 2019, we recorded a deferred tax benefit of $0.1 million and $0.3 million,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27" w:name="page28"/>
    <w:bookmarkEnd w:id="27"/>
    <w:p>
      <w:pPr>
        <w:jc w:val="center"/>
        <w:spacing w:after="0"/>
        <w:rPr>
          <w:sz w:val="20"/>
          <w:szCs w:val="20"/>
          <w:color w:val="auto"/>
        </w:rPr>
      </w:pPr>
      <w:r>
        <w:rPr>
          <w:rFonts w:ascii="Arial" w:cs="Arial" w:eastAsia="Arial" w:hAnsi="Arial"/>
          <w:sz w:val="16"/>
          <w:szCs w:val="16"/>
          <w:b w:val="1"/>
          <w:bCs w:val="1"/>
          <w:color w:val="auto"/>
        </w:rPr>
        <w:t>SUN COMMUNITIES, INC.</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 -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269" w:lineRule="exact"/>
        <w:rPr>
          <w:sz w:val="20"/>
          <w:szCs w:val="20"/>
          <w:color w:val="auto"/>
        </w:rPr>
      </w:pPr>
    </w:p>
    <w:p>
      <w:pPr>
        <w:ind w:left="460" w:hanging="452"/>
        <w:spacing w:after="0"/>
        <w:tabs>
          <w:tab w:leader="none" w:pos="46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Share</w:t>
      </w:r>
    </w:p>
    <w:p>
      <w:pPr>
        <w:spacing w:after="0" w:line="25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have outstanding stock options and unvested restricted common shares. Our Operating Partnership has outstanding common OP units, Series A-1 preferred OP units, Series A-3 preferred OP units, Series C preferred OP units, Series D preferred OP units, Series E preferred OP units, Series F preferred OP units, and Aspen preferred OP Units, which, if converted or exercised, may impact dilution.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Computations of basic and diluted earnings per share were as follows (in thousands, except per share data):</w:t>
      </w: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5120" w:type="dxa"/>
            <w:vAlign w:val="bottom"/>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700" w:type="dxa"/>
            <w:vAlign w:val="bottom"/>
            <w:tcBorders>
              <w:bottom w:val="single" w:sz="8" w:color="auto"/>
            </w:tcBorders>
            <w:gridSpan w:val="6"/>
          </w:tcPr>
          <w:p>
            <w:pPr>
              <w:jc w:val="right"/>
              <w:ind w:right="684"/>
              <w:spacing w:after="0"/>
              <w:rPr>
                <w:sz w:val="20"/>
                <w:szCs w:val="20"/>
                <w:color w:val="auto"/>
              </w:rPr>
            </w:pPr>
            <w:r>
              <w:rPr>
                <w:rFonts w:ascii="Arial" w:cs="Arial" w:eastAsia="Arial" w:hAnsi="Arial"/>
                <w:sz w:val="15"/>
                <w:szCs w:val="15"/>
                <w:b w:val="1"/>
                <w:bCs w:val="1"/>
                <w:color w:val="auto"/>
              </w:rPr>
              <w:t>Three Months Ended</w:t>
            </w:r>
          </w:p>
        </w:tc>
        <w:tc>
          <w:tcPr>
            <w:tcW w:w="220" w:type="dxa"/>
            <w:vAlign w:val="bottom"/>
            <w:gridSpan w:val="2"/>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740" w:type="dxa"/>
            <w:vAlign w:val="bottom"/>
            <w:tcBorders>
              <w:bottom w:val="single" w:sz="8" w:color="auto"/>
            </w:tcBorders>
            <w:gridSpan w:val="6"/>
          </w:tcPr>
          <w:p>
            <w:pPr>
              <w:jc w:val="right"/>
              <w:ind w:right="784"/>
              <w:spacing w:after="0"/>
              <w:rPr>
                <w:sz w:val="20"/>
                <w:szCs w:val="20"/>
                <w:color w:val="auto"/>
              </w:rPr>
            </w:pPr>
            <w:r>
              <w:rPr>
                <w:rFonts w:ascii="Arial" w:cs="Arial" w:eastAsia="Arial" w:hAnsi="Arial"/>
                <w:sz w:val="15"/>
                <w:szCs w:val="15"/>
                <w:b w:val="1"/>
                <w:bCs w:val="1"/>
                <w:color w:val="auto"/>
              </w:rPr>
              <w:t>Six Months Ended</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5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3"/>
          </w:tcPr>
          <w:p>
            <w:pPr>
              <w:ind w:left="40"/>
              <w:spacing w:after="0"/>
              <w:rPr>
                <w:sz w:val="20"/>
                <w:szCs w:val="20"/>
                <w:color w:val="auto"/>
              </w:rPr>
            </w:pPr>
            <w:r>
              <w:rPr>
                <w:rFonts w:ascii="Arial" w:cs="Arial" w:eastAsia="Arial" w:hAnsi="Arial"/>
                <w:sz w:val="15"/>
                <w:szCs w:val="15"/>
                <w:b w:val="1"/>
                <w:bCs w:val="1"/>
                <w:color w:val="auto"/>
              </w:rPr>
              <w:t>June 30, 2020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3"/>
          </w:tcPr>
          <w:p>
            <w:pPr>
              <w:ind w:left="40"/>
              <w:spacing w:after="0"/>
              <w:rPr>
                <w:sz w:val="20"/>
                <w:szCs w:val="20"/>
                <w:color w:val="auto"/>
              </w:rPr>
            </w:pPr>
            <w:r>
              <w:rPr>
                <w:rFonts w:ascii="Arial" w:cs="Arial" w:eastAsia="Arial" w:hAnsi="Arial"/>
                <w:sz w:val="15"/>
                <w:szCs w:val="15"/>
                <w:b w:val="1"/>
                <w:bCs w:val="1"/>
                <w:color w:val="auto"/>
              </w:rPr>
              <w:t>June 30, 2019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3"/>
          </w:tcPr>
          <w:p>
            <w:pPr>
              <w:ind w:left="80"/>
              <w:spacing w:after="0"/>
              <w:rPr>
                <w:sz w:val="20"/>
                <w:szCs w:val="20"/>
                <w:color w:val="auto"/>
              </w:rPr>
            </w:pPr>
            <w:r>
              <w:rPr>
                <w:rFonts w:ascii="Arial" w:cs="Arial" w:eastAsia="Arial" w:hAnsi="Arial"/>
                <w:sz w:val="15"/>
                <w:szCs w:val="15"/>
                <w:b w:val="1"/>
                <w:bCs w:val="1"/>
                <w:color w:val="auto"/>
              </w:rPr>
              <w:t>June 30, 2020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right"/>
              <w:ind w:right="184"/>
              <w:spacing w:after="0"/>
              <w:rPr>
                <w:sz w:val="20"/>
                <w:szCs w:val="20"/>
                <w:color w:val="auto"/>
              </w:rPr>
            </w:pPr>
            <w:r>
              <w:rPr>
                <w:rFonts w:ascii="Arial" w:cs="Arial" w:eastAsia="Arial" w:hAnsi="Arial"/>
                <w:sz w:val="15"/>
                <w:szCs w:val="15"/>
                <w:b w:val="1"/>
                <w:bCs w:val="1"/>
                <w:color w:val="auto"/>
                <w:w w:val="96"/>
              </w:rPr>
              <w:t>June 30, 2019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5120" w:type="dxa"/>
            <w:vAlign w:val="bottom"/>
          </w:tcPr>
          <w:p>
            <w:pPr>
              <w:ind w:left="20"/>
              <w:spacing w:after="0"/>
              <w:rPr>
                <w:sz w:val="20"/>
                <w:szCs w:val="20"/>
                <w:color w:val="auto"/>
              </w:rPr>
            </w:pPr>
            <w:r>
              <w:rPr>
                <w:rFonts w:ascii="Arial" w:cs="Arial" w:eastAsia="Arial" w:hAnsi="Arial"/>
                <w:sz w:val="15"/>
                <w:szCs w:val="15"/>
                <w:b w:val="1"/>
                <w:bCs w:val="1"/>
                <w:color w:val="auto"/>
              </w:rPr>
              <w:t>Numerator</w:t>
            </w:r>
          </w:p>
        </w:tc>
        <w:tc>
          <w:tcPr>
            <w:tcW w:w="6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5120" w:type="dxa"/>
            <w:vAlign w:val="bottom"/>
            <w:shd w:val="clear" w:color="auto" w:fill="CCEEFF"/>
          </w:tcPr>
          <w:p>
            <w:pPr>
              <w:ind w:left="120"/>
              <w:spacing w:after="0"/>
              <w:rPr>
                <w:sz w:val="20"/>
                <w:szCs w:val="20"/>
                <w:color w:val="auto"/>
              </w:rPr>
            </w:pPr>
            <w:r>
              <w:rPr>
                <w:rFonts w:ascii="Arial" w:cs="Arial" w:eastAsia="Arial" w:hAnsi="Arial"/>
                <w:sz w:val="15"/>
                <w:szCs w:val="15"/>
                <w:color w:val="auto"/>
              </w:rPr>
              <w:t>Net Income Attributable to Sun Communities, Inc. Common Stockholders</w:t>
            </w:r>
          </w:p>
        </w:tc>
        <w:tc>
          <w:tcPr>
            <w:tcW w:w="20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w w:val="95"/>
              </w:rPr>
              <w:t>$</w:t>
            </w:r>
          </w:p>
        </w:tc>
        <w:tc>
          <w:tcPr>
            <w:tcW w:w="118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58,910</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w w:val="95"/>
              </w:rPr>
              <w:t>$</w:t>
            </w:r>
          </w:p>
        </w:tc>
        <w:tc>
          <w:tcPr>
            <w:tcW w:w="120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rPr>
              <w:t>40,385</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w w:val="95"/>
              </w:rPr>
              <w:t>$</w:t>
            </w:r>
          </w:p>
        </w:tc>
        <w:tc>
          <w:tcPr>
            <w:tcW w:w="122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42,824</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74,716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5120" w:type="dxa"/>
            <w:vAlign w:val="bottom"/>
            <w:tcBorders>
              <w:bottom w:val="single" w:sz="8" w:color="CCEEFF"/>
            </w:tcBorders>
          </w:tcPr>
          <w:p>
            <w:pPr>
              <w:ind w:left="120"/>
              <w:spacing w:after="0"/>
              <w:rPr>
                <w:sz w:val="20"/>
                <w:szCs w:val="20"/>
                <w:color w:val="auto"/>
              </w:rPr>
            </w:pPr>
            <w:r>
              <w:rPr>
                <w:rFonts w:ascii="Arial" w:cs="Arial" w:eastAsia="Arial" w:hAnsi="Arial"/>
                <w:sz w:val="15"/>
                <w:szCs w:val="15"/>
                <w:color w:val="auto"/>
              </w:rPr>
              <w:t>Less allocation to restricted stock awards</w:t>
            </w:r>
          </w:p>
        </w:tc>
        <w:tc>
          <w:tcPr>
            <w:tcW w:w="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color w:val="auto"/>
              </w:rPr>
              <w:t>340</w:t>
            </w: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color w:val="auto"/>
              </w:rPr>
              <w:t>448</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color w:val="auto"/>
              </w:rPr>
              <w:t>128</w:t>
            </w:r>
          </w:p>
        </w:tc>
        <w:tc>
          <w:tcPr>
            <w:tcW w:w="8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color w:val="auto"/>
              </w:rPr>
              <w:t>887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0"/>
        </w:trPr>
        <w:tc>
          <w:tcPr>
            <w:tcW w:w="5120" w:type="dxa"/>
            <w:vAlign w:val="bottom"/>
            <w:shd w:val="clear" w:color="auto" w:fill="CCEEFF"/>
          </w:tcPr>
          <w:p>
            <w:pPr>
              <w:ind w:left="120"/>
              <w:spacing w:after="0" w:line="160" w:lineRule="exact"/>
              <w:rPr>
                <w:sz w:val="20"/>
                <w:szCs w:val="20"/>
                <w:color w:val="auto"/>
              </w:rPr>
            </w:pPr>
            <w:r>
              <w:rPr>
                <w:rFonts w:ascii="Arial" w:cs="Arial" w:eastAsia="Arial" w:hAnsi="Arial"/>
                <w:sz w:val="15"/>
                <w:szCs w:val="15"/>
                <w:color w:val="auto"/>
              </w:rPr>
              <w:t>Basic earnings - Net income attributable to common stockholders after</w:t>
            </w: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2"/>
        </w:trPr>
        <w:tc>
          <w:tcPr>
            <w:tcW w:w="5120" w:type="dxa"/>
            <w:vAlign w:val="bottom"/>
            <w:shd w:val="clear" w:color="auto" w:fill="CCEEFF"/>
          </w:tcPr>
          <w:p>
            <w:pPr>
              <w:ind w:left="120"/>
              <w:spacing w:after="0"/>
              <w:rPr>
                <w:sz w:val="20"/>
                <w:szCs w:val="20"/>
                <w:color w:val="auto"/>
              </w:rPr>
            </w:pPr>
            <w:r>
              <w:rPr>
                <w:rFonts w:ascii="Arial" w:cs="Arial" w:eastAsia="Arial" w:hAnsi="Arial"/>
                <w:sz w:val="15"/>
                <w:szCs w:val="15"/>
                <w:color w:val="auto"/>
              </w:rPr>
              <w:t>allocation to restricted stock awards</w:t>
            </w:r>
          </w:p>
        </w:tc>
        <w:tc>
          <w:tcPr>
            <w:tcW w:w="20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w w:val="95"/>
              </w:rPr>
              <w:t>$</w:t>
            </w:r>
          </w:p>
        </w:tc>
        <w:tc>
          <w:tcPr>
            <w:tcW w:w="118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58,570</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w w:val="95"/>
              </w:rPr>
              <w:t>$</w:t>
            </w:r>
          </w:p>
        </w:tc>
        <w:tc>
          <w:tcPr>
            <w:tcW w:w="120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rPr>
              <w:t>39,937</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w w:val="95"/>
              </w:rPr>
              <w:t>$</w:t>
            </w:r>
          </w:p>
        </w:tc>
        <w:tc>
          <w:tcPr>
            <w:tcW w:w="122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42,696</w:t>
            </w: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73,829</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5120" w:type="dxa"/>
            <w:vAlign w:val="bottom"/>
            <w:tcBorders>
              <w:bottom w:val="single" w:sz="8" w:color="CCEEFF"/>
            </w:tcBorders>
          </w:tcPr>
          <w:p>
            <w:pPr>
              <w:ind w:left="120"/>
              <w:spacing w:after="0"/>
              <w:rPr>
                <w:sz w:val="20"/>
                <w:szCs w:val="20"/>
                <w:color w:val="auto"/>
              </w:rPr>
            </w:pPr>
            <w:r>
              <w:rPr>
                <w:rFonts w:ascii="Arial" w:cs="Arial" w:eastAsia="Arial" w:hAnsi="Arial"/>
                <w:sz w:val="15"/>
                <w:szCs w:val="15"/>
                <w:color w:val="auto"/>
              </w:rPr>
              <w:t>Add allocation to restricted stock awards</w:t>
            </w:r>
          </w:p>
        </w:tc>
        <w:tc>
          <w:tcPr>
            <w:tcW w:w="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color w:val="auto"/>
              </w:rPr>
              <w:t>340</w:t>
            </w: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color w:val="auto"/>
              </w:rPr>
              <w:t>448</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color w:val="auto"/>
              </w:rPr>
              <w:t>128</w:t>
            </w:r>
          </w:p>
        </w:tc>
        <w:tc>
          <w:tcPr>
            <w:tcW w:w="8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color w:val="auto"/>
              </w:rPr>
              <w:t>887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0"/>
        </w:trPr>
        <w:tc>
          <w:tcPr>
            <w:tcW w:w="5120" w:type="dxa"/>
            <w:vAlign w:val="bottom"/>
            <w:shd w:val="clear" w:color="auto" w:fill="CCEEFF"/>
          </w:tcPr>
          <w:p>
            <w:pPr>
              <w:ind w:left="120"/>
              <w:spacing w:after="0" w:line="160" w:lineRule="exact"/>
              <w:rPr>
                <w:sz w:val="20"/>
                <w:szCs w:val="20"/>
                <w:color w:val="auto"/>
              </w:rPr>
            </w:pPr>
            <w:r>
              <w:rPr>
                <w:rFonts w:ascii="Arial" w:cs="Arial" w:eastAsia="Arial" w:hAnsi="Arial"/>
                <w:sz w:val="15"/>
                <w:szCs w:val="15"/>
                <w:color w:val="auto"/>
              </w:rPr>
              <w:t>Diluted earnings - Net income attributable to common stockholders after</w:t>
            </w:r>
          </w:p>
        </w:tc>
        <w:tc>
          <w:tcPr>
            <w:tcW w:w="20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5"/>
                <w:szCs w:val="15"/>
                <w:color w:val="auto"/>
                <w:w w:val="95"/>
              </w:rPr>
              <w:t>$</w:t>
            </w:r>
          </w:p>
        </w:tc>
        <w:tc>
          <w:tcPr>
            <w:tcW w:w="1180" w:type="dxa"/>
            <w:vAlign w:val="bottom"/>
            <w:vMerge w:val="restart"/>
            <w:shd w:val="clear" w:color="auto" w:fill="CCEEFF"/>
          </w:tcPr>
          <w:p>
            <w:pPr>
              <w:jc w:val="right"/>
              <w:ind w:right="64"/>
              <w:spacing w:after="0"/>
              <w:rPr>
                <w:sz w:val="20"/>
                <w:szCs w:val="20"/>
                <w:color w:val="auto"/>
              </w:rPr>
            </w:pPr>
            <w:r>
              <w:rPr>
                <w:rFonts w:ascii="Arial" w:cs="Arial" w:eastAsia="Arial" w:hAnsi="Arial"/>
                <w:sz w:val="15"/>
                <w:szCs w:val="15"/>
                <w:color w:val="auto"/>
              </w:rPr>
              <w:t>58,910</w:t>
            </w: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2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5"/>
                <w:szCs w:val="15"/>
                <w:color w:val="auto"/>
                <w:w w:val="95"/>
              </w:rPr>
              <w:t>$</w:t>
            </w:r>
          </w:p>
        </w:tc>
        <w:tc>
          <w:tcPr>
            <w:tcW w:w="1200" w:type="dxa"/>
            <w:vAlign w:val="bottom"/>
            <w:vMerge w:val="restart"/>
            <w:shd w:val="clear" w:color="auto" w:fill="CCEEFF"/>
          </w:tcPr>
          <w:p>
            <w:pPr>
              <w:jc w:val="right"/>
              <w:ind w:right="84"/>
              <w:spacing w:after="0"/>
              <w:rPr>
                <w:sz w:val="20"/>
                <w:szCs w:val="20"/>
                <w:color w:val="auto"/>
              </w:rPr>
            </w:pPr>
            <w:r>
              <w:rPr>
                <w:rFonts w:ascii="Arial" w:cs="Arial" w:eastAsia="Arial" w:hAnsi="Arial"/>
                <w:sz w:val="15"/>
                <w:szCs w:val="15"/>
                <w:color w:val="auto"/>
              </w:rPr>
              <w:t>40,385</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8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5"/>
                <w:szCs w:val="15"/>
                <w:color w:val="auto"/>
                <w:w w:val="95"/>
              </w:rPr>
              <w:t>$</w:t>
            </w:r>
          </w:p>
        </w:tc>
        <w:tc>
          <w:tcPr>
            <w:tcW w:w="1220" w:type="dxa"/>
            <w:vAlign w:val="bottom"/>
            <w:vMerge w:val="restart"/>
            <w:shd w:val="clear" w:color="auto" w:fill="CCEEFF"/>
          </w:tcPr>
          <w:p>
            <w:pPr>
              <w:jc w:val="right"/>
              <w:ind w:right="64"/>
              <w:spacing w:after="0"/>
              <w:rPr>
                <w:sz w:val="20"/>
                <w:szCs w:val="20"/>
                <w:color w:val="auto"/>
              </w:rPr>
            </w:pPr>
            <w:r>
              <w:rPr>
                <w:rFonts w:ascii="Arial" w:cs="Arial" w:eastAsia="Arial" w:hAnsi="Arial"/>
                <w:sz w:val="15"/>
                <w:szCs w:val="15"/>
                <w:color w:val="auto"/>
              </w:rPr>
              <w:t>42,824</w:t>
            </w: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5"/>
                <w:szCs w:val="15"/>
                <w:color w:val="auto"/>
                <w:w w:val="71"/>
              </w:rPr>
              <w:t>$</w:t>
            </w:r>
          </w:p>
        </w:tc>
        <w:tc>
          <w:tcPr>
            <w:tcW w:w="1220" w:type="dxa"/>
            <w:vAlign w:val="bottom"/>
            <w:vMerge w:val="restart"/>
            <w:shd w:val="clear" w:color="auto" w:fill="CCEEFF"/>
          </w:tcPr>
          <w:p>
            <w:pPr>
              <w:jc w:val="right"/>
              <w:ind w:right="64"/>
              <w:spacing w:after="0"/>
              <w:rPr>
                <w:sz w:val="20"/>
                <w:szCs w:val="20"/>
                <w:color w:val="auto"/>
              </w:rPr>
            </w:pPr>
            <w:r>
              <w:rPr>
                <w:rFonts w:ascii="Arial" w:cs="Arial" w:eastAsia="Arial" w:hAnsi="Arial"/>
                <w:sz w:val="15"/>
                <w:szCs w:val="15"/>
                <w:color w:val="auto"/>
              </w:rPr>
              <w:t>74,716</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51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5"/>
                <w:szCs w:val="15"/>
                <w:color w:val="auto"/>
              </w:rPr>
              <w:t>allocation to restricted stock awards</w:t>
            </w:r>
          </w:p>
        </w:tc>
        <w:tc>
          <w:tcPr>
            <w:tcW w:w="200" w:type="dxa"/>
            <w:vAlign w:val="bottom"/>
            <w:tcBorders>
              <w:bottom w:val="single" w:sz="8" w:color="auto"/>
            </w:tcBorders>
            <w:gridSpan w:val="2"/>
            <w:vMerge w:val="continue"/>
            <w:shd w:val="clear" w:color="auto" w:fill="CCEEFF"/>
          </w:tcPr>
          <w:p>
            <w:pPr>
              <w:spacing w:after="0"/>
              <w:rPr>
                <w:sz w:val="16"/>
                <w:szCs w:val="16"/>
                <w:color w:val="auto"/>
              </w:rPr>
            </w:pPr>
          </w:p>
        </w:tc>
        <w:tc>
          <w:tcPr>
            <w:tcW w:w="118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gridSpan w:val="2"/>
            <w:vMerge w:val="continue"/>
            <w:shd w:val="clear" w:color="auto" w:fill="CCEEFF"/>
          </w:tcPr>
          <w:p>
            <w:pPr>
              <w:spacing w:after="0"/>
              <w:rPr>
                <w:sz w:val="16"/>
                <w:szCs w:val="16"/>
                <w:color w:val="auto"/>
              </w:rPr>
            </w:pPr>
          </w:p>
        </w:tc>
        <w:tc>
          <w:tcPr>
            <w:tcW w:w="120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gridSpan w:val="2"/>
            <w:vMerge w:val="continue"/>
            <w:shd w:val="clear" w:color="auto" w:fill="CCEEFF"/>
          </w:tcPr>
          <w:p>
            <w:pPr>
              <w:spacing w:after="0"/>
              <w:rPr>
                <w:sz w:val="16"/>
                <w:szCs w:val="16"/>
                <w:color w:val="auto"/>
              </w:rPr>
            </w:pPr>
          </w:p>
        </w:tc>
        <w:tc>
          <w:tcPr>
            <w:tcW w:w="122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gridSpan w:val="2"/>
            <w:vMerge w:val="continue"/>
            <w:shd w:val="clear" w:color="auto" w:fill="CCEEFF"/>
          </w:tcPr>
          <w:p>
            <w:pPr>
              <w:spacing w:after="0"/>
              <w:rPr>
                <w:sz w:val="16"/>
                <w:szCs w:val="16"/>
                <w:color w:val="auto"/>
              </w:rPr>
            </w:pPr>
          </w:p>
        </w:tc>
        <w:tc>
          <w:tcPr>
            <w:tcW w:w="122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1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5"/>
                <w:szCs w:val="15"/>
                <w:b w:val="1"/>
                <w:bCs w:val="1"/>
                <w:color w:val="auto"/>
              </w:rPr>
              <w:t>Denominator</w:t>
            </w: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1"/>
        </w:trPr>
        <w:tc>
          <w:tcPr>
            <w:tcW w:w="5120" w:type="dxa"/>
            <w:vAlign w:val="bottom"/>
            <w:vMerge w:val="continue"/>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5120" w:type="dxa"/>
            <w:vAlign w:val="bottom"/>
            <w:shd w:val="clear" w:color="auto" w:fill="CCEEFF"/>
          </w:tcPr>
          <w:p>
            <w:pPr>
              <w:ind w:left="120"/>
              <w:spacing w:after="0"/>
              <w:rPr>
                <w:sz w:val="20"/>
                <w:szCs w:val="20"/>
                <w:color w:val="auto"/>
              </w:rPr>
            </w:pPr>
            <w:r>
              <w:rPr>
                <w:rFonts w:ascii="Arial" w:cs="Arial" w:eastAsia="Arial" w:hAnsi="Arial"/>
                <w:sz w:val="15"/>
                <w:szCs w:val="15"/>
                <w:color w:val="auto"/>
              </w:rPr>
              <w:t>Weighted average common shares outstanding</w:t>
            </w: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95,859</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87,130</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94,134</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86,325</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5120" w:type="dxa"/>
            <w:vAlign w:val="bottom"/>
          </w:tcPr>
          <w:p>
            <w:pPr>
              <w:ind w:left="120"/>
              <w:spacing w:after="0"/>
              <w:rPr>
                <w:sz w:val="20"/>
                <w:szCs w:val="20"/>
                <w:color w:val="auto"/>
              </w:rPr>
            </w:pPr>
            <w:r>
              <w:rPr>
                <w:rFonts w:ascii="Arial" w:cs="Arial" w:eastAsia="Arial" w:hAnsi="Arial"/>
                <w:sz w:val="15"/>
                <w:szCs w:val="15"/>
                <w:color w:val="auto"/>
              </w:rPr>
              <w:t>Add: dilutive stock options</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1</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ind w:right="4"/>
              <w:spacing w:after="0"/>
              <w:rPr>
                <w:sz w:val="20"/>
                <w:szCs w:val="20"/>
                <w:color w:val="auto"/>
              </w:rPr>
            </w:pPr>
            <w:r>
              <w:rPr>
                <w:rFonts w:ascii="Arial" w:cs="Arial" w:eastAsia="Arial" w:hAnsi="Arial"/>
                <w:sz w:val="15"/>
                <w:szCs w:val="15"/>
                <w:color w:val="auto"/>
              </w:rPr>
              <w:t>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1</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ind w:left="120"/>
              <w:spacing w:after="0"/>
              <w:rPr>
                <w:sz w:val="20"/>
                <w:szCs w:val="20"/>
                <w:color w:val="auto"/>
              </w:rPr>
            </w:pPr>
            <w:r>
              <w:rPr>
                <w:rFonts w:ascii="Arial" w:cs="Arial" w:eastAsia="Arial" w:hAnsi="Arial"/>
                <w:sz w:val="15"/>
                <w:szCs w:val="15"/>
                <w:color w:val="auto"/>
              </w:rPr>
              <w:t>Add: dilutive restricted stock</w:t>
            </w:r>
          </w:p>
        </w:tc>
        <w:tc>
          <w:tcPr>
            <w:tcW w:w="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305</w:t>
            </w:r>
          </w:p>
        </w:tc>
        <w:tc>
          <w:tcPr>
            <w:tcW w:w="80" w:type="dxa"/>
            <w:vAlign w:val="bottom"/>
            <w:tcBorders>
              <w:bottom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433</w:t>
            </w:r>
          </w:p>
        </w:tc>
        <w:tc>
          <w:tcPr>
            <w:tcW w:w="80" w:type="dxa"/>
            <w:vAlign w:val="bottom"/>
            <w:tcBorders>
              <w:bottom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390</w:t>
            </w:r>
          </w:p>
        </w:tc>
        <w:tc>
          <w:tcPr>
            <w:tcW w:w="80" w:type="dxa"/>
            <w:vAlign w:val="bottom"/>
            <w:tcBorders>
              <w:bottom w:val="single" w:sz="8" w:color="auto"/>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444</w:t>
            </w:r>
          </w:p>
        </w:tc>
        <w:tc>
          <w:tcPr>
            <w:tcW w:w="8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120" w:type="dxa"/>
            <w:vAlign w:val="bottom"/>
          </w:tcPr>
          <w:p>
            <w:pPr>
              <w:ind w:left="120"/>
              <w:spacing w:after="0"/>
              <w:rPr>
                <w:sz w:val="20"/>
                <w:szCs w:val="20"/>
                <w:color w:val="auto"/>
              </w:rPr>
            </w:pPr>
            <w:r>
              <w:rPr>
                <w:rFonts w:ascii="Arial" w:cs="Arial" w:eastAsia="Arial" w:hAnsi="Arial"/>
                <w:sz w:val="15"/>
                <w:szCs w:val="15"/>
                <w:color w:val="auto"/>
              </w:rPr>
              <w:t>Diluted weighted average common shares and securities</w:t>
            </w:r>
          </w:p>
        </w:tc>
        <w:tc>
          <w:tcPr>
            <w:tcW w:w="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96,165</w:t>
            </w:r>
          </w:p>
        </w:tc>
        <w:tc>
          <w:tcPr>
            <w:tcW w:w="8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87,564</w:t>
            </w:r>
          </w:p>
        </w:tc>
        <w:tc>
          <w:tcPr>
            <w:tcW w:w="8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94,525</w:t>
            </w:r>
          </w:p>
        </w:tc>
        <w:tc>
          <w:tcPr>
            <w:tcW w:w="8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86,770</w:t>
            </w:r>
          </w:p>
        </w:tc>
        <w:tc>
          <w:tcPr>
            <w:tcW w:w="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2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12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w w:val="99"/>
              </w:rPr>
              <w:t>Earnings Per Share Available to Common Stockholders After Allocation</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120" w:type="dxa"/>
            <w:vAlign w:val="bottom"/>
          </w:tcPr>
          <w:p>
            <w:pPr>
              <w:ind w:left="120"/>
              <w:spacing w:after="0"/>
              <w:rPr>
                <w:sz w:val="20"/>
                <w:szCs w:val="20"/>
                <w:color w:val="auto"/>
              </w:rPr>
            </w:pPr>
            <w:r>
              <w:rPr>
                <w:rFonts w:ascii="Arial" w:cs="Arial" w:eastAsia="Arial" w:hAnsi="Arial"/>
                <w:sz w:val="15"/>
                <w:szCs w:val="15"/>
                <w:color w:val="auto"/>
              </w:rPr>
              <w:t>Basic earnings per share</w:t>
            </w:r>
          </w:p>
        </w:tc>
        <w:tc>
          <w:tcPr>
            <w:tcW w:w="200" w:type="dxa"/>
            <w:vAlign w:val="bottom"/>
            <w:gridSpan w:val="2"/>
          </w:tcPr>
          <w:p>
            <w:pPr>
              <w:jc w:val="right"/>
              <w:ind w:right="40"/>
              <w:spacing w:after="0"/>
              <w:rPr>
                <w:sz w:val="20"/>
                <w:szCs w:val="20"/>
                <w:color w:val="auto"/>
              </w:rPr>
            </w:pPr>
            <w:r>
              <w:rPr>
                <w:rFonts w:ascii="Arial" w:cs="Arial" w:eastAsia="Arial" w:hAnsi="Arial"/>
                <w:sz w:val="15"/>
                <w:szCs w:val="15"/>
                <w:color w:val="auto"/>
              </w:rPr>
              <w:t>$</w:t>
            </w:r>
          </w:p>
        </w:tc>
        <w:tc>
          <w:tcPr>
            <w:tcW w:w="1180" w:type="dxa"/>
            <w:vAlign w:val="bottom"/>
          </w:tcPr>
          <w:p>
            <w:pPr>
              <w:jc w:val="right"/>
              <w:spacing w:after="0"/>
              <w:rPr>
                <w:sz w:val="20"/>
                <w:szCs w:val="20"/>
                <w:color w:val="auto"/>
              </w:rPr>
            </w:pPr>
            <w:r>
              <w:rPr>
                <w:rFonts w:ascii="Arial" w:cs="Arial" w:eastAsia="Arial" w:hAnsi="Arial"/>
                <w:sz w:val="15"/>
                <w:szCs w:val="15"/>
                <w:color w:val="auto"/>
              </w:rPr>
              <w:t>0.61</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gridSpan w:val="2"/>
          </w:tcPr>
          <w:p>
            <w:pPr>
              <w:jc w:val="right"/>
              <w:ind w:right="40"/>
              <w:spacing w:after="0"/>
              <w:rPr>
                <w:sz w:val="20"/>
                <w:szCs w:val="20"/>
                <w:color w:val="auto"/>
              </w:rPr>
            </w:pPr>
            <w:r>
              <w:rPr>
                <w:rFonts w:ascii="Arial" w:cs="Arial" w:eastAsia="Arial" w:hAnsi="Arial"/>
                <w:sz w:val="15"/>
                <w:szCs w:val="15"/>
                <w:color w:val="auto"/>
              </w:rPr>
              <w:t>$</w:t>
            </w:r>
          </w:p>
        </w:tc>
        <w:tc>
          <w:tcPr>
            <w:tcW w:w="1200" w:type="dxa"/>
            <w:vAlign w:val="bottom"/>
          </w:tcPr>
          <w:p>
            <w:pPr>
              <w:jc w:val="right"/>
              <w:ind w:right="4"/>
              <w:spacing w:after="0"/>
              <w:rPr>
                <w:sz w:val="20"/>
                <w:szCs w:val="20"/>
                <w:color w:val="auto"/>
              </w:rPr>
            </w:pPr>
            <w:r>
              <w:rPr>
                <w:rFonts w:ascii="Arial" w:cs="Arial" w:eastAsia="Arial" w:hAnsi="Arial"/>
                <w:sz w:val="15"/>
                <w:szCs w:val="15"/>
                <w:color w:val="auto"/>
              </w:rPr>
              <w:t>0.46</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0.45</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0.86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5120" w:type="dxa"/>
            <w:vAlign w:val="bottom"/>
            <w:shd w:val="clear" w:color="auto" w:fill="CCEEFF"/>
          </w:tcPr>
          <w:p>
            <w:pPr>
              <w:ind w:left="120"/>
              <w:spacing w:after="0"/>
              <w:rPr>
                <w:sz w:val="20"/>
                <w:szCs w:val="20"/>
                <w:color w:val="auto"/>
              </w:rPr>
            </w:pPr>
            <w:r>
              <w:rPr>
                <w:rFonts w:ascii="Arial" w:cs="Arial" w:eastAsia="Arial" w:hAnsi="Arial"/>
                <w:sz w:val="15"/>
                <w:szCs w:val="15"/>
                <w:color w:val="auto"/>
              </w:rPr>
              <w:t>Diluted earnings per share</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0.61</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w:t>
            </w:r>
          </w:p>
        </w:tc>
        <w:tc>
          <w:tcPr>
            <w:tcW w:w="12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0.46</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0.45</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0.86</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33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have excluded certain convertible securities from the computation of diluted earnings per share because the inclusion of those securities would have been anti-dilutive for the periods presented. The following table presents the outstanding securities that were excluded from the computation of diluted earnings per share as of June 30, 2020 and 2019 (in thousands):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8240" w:type="dxa"/>
            <w:vAlign w:val="bottom"/>
          </w:tcPr>
          <w:p>
            <w:pPr>
              <w:spacing w:after="0"/>
              <w:rPr>
                <w:sz w:val="17"/>
                <w:szCs w:val="17"/>
                <w:color w:val="auto"/>
              </w:rPr>
            </w:pPr>
          </w:p>
        </w:tc>
        <w:tc>
          <w:tcPr>
            <w:tcW w:w="130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gridSpan w:val="3"/>
          </w:tcPr>
          <w:p>
            <w:pPr>
              <w:jc w:val="right"/>
              <w:ind w:right="1244"/>
              <w:spacing w:after="0"/>
              <w:rPr>
                <w:sz w:val="20"/>
                <w:szCs w:val="20"/>
                <w:color w:val="auto"/>
              </w:rPr>
            </w:pPr>
            <w:r>
              <w:rPr>
                <w:rFonts w:ascii="Arial" w:cs="Arial" w:eastAsia="Arial" w:hAnsi="Arial"/>
                <w:sz w:val="15"/>
                <w:szCs w:val="15"/>
                <w:b w:val="1"/>
                <w:bCs w:val="1"/>
                <w:color w:val="auto"/>
                <w:w w:val="90"/>
              </w:rPr>
              <w:t>As of</w:t>
            </w:r>
          </w:p>
        </w:tc>
      </w:tr>
      <w:tr>
        <w:trPr>
          <w:trHeight w:val="210"/>
        </w:trPr>
        <w:tc>
          <w:tcPr>
            <w:tcW w:w="8240" w:type="dxa"/>
            <w:vAlign w:val="bottom"/>
            <w:tcBorders>
              <w:bottom w:val="single" w:sz="8" w:color="CCEEFF"/>
            </w:tcBorders>
          </w:tcPr>
          <w:p>
            <w:pPr>
              <w:spacing w:after="0"/>
              <w:rPr>
                <w:sz w:val="18"/>
                <w:szCs w:val="18"/>
                <w:color w:val="auto"/>
              </w:rPr>
            </w:pPr>
          </w:p>
        </w:tc>
        <w:tc>
          <w:tcPr>
            <w:tcW w:w="130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b w:val="1"/>
                <w:bCs w:val="1"/>
                <w:color w:val="auto"/>
              </w:rPr>
              <w:t>June 30, 2020</w:t>
            </w:r>
          </w:p>
        </w:tc>
        <w:tc>
          <w:tcPr>
            <w:tcW w:w="1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40" w:type="dxa"/>
            <w:vAlign w:val="bottom"/>
            <w:tcBorders>
              <w:bottom w:val="single" w:sz="8" w:color="auto"/>
            </w:tcBorders>
          </w:tcPr>
          <w:p>
            <w:pPr>
              <w:jc w:val="right"/>
              <w:ind w:right="204"/>
              <w:spacing w:after="0"/>
              <w:rPr>
                <w:sz w:val="20"/>
                <w:szCs w:val="20"/>
                <w:color w:val="auto"/>
              </w:rPr>
            </w:pPr>
            <w:r>
              <w:rPr>
                <w:rFonts w:ascii="Arial" w:cs="Arial" w:eastAsia="Arial" w:hAnsi="Arial"/>
                <w:sz w:val="15"/>
                <w:szCs w:val="15"/>
                <w:b w:val="1"/>
                <w:bCs w:val="1"/>
                <w:color w:val="auto"/>
              </w:rPr>
              <w:t>June 30, 2019</w:t>
            </w:r>
          </w:p>
        </w:tc>
      </w:tr>
      <w:tr>
        <w:trPr>
          <w:trHeight w:val="214"/>
        </w:trPr>
        <w:tc>
          <w:tcPr>
            <w:tcW w:w="8240" w:type="dxa"/>
            <w:vAlign w:val="bottom"/>
            <w:shd w:val="clear" w:color="auto" w:fill="CCEEFF"/>
          </w:tcPr>
          <w:p>
            <w:pPr>
              <w:ind w:left="20"/>
              <w:spacing w:after="0"/>
              <w:rPr>
                <w:sz w:val="20"/>
                <w:szCs w:val="20"/>
                <w:color w:val="auto"/>
              </w:rPr>
            </w:pPr>
            <w:r>
              <w:rPr>
                <w:rFonts w:ascii="Arial" w:cs="Arial" w:eastAsia="Arial" w:hAnsi="Arial"/>
                <w:sz w:val="15"/>
                <w:szCs w:val="15"/>
                <w:color w:val="auto"/>
              </w:rPr>
              <w:t>Common OP units</w:t>
            </w:r>
          </w:p>
        </w:tc>
        <w:tc>
          <w:tcPr>
            <w:tcW w:w="1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2,477</w:t>
            </w:r>
          </w:p>
        </w:tc>
        <w:tc>
          <w:tcPr>
            <w:tcW w:w="1680" w:type="dxa"/>
            <w:vAlign w:val="bottom"/>
            <w:gridSpan w:val="3"/>
            <w:shd w:val="clear" w:color="auto" w:fill="CCEEFF"/>
          </w:tcPr>
          <w:p>
            <w:pPr>
              <w:jc w:val="right"/>
              <w:ind w:right="84"/>
              <w:spacing w:after="0"/>
              <w:rPr>
                <w:sz w:val="20"/>
                <w:szCs w:val="20"/>
                <w:color w:val="auto"/>
              </w:rPr>
            </w:pPr>
            <w:r>
              <w:rPr>
                <w:rFonts w:ascii="Arial" w:cs="Arial" w:eastAsia="Arial" w:hAnsi="Arial"/>
                <w:sz w:val="15"/>
                <w:szCs w:val="15"/>
                <w:color w:val="auto"/>
              </w:rPr>
              <w:t>2,289</w:t>
            </w:r>
          </w:p>
        </w:tc>
      </w:tr>
      <w:tr>
        <w:trPr>
          <w:trHeight w:val="212"/>
        </w:trPr>
        <w:tc>
          <w:tcPr>
            <w:tcW w:w="8240" w:type="dxa"/>
            <w:vAlign w:val="bottom"/>
          </w:tcPr>
          <w:p>
            <w:pPr>
              <w:ind w:left="20"/>
              <w:spacing w:after="0"/>
              <w:rPr>
                <w:sz w:val="20"/>
                <w:szCs w:val="20"/>
                <w:color w:val="auto"/>
              </w:rPr>
            </w:pPr>
            <w:r>
              <w:rPr>
                <w:rFonts w:ascii="Arial" w:cs="Arial" w:eastAsia="Arial" w:hAnsi="Arial"/>
                <w:sz w:val="15"/>
                <w:szCs w:val="15"/>
                <w:color w:val="auto"/>
              </w:rPr>
              <w:t>A-1 preferred OP units</w:t>
            </w:r>
          </w:p>
        </w:tc>
        <w:tc>
          <w:tcPr>
            <w:tcW w:w="1300" w:type="dxa"/>
            <w:vAlign w:val="bottom"/>
          </w:tcPr>
          <w:p>
            <w:pPr>
              <w:jc w:val="right"/>
              <w:spacing w:after="0"/>
              <w:rPr>
                <w:sz w:val="20"/>
                <w:szCs w:val="20"/>
                <w:color w:val="auto"/>
              </w:rPr>
            </w:pPr>
            <w:r>
              <w:rPr>
                <w:rFonts w:ascii="Arial" w:cs="Arial" w:eastAsia="Arial" w:hAnsi="Arial"/>
                <w:sz w:val="15"/>
                <w:szCs w:val="15"/>
                <w:color w:val="auto"/>
              </w:rPr>
              <w:t>300</w:t>
            </w:r>
          </w:p>
        </w:tc>
        <w:tc>
          <w:tcPr>
            <w:tcW w:w="1680" w:type="dxa"/>
            <w:vAlign w:val="bottom"/>
            <w:gridSpan w:val="3"/>
          </w:tcPr>
          <w:p>
            <w:pPr>
              <w:jc w:val="right"/>
              <w:ind w:right="84"/>
              <w:spacing w:after="0"/>
              <w:rPr>
                <w:sz w:val="20"/>
                <w:szCs w:val="20"/>
                <w:color w:val="auto"/>
              </w:rPr>
            </w:pPr>
            <w:r>
              <w:rPr>
                <w:rFonts w:ascii="Arial" w:cs="Arial" w:eastAsia="Arial" w:hAnsi="Arial"/>
                <w:sz w:val="15"/>
                <w:szCs w:val="15"/>
                <w:color w:val="auto"/>
              </w:rPr>
              <w:t>324</w:t>
            </w:r>
          </w:p>
        </w:tc>
      </w:tr>
      <w:tr>
        <w:trPr>
          <w:trHeight w:val="220"/>
        </w:trPr>
        <w:tc>
          <w:tcPr>
            <w:tcW w:w="8240" w:type="dxa"/>
            <w:vAlign w:val="bottom"/>
            <w:shd w:val="clear" w:color="auto" w:fill="CCEEFF"/>
          </w:tcPr>
          <w:p>
            <w:pPr>
              <w:ind w:left="20"/>
              <w:spacing w:after="0"/>
              <w:rPr>
                <w:sz w:val="20"/>
                <w:szCs w:val="20"/>
                <w:color w:val="auto"/>
              </w:rPr>
            </w:pPr>
            <w:r>
              <w:rPr>
                <w:rFonts w:ascii="Arial" w:cs="Arial" w:eastAsia="Arial" w:hAnsi="Arial"/>
                <w:sz w:val="15"/>
                <w:szCs w:val="15"/>
                <w:color w:val="auto"/>
              </w:rPr>
              <w:t>A-3 preferred OP units</w:t>
            </w:r>
          </w:p>
        </w:tc>
        <w:tc>
          <w:tcPr>
            <w:tcW w:w="1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40</w:t>
            </w:r>
          </w:p>
        </w:tc>
        <w:tc>
          <w:tcPr>
            <w:tcW w:w="1680" w:type="dxa"/>
            <w:vAlign w:val="bottom"/>
            <w:gridSpan w:val="3"/>
            <w:shd w:val="clear" w:color="auto" w:fill="CCEEFF"/>
          </w:tcPr>
          <w:p>
            <w:pPr>
              <w:jc w:val="right"/>
              <w:ind w:right="84"/>
              <w:spacing w:after="0"/>
              <w:rPr>
                <w:sz w:val="20"/>
                <w:szCs w:val="20"/>
                <w:color w:val="auto"/>
              </w:rPr>
            </w:pPr>
            <w:r>
              <w:rPr>
                <w:rFonts w:ascii="Arial" w:cs="Arial" w:eastAsia="Arial" w:hAnsi="Arial"/>
                <w:sz w:val="15"/>
                <w:szCs w:val="15"/>
                <w:color w:val="auto"/>
              </w:rPr>
              <w:t>40</w:t>
            </w:r>
          </w:p>
        </w:tc>
      </w:tr>
      <w:tr>
        <w:trPr>
          <w:trHeight w:val="212"/>
        </w:trPr>
        <w:tc>
          <w:tcPr>
            <w:tcW w:w="8240" w:type="dxa"/>
            <w:vAlign w:val="bottom"/>
          </w:tcPr>
          <w:p>
            <w:pPr>
              <w:ind w:left="20"/>
              <w:spacing w:after="0"/>
              <w:rPr>
                <w:sz w:val="20"/>
                <w:szCs w:val="20"/>
                <w:color w:val="auto"/>
              </w:rPr>
            </w:pPr>
            <w:r>
              <w:rPr>
                <w:rFonts w:ascii="Arial" w:cs="Arial" w:eastAsia="Arial" w:hAnsi="Arial"/>
                <w:sz w:val="15"/>
                <w:szCs w:val="15"/>
                <w:color w:val="auto"/>
              </w:rPr>
              <w:t>A-4 preferred OP units</w:t>
            </w:r>
          </w:p>
        </w:tc>
        <w:tc>
          <w:tcPr>
            <w:tcW w:w="1300" w:type="dxa"/>
            <w:vAlign w:val="bottom"/>
          </w:tcPr>
          <w:p>
            <w:pPr>
              <w:jc w:val="right"/>
              <w:spacing w:after="0"/>
              <w:rPr>
                <w:sz w:val="20"/>
                <w:szCs w:val="20"/>
                <w:color w:val="auto"/>
              </w:rPr>
            </w:pPr>
            <w:r>
              <w:rPr>
                <w:rFonts w:ascii="Arial" w:cs="Arial" w:eastAsia="Arial" w:hAnsi="Arial"/>
                <w:sz w:val="15"/>
                <w:szCs w:val="15"/>
                <w:color w:val="auto"/>
              </w:rPr>
              <w:t>—</w:t>
            </w:r>
          </w:p>
        </w:tc>
        <w:tc>
          <w:tcPr>
            <w:tcW w:w="1680" w:type="dxa"/>
            <w:vAlign w:val="bottom"/>
            <w:gridSpan w:val="3"/>
          </w:tcPr>
          <w:p>
            <w:pPr>
              <w:jc w:val="right"/>
              <w:ind w:right="84"/>
              <w:spacing w:after="0"/>
              <w:rPr>
                <w:sz w:val="20"/>
                <w:szCs w:val="20"/>
                <w:color w:val="auto"/>
              </w:rPr>
            </w:pPr>
            <w:r>
              <w:rPr>
                <w:rFonts w:ascii="Arial" w:cs="Arial" w:eastAsia="Arial" w:hAnsi="Arial"/>
                <w:sz w:val="15"/>
                <w:szCs w:val="15"/>
                <w:color w:val="auto"/>
              </w:rPr>
              <w:t>406</w:t>
            </w:r>
          </w:p>
        </w:tc>
      </w:tr>
      <w:tr>
        <w:trPr>
          <w:trHeight w:val="220"/>
        </w:trPr>
        <w:tc>
          <w:tcPr>
            <w:tcW w:w="8240" w:type="dxa"/>
            <w:vAlign w:val="bottom"/>
            <w:shd w:val="clear" w:color="auto" w:fill="CCEEFF"/>
          </w:tcPr>
          <w:p>
            <w:pPr>
              <w:ind w:left="20"/>
              <w:spacing w:after="0"/>
              <w:rPr>
                <w:sz w:val="20"/>
                <w:szCs w:val="20"/>
                <w:color w:val="auto"/>
              </w:rPr>
            </w:pPr>
            <w:r>
              <w:rPr>
                <w:rFonts w:ascii="Arial" w:cs="Arial" w:eastAsia="Arial" w:hAnsi="Arial"/>
                <w:sz w:val="15"/>
                <w:szCs w:val="15"/>
                <w:color w:val="auto"/>
              </w:rPr>
              <w:t>Aspen preferred OP units</w:t>
            </w:r>
          </w:p>
        </w:tc>
        <w:tc>
          <w:tcPr>
            <w:tcW w:w="1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1,284</w:t>
            </w:r>
          </w:p>
        </w:tc>
        <w:tc>
          <w:tcPr>
            <w:tcW w:w="1680" w:type="dxa"/>
            <w:vAlign w:val="bottom"/>
            <w:gridSpan w:val="3"/>
            <w:shd w:val="clear" w:color="auto" w:fill="CCEEFF"/>
          </w:tcPr>
          <w:p>
            <w:pPr>
              <w:jc w:val="right"/>
              <w:ind w:right="84"/>
              <w:spacing w:after="0"/>
              <w:rPr>
                <w:sz w:val="20"/>
                <w:szCs w:val="20"/>
                <w:color w:val="auto"/>
              </w:rPr>
            </w:pPr>
            <w:r>
              <w:rPr>
                <w:rFonts w:ascii="Arial" w:cs="Arial" w:eastAsia="Arial" w:hAnsi="Arial"/>
                <w:sz w:val="15"/>
                <w:szCs w:val="15"/>
                <w:color w:val="auto"/>
              </w:rPr>
              <w:t>1,284</w:t>
            </w:r>
          </w:p>
        </w:tc>
      </w:tr>
      <w:tr>
        <w:trPr>
          <w:trHeight w:val="212"/>
        </w:trPr>
        <w:tc>
          <w:tcPr>
            <w:tcW w:w="8240" w:type="dxa"/>
            <w:vAlign w:val="bottom"/>
          </w:tcPr>
          <w:p>
            <w:pPr>
              <w:ind w:left="20"/>
              <w:spacing w:after="0"/>
              <w:rPr>
                <w:sz w:val="20"/>
                <w:szCs w:val="20"/>
                <w:color w:val="auto"/>
              </w:rPr>
            </w:pPr>
            <w:r>
              <w:rPr>
                <w:rFonts w:ascii="Arial" w:cs="Arial" w:eastAsia="Arial" w:hAnsi="Arial"/>
                <w:sz w:val="15"/>
                <w:szCs w:val="15"/>
                <w:color w:val="auto"/>
              </w:rPr>
              <w:t>Series A-4 preferred stock</w:t>
            </w:r>
          </w:p>
        </w:tc>
        <w:tc>
          <w:tcPr>
            <w:tcW w:w="1300" w:type="dxa"/>
            <w:vAlign w:val="bottom"/>
          </w:tcPr>
          <w:p>
            <w:pPr>
              <w:jc w:val="right"/>
              <w:spacing w:after="0"/>
              <w:rPr>
                <w:sz w:val="20"/>
                <w:szCs w:val="20"/>
                <w:color w:val="auto"/>
              </w:rPr>
            </w:pPr>
            <w:r>
              <w:rPr>
                <w:rFonts w:ascii="Arial" w:cs="Arial" w:eastAsia="Arial" w:hAnsi="Arial"/>
                <w:sz w:val="15"/>
                <w:szCs w:val="15"/>
                <w:color w:val="auto"/>
              </w:rPr>
              <w:t>—</w:t>
            </w:r>
          </w:p>
        </w:tc>
        <w:tc>
          <w:tcPr>
            <w:tcW w:w="1680" w:type="dxa"/>
            <w:vAlign w:val="bottom"/>
            <w:gridSpan w:val="3"/>
          </w:tcPr>
          <w:p>
            <w:pPr>
              <w:jc w:val="right"/>
              <w:ind w:right="84"/>
              <w:spacing w:after="0"/>
              <w:rPr>
                <w:sz w:val="20"/>
                <w:szCs w:val="20"/>
                <w:color w:val="auto"/>
              </w:rPr>
            </w:pPr>
            <w:r>
              <w:rPr>
                <w:rFonts w:ascii="Arial" w:cs="Arial" w:eastAsia="Arial" w:hAnsi="Arial"/>
                <w:sz w:val="15"/>
                <w:szCs w:val="15"/>
                <w:color w:val="auto"/>
              </w:rPr>
              <w:t>1,052</w:t>
            </w:r>
          </w:p>
        </w:tc>
      </w:tr>
      <w:tr>
        <w:trPr>
          <w:trHeight w:val="220"/>
        </w:trPr>
        <w:tc>
          <w:tcPr>
            <w:tcW w:w="8240" w:type="dxa"/>
            <w:vAlign w:val="bottom"/>
            <w:shd w:val="clear" w:color="auto" w:fill="CCEEFF"/>
          </w:tcPr>
          <w:p>
            <w:pPr>
              <w:ind w:left="20"/>
              <w:spacing w:after="0"/>
              <w:rPr>
                <w:sz w:val="20"/>
                <w:szCs w:val="20"/>
                <w:color w:val="auto"/>
              </w:rPr>
            </w:pPr>
            <w:r>
              <w:rPr>
                <w:rFonts w:ascii="Arial" w:cs="Arial" w:eastAsia="Arial" w:hAnsi="Arial"/>
                <w:sz w:val="15"/>
                <w:szCs w:val="15"/>
                <w:color w:val="auto"/>
              </w:rPr>
              <w:t>Series C preferred OP units</w:t>
            </w:r>
          </w:p>
        </w:tc>
        <w:tc>
          <w:tcPr>
            <w:tcW w:w="1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310</w:t>
            </w:r>
          </w:p>
        </w:tc>
        <w:tc>
          <w:tcPr>
            <w:tcW w:w="1680" w:type="dxa"/>
            <w:vAlign w:val="bottom"/>
            <w:gridSpan w:val="3"/>
            <w:shd w:val="clear" w:color="auto" w:fill="CCEEFF"/>
          </w:tcPr>
          <w:p>
            <w:pPr>
              <w:jc w:val="right"/>
              <w:ind w:right="84"/>
              <w:spacing w:after="0"/>
              <w:rPr>
                <w:sz w:val="20"/>
                <w:szCs w:val="20"/>
                <w:color w:val="auto"/>
              </w:rPr>
            </w:pPr>
            <w:r>
              <w:rPr>
                <w:rFonts w:ascii="Arial" w:cs="Arial" w:eastAsia="Arial" w:hAnsi="Arial"/>
                <w:sz w:val="15"/>
                <w:szCs w:val="15"/>
                <w:color w:val="auto"/>
              </w:rPr>
              <w:t>314</w:t>
            </w:r>
          </w:p>
        </w:tc>
      </w:tr>
      <w:tr>
        <w:trPr>
          <w:trHeight w:val="212"/>
        </w:trPr>
        <w:tc>
          <w:tcPr>
            <w:tcW w:w="8240" w:type="dxa"/>
            <w:vAlign w:val="bottom"/>
          </w:tcPr>
          <w:p>
            <w:pPr>
              <w:ind w:left="20"/>
              <w:spacing w:after="0"/>
              <w:rPr>
                <w:sz w:val="20"/>
                <w:szCs w:val="20"/>
                <w:color w:val="auto"/>
              </w:rPr>
            </w:pPr>
            <w:r>
              <w:rPr>
                <w:rFonts w:ascii="Arial" w:cs="Arial" w:eastAsia="Arial" w:hAnsi="Arial"/>
                <w:sz w:val="15"/>
                <w:szCs w:val="15"/>
                <w:color w:val="auto"/>
              </w:rPr>
              <w:t>Series D preferred OP units</w:t>
            </w:r>
          </w:p>
        </w:tc>
        <w:tc>
          <w:tcPr>
            <w:tcW w:w="1300" w:type="dxa"/>
            <w:vAlign w:val="bottom"/>
          </w:tcPr>
          <w:p>
            <w:pPr>
              <w:jc w:val="right"/>
              <w:spacing w:after="0"/>
              <w:rPr>
                <w:sz w:val="20"/>
                <w:szCs w:val="20"/>
                <w:color w:val="auto"/>
              </w:rPr>
            </w:pPr>
            <w:r>
              <w:rPr>
                <w:rFonts w:ascii="Arial" w:cs="Arial" w:eastAsia="Arial" w:hAnsi="Arial"/>
                <w:sz w:val="15"/>
                <w:szCs w:val="15"/>
                <w:color w:val="auto"/>
              </w:rPr>
              <w:t>489</w:t>
            </w:r>
          </w:p>
        </w:tc>
        <w:tc>
          <w:tcPr>
            <w:tcW w:w="1680" w:type="dxa"/>
            <w:vAlign w:val="bottom"/>
            <w:gridSpan w:val="3"/>
          </w:tcPr>
          <w:p>
            <w:pPr>
              <w:jc w:val="right"/>
              <w:ind w:right="84"/>
              <w:spacing w:after="0"/>
              <w:rPr>
                <w:sz w:val="20"/>
                <w:szCs w:val="20"/>
                <w:color w:val="auto"/>
              </w:rPr>
            </w:pPr>
            <w:r>
              <w:rPr>
                <w:rFonts w:ascii="Arial" w:cs="Arial" w:eastAsia="Arial" w:hAnsi="Arial"/>
                <w:sz w:val="15"/>
                <w:szCs w:val="15"/>
                <w:color w:val="auto"/>
              </w:rPr>
              <w:t>489</w:t>
            </w:r>
          </w:p>
        </w:tc>
      </w:tr>
      <w:tr>
        <w:trPr>
          <w:trHeight w:val="220"/>
        </w:trPr>
        <w:tc>
          <w:tcPr>
            <w:tcW w:w="8240" w:type="dxa"/>
            <w:vAlign w:val="bottom"/>
            <w:shd w:val="clear" w:color="auto" w:fill="CCEEFF"/>
          </w:tcPr>
          <w:p>
            <w:pPr>
              <w:ind w:left="20"/>
              <w:spacing w:after="0"/>
              <w:rPr>
                <w:sz w:val="20"/>
                <w:szCs w:val="20"/>
                <w:color w:val="auto"/>
              </w:rPr>
            </w:pPr>
            <w:r>
              <w:rPr>
                <w:rFonts w:ascii="Arial" w:cs="Arial" w:eastAsia="Arial" w:hAnsi="Arial"/>
                <w:sz w:val="15"/>
                <w:szCs w:val="15"/>
                <w:color w:val="auto"/>
              </w:rPr>
              <w:t>Series E preferred OP units</w:t>
            </w:r>
          </w:p>
        </w:tc>
        <w:tc>
          <w:tcPr>
            <w:tcW w:w="1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90</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rPr>
              <w:t>—</w:t>
            </w:r>
          </w:p>
        </w:tc>
      </w:tr>
      <w:tr>
        <w:trPr>
          <w:trHeight w:val="212"/>
        </w:trPr>
        <w:tc>
          <w:tcPr>
            <w:tcW w:w="824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Series F preferred OP units</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90</w:t>
            </w:r>
          </w:p>
        </w:tc>
        <w:tc>
          <w:tcPr>
            <w:tcW w:w="1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4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color w:val="auto"/>
              </w:rPr>
              <w:t>—</w:t>
            </w:r>
          </w:p>
        </w:tc>
      </w:tr>
      <w:tr>
        <w:trPr>
          <w:trHeight w:val="234"/>
        </w:trPr>
        <w:tc>
          <w:tcPr>
            <w:tcW w:w="8240" w:type="dxa"/>
            <w:vAlign w:val="bottom"/>
            <w:shd w:val="clear" w:color="auto" w:fill="CCEEFF"/>
          </w:tcPr>
          <w:p>
            <w:pPr>
              <w:ind w:left="340"/>
              <w:spacing w:after="0"/>
              <w:rPr>
                <w:sz w:val="20"/>
                <w:szCs w:val="20"/>
                <w:color w:val="auto"/>
              </w:rPr>
            </w:pPr>
            <w:r>
              <w:rPr>
                <w:rFonts w:ascii="Arial" w:cs="Arial" w:eastAsia="Arial" w:hAnsi="Arial"/>
                <w:sz w:val="15"/>
                <w:szCs w:val="15"/>
                <w:b w:val="1"/>
                <w:bCs w:val="1"/>
                <w:color w:val="auto"/>
              </w:rPr>
              <w:t>Total Securities</w:t>
            </w:r>
          </w:p>
        </w:tc>
        <w:tc>
          <w:tcPr>
            <w:tcW w:w="1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5,080</w:t>
            </w:r>
          </w:p>
        </w:tc>
        <w:tc>
          <w:tcPr>
            <w:tcW w:w="1680" w:type="dxa"/>
            <w:vAlign w:val="bottom"/>
            <w:gridSpan w:val="3"/>
            <w:shd w:val="clear" w:color="auto" w:fill="CCEEFF"/>
          </w:tcPr>
          <w:p>
            <w:pPr>
              <w:jc w:val="right"/>
              <w:ind w:right="84"/>
              <w:spacing w:after="0"/>
              <w:rPr>
                <w:sz w:val="20"/>
                <w:szCs w:val="20"/>
                <w:color w:val="auto"/>
              </w:rPr>
            </w:pPr>
            <w:r>
              <w:rPr>
                <w:rFonts w:ascii="Arial" w:cs="Arial" w:eastAsia="Arial" w:hAnsi="Arial"/>
                <w:sz w:val="15"/>
                <w:szCs w:val="15"/>
                <w:color w:val="auto"/>
              </w:rPr>
              <w:t>6,198</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28" w:name="page29"/>
    <w:bookmarkEnd w:id="28"/>
    <w:p>
      <w:pPr>
        <w:jc w:val="center"/>
        <w:spacing w:after="0"/>
        <w:rPr>
          <w:sz w:val="20"/>
          <w:szCs w:val="20"/>
          <w:color w:val="auto"/>
        </w:rPr>
      </w:pPr>
      <w:r>
        <w:rPr>
          <w:rFonts w:ascii="Arial" w:cs="Arial" w:eastAsia="Arial" w:hAnsi="Arial"/>
          <w:sz w:val="16"/>
          <w:szCs w:val="16"/>
          <w:b w:val="1"/>
          <w:bCs w:val="1"/>
          <w:color w:val="auto"/>
        </w:rPr>
        <w:t>SUN COMMUNITIES, INC.</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 -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269" w:lineRule="exact"/>
        <w:rPr>
          <w:sz w:val="20"/>
          <w:szCs w:val="20"/>
          <w:color w:val="auto"/>
        </w:rPr>
      </w:pPr>
    </w:p>
    <w:p>
      <w:pPr>
        <w:ind w:left="460" w:hanging="452"/>
        <w:spacing w:after="0"/>
        <w:tabs>
          <w:tab w:leader="none" w:pos="46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of Financial Instruments</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financial instruments consist primarily of cash, cash equivalents and restricted cash, marketable securities, notes and other receivables, accounts payable, and debt.</w:t>
      </w:r>
    </w:p>
    <w:p>
      <w:pPr>
        <w:spacing w:after="0" w:line="19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ASC Topic 820 “</w:t>
      </w:r>
      <w:r>
        <w:rPr>
          <w:rFonts w:ascii="Arial" w:cs="Arial" w:eastAsia="Arial" w:hAnsi="Arial"/>
          <w:sz w:val="17"/>
          <w:szCs w:val="17"/>
          <w:i w:val="1"/>
          <w:iCs w:val="1"/>
          <w:color w:val="auto"/>
        </w:rPr>
        <w:t>Fair Value Measurements and Disclosures,</w:t>
      </w:r>
      <w:r>
        <w:rPr>
          <w:rFonts w:ascii="Arial" w:cs="Arial" w:eastAsia="Arial" w:hAnsi="Arial"/>
          <w:sz w:val="17"/>
          <w:szCs w:val="17"/>
          <w:color w:val="auto"/>
        </w:rPr>
        <w:t>” requires disclosure regarding determination of fair value for assets and liabilities and establishes a hierarchy under which these assets and liabilities must be grouped, based on significant levels of observable or unobservable inputs. Observable inputs reflect market data obtained from independent sources, while unobservable inputs reflect our market assumption. This hierarchy requires the use of observable market data when available. These two types of inputs have created the following fair value hierarchy:</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Level 1 - Quoted unadjusted prices for identical instruments in active markets;</w:t>
      </w:r>
    </w:p>
    <w:p>
      <w:pPr>
        <w:spacing w:after="0" w:line="252" w:lineRule="exact"/>
        <w:rPr>
          <w:sz w:val="20"/>
          <w:szCs w:val="20"/>
          <w:color w:val="auto"/>
        </w:rPr>
      </w:pPr>
    </w:p>
    <w:p>
      <w:pPr>
        <w:ind w:left="660" w:right="20"/>
        <w:spacing w:after="0" w:line="308" w:lineRule="auto"/>
        <w:rPr>
          <w:sz w:val="20"/>
          <w:szCs w:val="20"/>
          <w:color w:val="auto"/>
        </w:rPr>
      </w:pPr>
      <w:r>
        <w:rPr>
          <w:rFonts w:ascii="Arial" w:cs="Arial" w:eastAsia="Arial" w:hAnsi="Arial"/>
          <w:sz w:val="17"/>
          <w:szCs w:val="17"/>
          <w:color w:val="auto"/>
        </w:rPr>
        <w:t>Level 2 - Quoted prices for similar instruments in active markets, quoted prices for identical or similar instruments in markets that are not active and model-derived valuations in which all significant inputs and significant value drivers are observable in active markets; and</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7"/>
          <w:szCs w:val="17"/>
          <w:color w:val="auto"/>
        </w:rPr>
        <w:t>Level 3 - Valuations derived from valuation techniques in which one or more significant inputs or significant value drivers are unobservable.</w:t>
      </w:r>
    </w:p>
    <w:p>
      <w:pPr>
        <w:spacing w:after="0" w:line="26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utilize fair value measurements to record fair value adjustments to certain assets and liabilities and to determine fair value disclosures. The following methods and assumptions were used in order to estimate the fair value of each class of financial instruments for which it is practicable to estimate that value: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Marketable Securities</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Marketable securities held by us and accounted for under the ASC 321 “</w:t>
      </w:r>
      <w:r>
        <w:rPr>
          <w:rFonts w:ascii="Arial" w:cs="Arial" w:eastAsia="Arial" w:hAnsi="Arial"/>
          <w:sz w:val="18"/>
          <w:szCs w:val="18"/>
          <w:i w:val="1"/>
          <w:iCs w:val="1"/>
          <w:color w:val="auto"/>
        </w:rPr>
        <w:t>Investment Equity Securities</w:t>
      </w:r>
      <w:r>
        <w:rPr>
          <w:rFonts w:ascii="Arial" w:cs="Arial" w:eastAsia="Arial" w:hAnsi="Arial"/>
          <w:sz w:val="18"/>
          <w:szCs w:val="18"/>
          <w:color w:val="auto"/>
        </w:rPr>
        <w:t>” are measured at fair value. Any change in fair value is recognized in the Consolidated Statement of Operations in Remeasurement of marketable securities in accordance with ASU 2016-01 “</w:t>
      </w:r>
      <w:r>
        <w:rPr>
          <w:rFonts w:ascii="Arial" w:cs="Arial" w:eastAsia="Arial" w:hAnsi="Arial"/>
          <w:sz w:val="18"/>
          <w:szCs w:val="18"/>
          <w:i w:val="1"/>
          <w:iCs w:val="1"/>
          <w:color w:val="auto"/>
        </w:rPr>
        <w:t>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Instruments - Overall (Subtopic 825-10): Recognition and measurement of financial assets and financial liabilities</w:t>
      </w:r>
      <w:r>
        <w:rPr>
          <w:rFonts w:ascii="Arial" w:cs="Arial" w:eastAsia="Arial" w:hAnsi="Arial"/>
          <w:sz w:val="18"/>
          <w:szCs w:val="18"/>
          <w:color w:val="auto"/>
        </w:rPr>
        <w:t>.” The fair value is measured by the</w:t>
      </w:r>
      <w:r>
        <w:rPr>
          <w:rFonts w:ascii="Arial" w:cs="Arial" w:eastAsia="Arial" w:hAnsi="Arial"/>
          <w:sz w:val="18"/>
          <w:szCs w:val="18"/>
          <w:i w:val="1"/>
          <w:iCs w:val="1"/>
          <w:color w:val="auto"/>
        </w:rPr>
        <w:t xml:space="preserve"> </w:t>
      </w:r>
      <w:r>
        <w:rPr>
          <w:rFonts w:ascii="Arial" w:cs="Arial" w:eastAsia="Arial" w:hAnsi="Arial"/>
          <w:sz w:val="18"/>
          <w:szCs w:val="18"/>
          <w:color w:val="auto"/>
        </w:rPr>
        <w:t>quoted unadjusted share price which is readily available in active markets (Level 1).</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The change in the marketable securities balance is as follows (in thousands):</w:t>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7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60" w:type="dxa"/>
            <w:vAlign w:val="bottom"/>
            <w:gridSpan w:val="2"/>
          </w:tcPr>
          <w:p>
            <w:pPr>
              <w:jc w:val="center"/>
              <w:ind w:right="420"/>
              <w:spacing w:after="0"/>
              <w:rPr>
                <w:sz w:val="20"/>
                <w:szCs w:val="20"/>
                <w:color w:val="auto"/>
              </w:rPr>
            </w:pPr>
            <w:r>
              <w:rPr>
                <w:rFonts w:ascii="Arial" w:cs="Arial" w:eastAsia="Arial" w:hAnsi="Arial"/>
                <w:sz w:val="15"/>
                <w:szCs w:val="15"/>
                <w:b w:val="1"/>
                <w:bCs w:val="1"/>
                <w:color w:val="auto"/>
                <w:w w:val="92"/>
              </w:rPr>
              <w:t>Six Months Ended</w:t>
            </w:r>
          </w:p>
        </w:tc>
        <w:tc>
          <w:tcPr>
            <w:tcW w:w="200" w:type="dxa"/>
            <w:vAlign w:val="bottom"/>
          </w:tcPr>
          <w:p>
            <w:pPr>
              <w:spacing w:after="0"/>
              <w:rPr>
                <w:sz w:val="17"/>
                <w:szCs w:val="17"/>
                <w:color w:val="auto"/>
              </w:rPr>
            </w:pPr>
          </w:p>
        </w:tc>
        <w:tc>
          <w:tcPr>
            <w:tcW w:w="1640" w:type="dxa"/>
            <w:vAlign w:val="bottom"/>
          </w:tcPr>
          <w:p>
            <w:pPr>
              <w:jc w:val="right"/>
              <w:ind w:right="464"/>
              <w:spacing w:after="0"/>
              <w:rPr>
                <w:sz w:val="20"/>
                <w:szCs w:val="20"/>
                <w:color w:val="auto"/>
              </w:rPr>
            </w:pPr>
            <w:r>
              <w:rPr>
                <w:rFonts w:ascii="Arial" w:cs="Arial" w:eastAsia="Arial" w:hAnsi="Arial"/>
                <w:sz w:val="15"/>
                <w:szCs w:val="15"/>
                <w:b w:val="1"/>
                <w:bCs w:val="1"/>
                <w:color w:val="auto"/>
              </w:rPr>
              <w:t>Year Ended</w:t>
            </w:r>
          </w:p>
        </w:tc>
      </w:tr>
      <w:tr>
        <w:trPr>
          <w:trHeight w:val="220"/>
        </w:trPr>
        <w:tc>
          <w:tcPr>
            <w:tcW w:w="7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60" w:type="dxa"/>
            <w:vAlign w:val="bottom"/>
            <w:gridSpan w:val="2"/>
          </w:tcPr>
          <w:p>
            <w:pPr>
              <w:jc w:val="center"/>
              <w:ind w:right="420"/>
              <w:spacing w:after="0"/>
              <w:rPr>
                <w:sz w:val="20"/>
                <w:szCs w:val="20"/>
                <w:color w:val="auto"/>
              </w:rPr>
            </w:pPr>
            <w:r>
              <w:rPr>
                <w:rFonts w:ascii="Arial" w:cs="Arial" w:eastAsia="Arial" w:hAnsi="Arial"/>
                <w:sz w:val="15"/>
                <w:szCs w:val="15"/>
                <w:b w:val="1"/>
                <w:bCs w:val="1"/>
                <w:color w:val="auto"/>
                <w:w w:val="90"/>
              </w:rPr>
              <w:t>June 30, 2020</w:t>
            </w:r>
          </w:p>
        </w:tc>
        <w:tc>
          <w:tcPr>
            <w:tcW w:w="200" w:type="dxa"/>
            <w:vAlign w:val="bottom"/>
          </w:tcPr>
          <w:p>
            <w:pPr>
              <w:spacing w:after="0"/>
              <w:rPr>
                <w:sz w:val="19"/>
                <w:szCs w:val="19"/>
                <w:color w:val="auto"/>
              </w:rPr>
            </w:pPr>
          </w:p>
        </w:tc>
        <w:tc>
          <w:tcPr>
            <w:tcW w:w="1640" w:type="dxa"/>
            <w:vAlign w:val="bottom"/>
          </w:tcPr>
          <w:p>
            <w:pPr>
              <w:jc w:val="right"/>
              <w:ind w:right="224"/>
              <w:spacing w:after="0"/>
              <w:rPr>
                <w:sz w:val="20"/>
                <w:szCs w:val="20"/>
                <w:color w:val="auto"/>
              </w:rPr>
            </w:pPr>
            <w:r>
              <w:rPr>
                <w:rFonts w:ascii="Arial" w:cs="Arial" w:eastAsia="Arial" w:hAnsi="Arial"/>
                <w:sz w:val="15"/>
                <w:szCs w:val="15"/>
                <w:b w:val="1"/>
                <w:bCs w:val="1"/>
                <w:color w:val="auto"/>
                <w:w w:val="97"/>
              </w:rPr>
              <w:t>December 31, 2019</w:t>
            </w:r>
          </w:p>
        </w:tc>
      </w:tr>
      <w:tr>
        <w:trPr>
          <w:trHeight w:val="213"/>
        </w:trPr>
        <w:tc>
          <w:tcPr>
            <w:tcW w:w="73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Beginning Balance</w:t>
            </w:r>
          </w:p>
        </w:tc>
        <w:tc>
          <w:tcPr>
            <w:tcW w:w="200" w:type="dxa"/>
            <w:vAlign w:val="bottom"/>
            <w:tcBorders>
              <w:top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w w:val="95"/>
              </w:rPr>
              <w:t>$</w:t>
            </w:r>
          </w:p>
        </w:tc>
        <w:tc>
          <w:tcPr>
            <w:tcW w:w="1640" w:type="dxa"/>
            <w:vAlign w:val="bottom"/>
            <w:tcBorders>
              <w:top w:val="single" w:sz="8" w:color="auto"/>
            </w:tcBorders>
            <w:shd w:val="clear" w:color="auto" w:fill="CCEEFF"/>
          </w:tcPr>
          <w:p>
            <w:pPr>
              <w:jc w:val="right"/>
              <w:ind w:right="84"/>
              <w:spacing w:after="0"/>
              <w:rPr>
                <w:sz w:val="20"/>
                <w:szCs w:val="20"/>
                <w:color w:val="auto"/>
              </w:rPr>
            </w:pPr>
            <w:r>
              <w:rPr>
                <w:rFonts w:ascii="Arial" w:cs="Arial" w:eastAsia="Arial" w:hAnsi="Arial"/>
                <w:sz w:val="15"/>
                <w:szCs w:val="15"/>
                <w:color w:val="auto"/>
              </w:rPr>
              <w:t>94,727</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w w:val="95"/>
              </w:rPr>
              <w:t>$</w:t>
            </w:r>
          </w:p>
        </w:tc>
        <w:tc>
          <w:tcPr>
            <w:tcW w:w="1640" w:type="dxa"/>
            <w:vAlign w:val="bottom"/>
            <w:tcBorders>
              <w:top w:val="single" w:sz="8" w:color="auto"/>
            </w:tcBorders>
            <w:shd w:val="clear" w:color="auto" w:fill="CCEEFF"/>
          </w:tcPr>
          <w:p>
            <w:pPr>
              <w:jc w:val="right"/>
              <w:ind w:right="64"/>
              <w:spacing w:after="0"/>
              <w:rPr>
                <w:sz w:val="20"/>
                <w:szCs w:val="20"/>
                <w:color w:val="auto"/>
              </w:rPr>
            </w:pPr>
            <w:r>
              <w:rPr>
                <w:rFonts w:ascii="Arial" w:cs="Arial" w:eastAsia="Arial" w:hAnsi="Arial"/>
                <w:sz w:val="15"/>
                <w:szCs w:val="15"/>
                <w:color w:val="auto"/>
              </w:rPr>
              <w:t>49,037</w:t>
            </w:r>
          </w:p>
        </w:tc>
      </w:tr>
      <w:tr>
        <w:trPr>
          <w:trHeight w:val="212"/>
        </w:trPr>
        <w:tc>
          <w:tcPr>
            <w:tcW w:w="7340" w:type="dxa"/>
            <w:vAlign w:val="bottom"/>
          </w:tcPr>
          <w:p>
            <w:pPr>
              <w:ind w:left="220"/>
              <w:spacing w:after="0"/>
              <w:rPr>
                <w:sz w:val="20"/>
                <w:szCs w:val="20"/>
                <w:color w:val="auto"/>
              </w:rPr>
            </w:pPr>
            <w:r>
              <w:rPr>
                <w:rFonts w:ascii="Arial" w:cs="Arial" w:eastAsia="Arial" w:hAnsi="Arial"/>
                <w:sz w:val="15"/>
                <w:szCs w:val="15"/>
                <w:color w:val="auto"/>
              </w:rPr>
              <w:t>Additional purchase</w:t>
            </w:r>
          </w:p>
        </w:tc>
        <w:tc>
          <w:tcPr>
            <w:tcW w:w="200" w:type="dxa"/>
            <w:vAlign w:val="bottom"/>
          </w:tcPr>
          <w:p>
            <w:pPr>
              <w:spacing w:after="0"/>
              <w:rPr>
                <w:sz w:val="18"/>
                <w:szCs w:val="18"/>
                <w:color w:val="auto"/>
              </w:rPr>
            </w:pPr>
          </w:p>
        </w:tc>
        <w:tc>
          <w:tcPr>
            <w:tcW w:w="1640" w:type="dxa"/>
            <w:vAlign w:val="bottom"/>
          </w:tcPr>
          <w:p>
            <w:pPr>
              <w:jc w:val="right"/>
              <w:ind w:right="84"/>
              <w:spacing w:after="0"/>
              <w:rPr>
                <w:sz w:val="20"/>
                <w:szCs w:val="20"/>
                <w:color w:val="auto"/>
              </w:rPr>
            </w:pPr>
            <w:r>
              <w:rPr>
                <w:rFonts w:ascii="Arial" w:cs="Arial" w:eastAsia="Arial" w:hAnsi="Arial"/>
                <w:sz w:val="15"/>
                <w:szCs w:val="15"/>
                <w:color w:val="auto"/>
              </w:rPr>
              <w:t>11,757</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40" w:type="dxa"/>
            <w:vAlign w:val="bottom"/>
          </w:tcPr>
          <w:p>
            <w:pPr>
              <w:jc w:val="right"/>
              <w:ind w:right="64"/>
              <w:spacing w:after="0"/>
              <w:rPr>
                <w:sz w:val="20"/>
                <w:szCs w:val="20"/>
                <w:color w:val="auto"/>
              </w:rPr>
            </w:pPr>
            <w:r>
              <w:rPr>
                <w:rFonts w:ascii="Arial" w:cs="Arial" w:eastAsia="Arial" w:hAnsi="Arial"/>
                <w:sz w:val="15"/>
                <w:szCs w:val="15"/>
                <w:color w:val="auto"/>
              </w:rPr>
              <w:t>8,995</w:t>
            </w:r>
          </w:p>
        </w:tc>
      </w:tr>
      <w:tr>
        <w:trPr>
          <w:trHeight w:val="220"/>
        </w:trPr>
        <w:tc>
          <w:tcPr>
            <w:tcW w:w="7340" w:type="dxa"/>
            <w:vAlign w:val="bottom"/>
            <w:shd w:val="clear" w:color="auto" w:fill="CCEEFF"/>
          </w:tcPr>
          <w:p>
            <w:pPr>
              <w:ind w:left="220"/>
              <w:spacing w:after="0"/>
              <w:rPr>
                <w:sz w:val="20"/>
                <w:szCs w:val="20"/>
                <w:color w:val="auto"/>
              </w:rPr>
            </w:pPr>
            <w:r>
              <w:rPr>
                <w:rFonts w:ascii="Arial" w:cs="Arial" w:eastAsia="Arial" w:hAnsi="Arial"/>
                <w:sz w:val="15"/>
                <w:szCs w:val="15"/>
                <w:color w:val="auto"/>
              </w:rPr>
              <w:t>Change in fair value measurement</w:t>
            </w:r>
          </w:p>
        </w:tc>
        <w:tc>
          <w:tcPr>
            <w:tcW w:w="200" w:type="dxa"/>
            <w:vAlign w:val="bottom"/>
            <w:shd w:val="clear" w:color="auto" w:fill="CCEEFF"/>
          </w:tcPr>
          <w:p>
            <w:pPr>
              <w:spacing w:after="0"/>
              <w:rPr>
                <w:sz w:val="19"/>
                <w:szCs w:val="19"/>
                <w:color w:val="auto"/>
              </w:rPr>
            </w:pPr>
          </w:p>
        </w:tc>
        <w:tc>
          <w:tcPr>
            <w:tcW w:w="164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(4,128)</w:t>
            </w:r>
          </w:p>
        </w:tc>
        <w:tc>
          <w:tcPr>
            <w:tcW w:w="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4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34,240</w:t>
            </w:r>
          </w:p>
        </w:tc>
      </w:tr>
      <w:tr>
        <w:trPr>
          <w:trHeight w:val="212"/>
        </w:trPr>
        <w:tc>
          <w:tcPr>
            <w:tcW w:w="7340" w:type="dxa"/>
            <w:vAlign w:val="bottom"/>
          </w:tcPr>
          <w:p>
            <w:pPr>
              <w:ind w:left="220"/>
              <w:spacing w:after="0"/>
              <w:rPr>
                <w:sz w:val="20"/>
                <w:szCs w:val="20"/>
                <w:color w:val="auto"/>
              </w:rPr>
            </w:pPr>
            <w:r>
              <w:rPr>
                <w:rFonts w:ascii="Arial" w:cs="Arial" w:eastAsia="Arial" w:hAnsi="Arial"/>
                <w:sz w:val="15"/>
                <w:szCs w:val="15"/>
                <w:color w:val="auto"/>
              </w:rPr>
              <w:t>Foreign currency translation adjustment</w:t>
            </w:r>
          </w:p>
        </w:tc>
        <w:tc>
          <w:tcPr>
            <w:tcW w:w="200" w:type="dxa"/>
            <w:vAlign w:val="bottom"/>
          </w:tcPr>
          <w:p>
            <w:pPr>
              <w:spacing w:after="0"/>
              <w:rPr>
                <w:sz w:val="18"/>
                <w:szCs w:val="18"/>
                <w:color w:val="auto"/>
              </w:rPr>
            </w:pPr>
          </w:p>
        </w:tc>
        <w:tc>
          <w:tcPr>
            <w:tcW w:w="1640" w:type="dxa"/>
            <w:vAlign w:val="bottom"/>
          </w:tcPr>
          <w:p>
            <w:pPr>
              <w:jc w:val="right"/>
              <w:ind w:right="44"/>
              <w:spacing w:after="0"/>
              <w:rPr>
                <w:sz w:val="20"/>
                <w:szCs w:val="20"/>
                <w:color w:val="auto"/>
              </w:rPr>
            </w:pPr>
            <w:r>
              <w:rPr>
                <w:rFonts w:ascii="Arial" w:cs="Arial" w:eastAsia="Arial" w:hAnsi="Arial"/>
                <w:sz w:val="15"/>
                <w:szCs w:val="15"/>
                <w:color w:val="auto"/>
              </w:rPr>
              <w:t>(2,728)</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40" w:type="dxa"/>
            <w:vAlign w:val="bottom"/>
          </w:tcPr>
          <w:p>
            <w:pPr>
              <w:jc w:val="right"/>
              <w:ind w:right="64"/>
              <w:spacing w:after="0"/>
              <w:rPr>
                <w:sz w:val="20"/>
                <w:szCs w:val="20"/>
                <w:color w:val="auto"/>
              </w:rPr>
            </w:pPr>
            <w:r>
              <w:rPr>
                <w:rFonts w:ascii="Arial" w:cs="Arial" w:eastAsia="Arial" w:hAnsi="Arial"/>
                <w:sz w:val="15"/>
                <w:szCs w:val="15"/>
                <w:color w:val="auto"/>
              </w:rPr>
              <w:t>816</w:t>
            </w:r>
          </w:p>
        </w:tc>
      </w:tr>
      <w:tr>
        <w:trPr>
          <w:trHeight w:val="216"/>
        </w:trPr>
        <w:tc>
          <w:tcPr>
            <w:tcW w:w="7340" w:type="dxa"/>
            <w:vAlign w:val="bottom"/>
            <w:shd w:val="clear" w:color="auto" w:fill="CCEEFF"/>
          </w:tcPr>
          <w:p>
            <w:pPr>
              <w:ind w:left="220"/>
              <w:spacing w:after="0"/>
              <w:rPr>
                <w:sz w:val="20"/>
                <w:szCs w:val="20"/>
                <w:color w:val="auto"/>
              </w:rPr>
            </w:pPr>
            <w:r>
              <w:rPr>
                <w:rFonts w:ascii="Arial" w:cs="Arial" w:eastAsia="Arial" w:hAnsi="Arial"/>
                <w:sz w:val="15"/>
                <w:szCs w:val="15"/>
                <w:color w:val="auto"/>
              </w:rPr>
              <w:t>Dividend reinvestment, net of tax</w:t>
            </w:r>
          </w:p>
        </w:tc>
        <w:tc>
          <w:tcPr>
            <w:tcW w:w="200" w:type="dxa"/>
            <w:vAlign w:val="bottom"/>
            <w:tcBorders>
              <w:bottom w:val="single" w:sz="8" w:color="auto"/>
            </w:tcBorders>
            <w:shd w:val="clear" w:color="auto" w:fill="CCEEFF"/>
          </w:tcPr>
          <w:p>
            <w:pPr>
              <w:spacing w:after="0"/>
              <w:rPr>
                <w:sz w:val="18"/>
                <w:szCs w:val="18"/>
                <w:color w:val="auto"/>
              </w:rPr>
            </w:pPr>
          </w:p>
        </w:tc>
        <w:tc>
          <w:tcPr>
            <w:tcW w:w="1640" w:type="dxa"/>
            <w:vAlign w:val="bottom"/>
            <w:tcBorders>
              <w:bottom w:val="single" w:sz="8" w:color="auto"/>
            </w:tcBorders>
            <w:shd w:val="clear" w:color="auto" w:fill="CCEEFF"/>
          </w:tcPr>
          <w:p>
            <w:pPr>
              <w:jc w:val="right"/>
              <w:ind w:right="84"/>
              <w:spacing w:after="0"/>
              <w:rPr>
                <w:sz w:val="20"/>
                <w:szCs w:val="20"/>
                <w:color w:val="auto"/>
              </w:rPr>
            </w:pPr>
            <w:r>
              <w:rPr>
                <w:rFonts w:ascii="Arial" w:cs="Arial" w:eastAsia="Arial" w:hAnsi="Arial"/>
                <w:sz w:val="15"/>
                <w:szCs w:val="15"/>
                <w:color w:val="auto"/>
              </w:rPr>
              <w:t>936</w:t>
            </w:r>
          </w:p>
        </w:tc>
        <w:tc>
          <w:tcPr>
            <w:tcW w:w="2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640" w:type="dxa"/>
            <w:vAlign w:val="bottom"/>
            <w:tcBorders>
              <w:bottom w:val="single" w:sz="8" w:color="auto"/>
            </w:tcBorders>
            <w:shd w:val="clear" w:color="auto" w:fill="CCEEFF"/>
          </w:tcPr>
          <w:p>
            <w:pPr>
              <w:jc w:val="right"/>
              <w:ind w:right="64"/>
              <w:spacing w:after="0"/>
              <w:rPr>
                <w:sz w:val="20"/>
                <w:szCs w:val="20"/>
                <w:color w:val="auto"/>
              </w:rPr>
            </w:pPr>
            <w:r>
              <w:rPr>
                <w:rFonts w:ascii="Arial" w:cs="Arial" w:eastAsia="Arial" w:hAnsi="Arial"/>
                <w:sz w:val="15"/>
                <w:szCs w:val="15"/>
                <w:color w:val="auto"/>
              </w:rPr>
              <w:t>1,639</w:t>
            </w:r>
          </w:p>
        </w:tc>
      </w:tr>
      <w:tr>
        <w:trPr>
          <w:trHeight w:val="213"/>
        </w:trPr>
        <w:tc>
          <w:tcPr>
            <w:tcW w:w="7340" w:type="dxa"/>
            <w:vAlign w:val="bottom"/>
          </w:tcPr>
          <w:p>
            <w:pPr>
              <w:ind w:left="20"/>
              <w:spacing w:after="0"/>
              <w:rPr>
                <w:sz w:val="20"/>
                <w:szCs w:val="20"/>
                <w:color w:val="auto"/>
              </w:rPr>
            </w:pPr>
            <w:r>
              <w:rPr>
                <w:rFonts w:ascii="Arial" w:cs="Arial" w:eastAsia="Arial" w:hAnsi="Arial"/>
                <w:sz w:val="15"/>
                <w:szCs w:val="15"/>
                <w:b w:val="1"/>
                <w:bCs w:val="1"/>
                <w:color w:val="auto"/>
              </w:rPr>
              <w:t>Ending Balance</w:t>
            </w:r>
          </w:p>
        </w:tc>
        <w:tc>
          <w:tcPr>
            <w:tcW w:w="20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w w:val="95"/>
              </w:rPr>
              <w:t>$</w:t>
            </w:r>
          </w:p>
        </w:tc>
        <w:tc>
          <w:tcPr>
            <w:tcW w:w="164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color w:val="auto"/>
              </w:rPr>
              <w:t>100,564</w:t>
            </w:r>
          </w:p>
        </w:tc>
        <w:tc>
          <w:tcPr>
            <w:tcW w:w="220" w:type="dxa"/>
            <w:vAlign w:val="bottom"/>
          </w:tcPr>
          <w:p>
            <w:pPr>
              <w:spacing w:after="0"/>
              <w:rPr>
                <w:sz w:val="18"/>
                <w:szCs w:val="18"/>
                <w:color w:val="auto"/>
              </w:rPr>
            </w:pPr>
          </w:p>
        </w:tc>
        <w:tc>
          <w:tcPr>
            <w:tcW w:w="20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w w:val="95"/>
              </w:rPr>
              <w:t>$</w:t>
            </w:r>
          </w:p>
        </w:tc>
        <w:tc>
          <w:tcPr>
            <w:tcW w:w="164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color w:val="auto"/>
              </w:rPr>
              <w:t>94,727</w:t>
            </w:r>
          </w:p>
        </w:tc>
      </w:tr>
      <w:tr>
        <w:trPr>
          <w:trHeight w:val="20"/>
        </w:trPr>
        <w:tc>
          <w:tcPr>
            <w:tcW w:w="7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Installment Notes Receivable on Manufactured Homes</w:t>
      </w:r>
    </w:p>
    <w:p>
      <w:pPr>
        <w:spacing w:after="0" w:line="2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Installment notes receivable on manufactured homes are recorded at fair value and are measured using model-derived indicative pricing using observable inputs, inclusive of default rates, interest rates and recovery rates (Level 2). Refer to Note 4, “Notes and Other Receivables,” and Note 17, “Recent Accounting Pronouncement,” for additional detail.</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Notes Receivable from Real Estate Developers</w:t>
      </w:r>
    </w:p>
    <w:p>
      <w:pPr>
        <w:spacing w:after="0" w:line="252"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Notes receivable from real estate developers are recorded at fair value and are measured using prevailing market interest rates (Level 2).The carrying values of the notes generally approximate their fair market values either due to the nature of the note and/or the note being secured by underlying collateral and/or personal guarantees. Refer to Note 4, “Notes and Other Receivables,” and Note 17, “Recent Accounting Pronouncement,” for additional detail.</w:t>
      </w:r>
    </w:p>
    <w:p>
      <w:pPr>
        <w:sectPr>
          <w:pgSz w:w="11900" w:h="16838" w:orient="portrait"/>
          <w:cols w:equalWidth="0" w:num="1">
            <w:col w:w="11240"/>
          </w:cols>
          <w:pgMar w:left="320" w:top="12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type w:val="continuous"/>
        </w:sectPr>
      </w:pPr>
    </w:p>
    <w:bookmarkStart w:id="29" w:name="page30"/>
    <w:bookmarkEnd w:id="29"/>
    <w:p>
      <w:pPr>
        <w:jc w:val="center"/>
        <w:spacing w:after="0"/>
        <w:rPr>
          <w:sz w:val="20"/>
          <w:szCs w:val="20"/>
          <w:color w:val="auto"/>
        </w:rPr>
      </w:pPr>
      <w:r>
        <w:rPr>
          <w:rFonts w:ascii="Arial" w:cs="Arial" w:eastAsia="Arial" w:hAnsi="Arial"/>
          <w:sz w:val="16"/>
          <w:szCs w:val="16"/>
          <w:b w:val="1"/>
          <w:bCs w:val="1"/>
          <w:color w:val="auto"/>
        </w:rPr>
        <w:t>SUN COMMUNITIES, INC.</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 -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Long-Term Debt and Lines of Credit</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fair value of long-term debt is based on the estimates of management and on rates currently quoted, rates currently prevailing for comparable loans, and instruments of comparable maturities (Level 2). Refer to Note 8, “Debt and Lines of Credit,” for additional information.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Liabilities</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estimate the fair value of our contingent consideration liability based on discounting of future cash flows using market interest rates and adjusting for non-performance risk over the remaining term of the liability (Level 2).</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Financial Instruments</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carrying values of cash and cash equivalents, other receivables, and accounts payable approximate their fair market values due to the short-term nature of those instruments.</w:t>
      </w:r>
    </w:p>
    <w:p>
      <w:pPr>
        <w:spacing w:after="0" w:line="197"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table below sets forth our financial assets and liabilities that required disclosure of fair value on a recurring basis as of June 30, 2020. The table presents the carrying values and fair values of our financial instruments as of June 30, 2020 and December 31, 2019, that were measured using the valuation techniques described above (in thousands). The table excludes other financial instruments such as cash and cash equivalents, other receivables, and accounts payable as the carrying values associated with these instruments approximate their fair value since their maturities are less than one year.</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6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320" w:type="dxa"/>
            <w:vAlign w:val="bottom"/>
            <w:gridSpan w:val="5"/>
          </w:tcPr>
          <w:p>
            <w:pPr>
              <w:ind w:left="340"/>
              <w:spacing w:after="0"/>
              <w:rPr>
                <w:sz w:val="20"/>
                <w:szCs w:val="20"/>
                <w:color w:val="auto"/>
              </w:rPr>
            </w:pPr>
            <w:r>
              <w:rPr>
                <w:rFonts w:ascii="Arial" w:cs="Arial" w:eastAsia="Arial" w:hAnsi="Arial"/>
                <w:sz w:val="15"/>
                <w:szCs w:val="15"/>
                <w:b w:val="1"/>
                <w:bCs w:val="1"/>
                <w:color w:val="auto"/>
              </w:rPr>
              <w:t>Six Months Ended</w:t>
            </w:r>
          </w:p>
        </w:tc>
        <w:tc>
          <w:tcPr>
            <w:tcW w:w="220" w:type="dxa"/>
            <w:vAlign w:val="bottom"/>
          </w:tcPr>
          <w:p>
            <w:pPr>
              <w:spacing w:after="0"/>
              <w:rPr>
                <w:sz w:val="17"/>
                <w:szCs w:val="17"/>
                <w:color w:val="auto"/>
              </w:rPr>
            </w:pPr>
          </w:p>
        </w:tc>
        <w:tc>
          <w:tcPr>
            <w:tcW w:w="1320" w:type="dxa"/>
            <w:vAlign w:val="bottom"/>
            <w:gridSpan w:val="3"/>
          </w:tcPr>
          <w:p>
            <w:pPr>
              <w:jc w:val="right"/>
              <w:spacing w:after="0"/>
              <w:rPr>
                <w:sz w:val="20"/>
                <w:szCs w:val="20"/>
                <w:color w:val="auto"/>
              </w:rPr>
            </w:pPr>
            <w:r>
              <w:rPr>
                <w:rFonts w:ascii="Arial" w:cs="Arial" w:eastAsia="Arial" w:hAnsi="Arial"/>
                <w:sz w:val="15"/>
                <w:szCs w:val="15"/>
                <w:b w:val="1"/>
                <w:bCs w:val="1"/>
                <w:color w:val="auto"/>
              </w:rPr>
              <w:t>Year Ended</w:t>
            </w:r>
          </w:p>
        </w:tc>
        <w:tc>
          <w:tcPr>
            <w:tcW w:w="780" w:type="dxa"/>
            <w:vAlign w:val="bottom"/>
          </w:tcPr>
          <w:p>
            <w:pPr>
              <w:spacing w:after="0"/>
              <w:rPr>
                <w:sz w:val="17"/>
                <w:szCs w:val="17"/>
                <w:color w:val="auto"/>
              </w:rPr>
            </w:pPr>
          </w:p>
        </w:tc>
      </w:tr>
      <w:tr>
        <w:trPr>
          <w:trHeight w:val="220"/>
        </w:trPr>
        <w:tc>
          <w:tcPr>
            <w:tcW w:w="63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100" w:type="dxa"/>
            <w:vAlign w:val="bottom"/>
            <w:tcBorders>
              <w:bottom w:val="single" w:sz="8" w:color="auto"/>
            </w:tcBorders>
            <w:gridSpan w:val="4"/>
          </w:tcPr>
          <w:p>
            <w:pPr>
              <w:jc w:val="right"/>
              <w:ind w:right="644"/>
              <w:spacing w:after="0"/>
              <w:rPr>
                <w:sz w:val="20"/>
                <w:szCs w:val="20"/>
                <w:color w:val="auto"/>
              </w:rPr>
            </w:pPr>
            <w:r>
              <w:rPr>
                <w:rFonts w:ascii="Arial" w:cs="Arial" w:eastAsia="Arial" w:hAnsi="Arial"/>
                <w:sz w:val="15"/>
                <w:szCs w:val="15"/>
                <w:b w:val="1"/>
                <w:bCs w:val="1"/>
                <w:color w:val="auto"/>
              </w:rPr>
              <w:t>June 30, 2020</w:t>
            </w:r>
          </w:p>
        </w:tc>
        <w:tc>
          <w:tcPr>
            <w:tcW w:w="2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100" w:type="dxa"/>
            <w:vAlign w:val="bottom"/>
            <w:tcBorders>
              <w:bottom w:val="single" w:sz="8" w:color="auto"/>
            </w:tcBorders>
            <w:gridSpan w:val="4"/>
          </w:tcPr>
          <w:p>
            <w:pPr>
              <w:jc w:val="right"/>
              <w:ind w:right="464"/>
              <w:spacing w:after="0"/>
              <w:rPr>
                <w:sz w:val="20"/>
                <w:szCs w:val="20"/>
                <w:color w:val="auto"/>
              </w:rPr>
            </w:pPr>
            <w:r>
              <w:rPr>
                <w:rFonts w:ascii="Arial" w:cs="Arial" w:eastAsia="Arial" w:hAnsi="Arial"/>
                <w:sz w:val="15"/>
                <w:szCs w:val="15"/>
                <w:b w:val="1"/>
                <w:bCs w:val="1"/>
                <w:color w:val="auto"/>
              </w:rPr>
              <w:t>December 31, 2019</w:t>
            </w:r>
          </w:p>
        </w:tc>
      </w:tr>
      <w:tr>
        <w:trPr>
          <w:trHeight w:val="169"/>
        </w:trPr>
        <w:tc>
          <w:tcPr>
            <w:tcW w:w="6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gridSpan w:val="2"/>
          </w:tcPr>
          <w:p>
            <w:pPr>
              <w:jc w:val="center"/>
              <w:ind w:right="440"/>
              <w:spacing w:after="0" w:line="169" w:lineRule="exact"/>
              <w:rPr>
                <w:sz w:val="20"/>
                <w:szCs w:val="20"/>
                <w:color w:val="auto"/>
              </w:rPr>
            </w:pPr>
            <w:r>
              <w:rPr>
                <w:rFonts w:ascii="Arial" w:cs="Arial" w:eastAsia="Arial" w:hAnsi="Arial"/>
                <w:sz w:val="15"/>
                <w:szCs w:val="15"/>
                <w:b w:val="1"/>
                <w:bCs w:val="1"/>
                <w:color w:val="auto"/>
              </w:rPr>
              <w:t>Fair</w:t>
            </w: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tcPr>
          <w:p>
            <w:pPr>
              <w:jc w:val="right"/>
              <w:ind w:right="344"/>
              <w:spacing w:after="0" w:line="169" w:lineRule="exact"/>
              <w:rPr>
                <w:sz w:val="20"/>
                <w:szCs w:val="20"/>
                <w:color w:val="auto"/>
              </w:rPr>
            </w:pPr>
            <w:r>
              <w:rPr>
                <w:rFonts w:ascii="Arial" w:cs="Arial" w:eastAsia="Arial" w:hAnsi="Arial"/>
                <w:sz w:val="15"/>
                <w:szCs w:val="15"/>
                <w:b w:val="1"/>
                <w:bCs w:val="1"/>
                <w:color w:val="auto"/>
              </w:rPr>
              <w:t>Fair</w:t>
            </w:r>
          </w:p>
        </w:tc>
      </w:tr>
      <w:tr>
        <w:trPr>
          <w:trHeight w:val="202"/>
        </w:trPr>
        <w:tc>
          <w:tcPr>
            <w:tcW w:w="6360" w:type="dxa"/>
            <w:vAlign w:val="bottom"/>
          </w:tcPr>
          <w:p>
            <w:pPr>
              <w:ind w:left="20"/>
              <w:spacing w:after="0"/>
              <w:rPr>
                <w:sz w:val="20"/>
                <w:szCs w:val="20"/>
                <w:color w:val="auto"/>
              </w:rPr>
            </w:pPr>
            <w:r>
              <w:rPr>
                <w:rFonts w:ascii="Arial" w:cs="Arial" w:eastAsia="Arial" w:hAnsi="Arial"/>
                <w:sz w:val="15"/>
                <w:szCs w:val="15"/>
                <w:b w:val="1"/>
                <w:bCs w:val="1"/>
                <w:color w:val="auto"/>
              </w:rPr>
              <w:t>Financial Assets</w:t>
            </w:r>
          </w:p>
        </w:tc>
        <w:tc>
          <w:tcPr>
            <w:tcW w:w="1200" w:type="dxa"/>
            <w:vAlign w:val="bottom"/>
            <w:gridSpan w:val="3"/>
          </w:tcPr>
          <w:p>
            <w:pPr>
              <w:ind w:left="40"/>
              <w:spacing w:after="0"/>
              <w:rPr>
                <w:sz w:val="20"/>
                <w:szCs w:val="20"/>
                <w:color w:val="auto"/>
              </w:rPr>
            </w:pPr>
            <w:r>
              <w:rPr>
                <w:rFonts w:ascii="Arial" w:cs="Arial" w:eastAsia="Arial" w:hAnsi="Arial"/>
                <w:sz w:val="15"/>
                <w:szCs w:val="15"/>
                <w:b w:val="1"/>
                <w:bCs w:val="1"/>
                <w:color w:val="auto"/>
              </w:rPr>
              <w:t>Carrying Value</w:t>
            </w:r>
          </w:p>
        </w:tc>
        <w:tc>
          <w:tcPr>
            <w:tcW w:w="220" w:type="dxa"/>
            <w:vAlign w:val="bottom"/>
          </w:tcPr>
          <w:p>
            <w:pPr>
              <w:spacing w:after="0"/>
              <w:rPr>
                <w:sz w:val="17"/>
                <w:szCs w:val="17"/>
                <w:color w:val="auto"/>
              </w:rPr>
            </w:pPr>
          </w:p>
        </w:tc>
        <w:tc>
          <w:tcPr>
            <w:tcW w:w="1120" w:type="dxa"/>
            <w:vAlign w:val="bottom"/>
            <w:gridSpan w:val="2"/>
          </w:tcPr>
          <w:p>
            <w:pPr>
              <w:jc w:val="center"/>
              <w:ind w:right="440"/>
              <w:spacing w:after="0"/>
              <w:rPr>
                <w:sz w:val="20"/>
                <w:szCs w:val="20"/>
                <w:color w:val="auto"/>
              </w:rPr>
            </w:pPr>
            <w:r>
              <w:rPr>
                <w:rFonts w:ascii="Arial" w:cs="Arial" w:eastAsia="Arial" w:hAnsi="Arial"/>
                <w:sz w:val="15"/>
                <w:szCs w:val="15"/>
                <w:b w:val="1"/>
                <w:bCs w:val="1"/>
                <w:color w:val="auto"/>
                <w:w w:val="89"/>
              </w:rPr>
              <w:t>Value</w:t>
            </w:r>
          </w:p>
        </w:tc>
        <w:tc>
          <w:tcPr>
            <w:tcW w:w="1220" w:type="dxa"/>
            <w:vAlign w:val="bottom"/>
            <w:gridSpan w:val="3"/>
          </w:tcPr>
          <w:p>
            <w:pPr>
              <w:ind w:left="60"/>
              <w:spacing w:after="0"/>
              <w:rPr>
                <w:sz w:val="20"/>
                <w:szCs w:val="20"/>
                <w:color w:val="auto"/>
              </w:rPr>
            </w:pPr>
            <w:r>
              <w:rPr>
                <w:rFonts w:ascii="Arial" w:cs="Arial" w:eastAsia="Arial" w:hAnsi="Arial"/>
                <w:sz w:val="15"/>
                <w:szCs w:val="15"/>
                <w:b w:val="1"/>
                <w:bCs w:val="1"/>
                <w:color w:val="auto"/>
              </w:rPr>
              <w:t>Carrying Value</w:t>
            </w:r>
          </w:p>
        </w:tc>
        <w:tc>
          <w:tcPr>
            <w:tcW w:w="320" w:type="dxa"/>
            <w:vAlign w:val="bottom"/>
          </w:tcPr>
          <w:p>
            <w:pPr>
              <w:spacing w:after="0"/>
              <w:rPr>
                <w:sz w:val="17"/>
                <w:szCs w:val="17"/>
                <w:color w:val="auto"/>
              </w:rPr>
            </w:pPr>
          </w:p>
        </w:tc>
        <w:tc>
          <w:tcPr>
            <w:tcW w:w="780" w:type="dxa"/>
            <w:vAlign w:val="bottom"/>
          </w:tcPr>
          <w:p>
            <w:pPr>
              <w:jc w:val="right"/>
              <w:ind w:right="284"/>
              <w:spacing w:after="0"/>
              <w:rPr>
                <w:sz w:val="20"/>
                <w:szCs w:val="20"/>
                <w:color w:val="auto"/>
              </w:rPr>
            </w:pPr>
            <w:r>
              <w:rPr>
                <w:rFonts w:ascii="Arial" w:cs="Arial" w:eastAsia="Arial" w:hAnsi="Arial"/>
                <w:sz w:val="15"/>
                <w:szCs w:val="15"/>
                <w:b w:val="1"/>
                <w:bCs w:val="1"/>
                <w:color w:val="auto"/>
                <w:w w:val="99"/>
              </w:rPr>
              <w:t>Value</w:t>
            </w:r>
          </w:p>
        </w:tc>
      </w:tr>
      <w:tr>
        <w:trPr>
          <w:trHeight w:val="214"/>
        </w:trPr>
        <w:tc>
          <w:tcPr>
            <w:tcW w:w="6360" w:type="dxa"/>
            <w:vAlign w:val="bottom"/>
            <w:tcBorders>
              <w:top w:val="single" w:sz="8" w:color="CCEEFF"/>
            </w:tcBorders>
            <w:shd w:val="clear" w:color="auto" w:fill="CCEEFF"/>
          </w:tcPr>
          <w:p>
            <w:pPr>
              <w:ind w:left="120"/>
              <w:spacing w:after="0"/>
              <w:rPr>
                <w:sz w:val="20"/>
                <w:szCs w:val="20"/>
                <w:color w:val="auto"/>
              </w:rPr>
            </w:pPr>
            <w:r>
              <w:rPr>
                <w:rFonts w:ascii="Arial" w:cs="Arial" w:eastAsia="Arial" w:hAnsi="Arial"/>
                <w:sz w:val="15"/>
                <w:szCs w:val="15"/>
                <w:color w:val="auto"/>
              </w:rPr>
              <w:t>Marketable securities</w:t>
            </w:r>
          </w:p>
        </w:tc>
        <w:tc>
          <w:tcPr>
            <w:tcW w:w="220" w:type="dxa"/>
            <w:vAlign w:val="bottom"/>
            <w:tcBorders>
              <w:top w:val="single" w:sz="8" w:color="auto"/>
            </w:tcBorders>
            <w:shd w:val="clear" w:color="auto" w:fill="CCEEFF"/>
          </w:tcPr>
          <w:p>
            <w:pPr>
              <w:jc w:val="right"/>
              <w:ind w:right="64"/>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ind w:right="64"/>
              <w:spacing w:after="0"/>
              <w:rPr>
                <w:sz w:val="20"/>
                <w:szCs w:val="20"/>
                <w:color w:val="auto"/>
              </w:rPr>
            </w:pPr>
            <w:r>
              <w:rPr>
                <w:rFonts w:ascii="Arial" w:cs="Arial" w:eastAsia="Arial" w:hAnsi="Arial"/>
                <w:sz w:val="15"/>
                <w:szCs w:val="15"/>
                <w:color w:val="auto"/>
              </w:rPr>
              <w:t>100,564</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w w:val="95"/>
              </w:rPr>
              <w:t>$</w:t>
            </w:r>
          </w:p>
        </w:tc>
        <w:tc>
          <w:tcPr>
            <w:tcW w:w="900" w:type="dxa"/>
            <w:vAlign w:val="bottom"/>
            <w:tcBorders>
              <w:top w:val="single" w:sz="8" w:color="auto"/>
            </w:tcBorders>
            <w:shd w:val="clear" w:color="auto" w:fill="CCEEFF"/>
          </w:tcPr>
          <w:p>
            <w:pPr>
              <w:jc w:val="right"/>
              <w:ind w:right="84"/>
              <w:spacing w:after="0"/>
              <w:rPr>
                <w:sz w:val="20"/>
                <w:szCs w:val="20"/>
                <w:color w:val="auto"/>
              </w:rPr>
            </w:pPr>
            <w:r>
              <w:rPr>
                <w:rFonts w:ascii="Arial" w:cs="Arial" w:eastAsia="Arial" w:hAnsi="Arial"/>
                <w:sz w:val="15"/>
                <w:szCs w:val="15"/>
                <w:color w:val="auto"/>
              </w:rPr>
              <w:t>100,564</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w w:val="95"/>
              </w:rPr>
              <w:t>$</w:t>
            </w:r>
          </w:p>
        </w:tc>
        <w:tc>
          <w:tcPr>
            <w:tcW w:w="900" w:type="dxa"/>
            <w:vAlign w:val="bottom"/>
            <w:tcBorders>
              <w:top w:val="single" w:sz="8" w:color="auto"/>
            </w:tcBorders>
            <w:shd w:val="clear" w:color="auto" w:fill="CCEEFF"/>
          </w:tcPr>
          <w:p>
            <w:pPr>
              <w:jc w:val="right"/>
              <w:ind w:right="84"/>
              <w:spacing w:after="0"/>
              <w:rPr>
                <w:sz w:val="20"/>
                <w:szCs w:val="20"/>
                <w:color w:val="auto"/>
              </w:rPr>
            </w:pPr>
            <w:r>
              <w:rPr>
                <w:rFonts w:ascii="Arial" w:cs="Arial" w:eastAsia="Arial" w:hAnsi="Arial"/>
                <w:sz w:val="15"/>
                <w:szCs w:val="15"/>
                <w:color w:val="auto"/>
              </w:rPr>
              <w:t>94,727</w:t>
            </w: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44"/>
              <w:spacing w:after="0"/>
              <w:rPr>
                <w:sz w:val="20"/>
                <w:szCs w:val="20"/>
                <w:color w:val="auto"/>
              </w:rPr>
            </w:pPr>
            <w:r>
              <w:rPr>
                <w:rFonts w:ascii="Arial" w:cs="Arial" w:eastAsia="Arial" w:hAnsi="Arial"/>
                <w:sz w:val="15"/>
                <w:szCs w:val="15"/>
                <w:color w:val="auto"/>
                <w:w w:val="95"/>
              </w:rPr>
              <w:t>$</w:t>
            </w:r>
          </w:p>
        </w:tc>
        <w:tc>
          <w:tcPr>
            <w:tcW w:w="780" w:type="dxa"/>
            <w:vAlign w:val="bottom"/>
            <w:tcBorders>
              <w:top w:val="single" w:sz="8" w:color="auto"/>
            </w:tcBorders>
            <w:shd w:val="clear" w:color="auto" w:fill="CCEEFF"/>
          </w:tcPr>
          <w:p>
            <w:pPr>
              <w:jc w:val="right"/>
              <w:ind w:right="84"/>
              <w:spacing w:after="0"/>
              <w:rPr>
                <w:sz w:val="20"/>
                <w:szCs w:val="20"/>
                <w:color w:val="auto"/>
              </w:rPr>
            </w:pPr>
            <w:r>
              <w:rPr>
                <w:rFonts w:ascii="Arial" w:cs="Arial" w:eastAsia="Arial" w:hAnsi="Arial"/>
                <w:sz w:val="15"/>
                <w:szCs w:val="15"/>
                <w:color w:val="auto"/>
              </w:rPr>
              <w:t>94,727</w:t>
            </w:r>
          </w:p>
        </w:tc>
      </w:tr>
      <w:tr>
        <w:trPr>
          <w:trHeight w:val="212"/>
        </w:trPr>
        <w:tc>
          <w:tcPr>
            <w:tcW w:w="6360" w:type="dxa"/>
            <w:vAlign w:val="bottom"/>
          </w:tcPr>
          <w:p>
            <w:pPr>
              <w:ind w:left="120"/>
              <w:spacing w:after="0"/>
              <w:rPr>
                <w:sz w:val="20"/>
                <w:szCs w:val="20"/>
                <w:color w:val="auto"/>
              </w:rPr>
            </w:pPr>
            <w:r>
              <w:rPr>
                <w:rFonts w:ascii="Arial" w:cs="Arial" w:eastAsia="Arial" w:hAnsi="Arial"/>
                <w:sz w:val="15"/>
                <w:szCs w:val="15"/>
                <w:color w:val="auto"/>
              </w:rPr>
              <w:t>Installment notes receivable on manufactured homes, net</w:t>
            </w:r>
          </w:p>
        </w:tc>
        <w:tc>
          <w:tcPr>
            <w:tcW w:w="220" w:type="dxa"/>
            <w:vAlign w:val="bottom"/>
          </w:tcPr>
          <w:p>
            <w:pPr>
              <w:spacing w:after="0"/>
              <w:rPr>
                <w:sz w:val="18"/>
                <w:szCs w:val="18"/>
                <w:color w:val="auto"/>
              </w:rPr>
            </w:pPr>
          </w:p>
        </w:tc>
        <w:tc>
          <w:tcPr>
            <w:tcW w:w="880" w:type="dxa"/>
            <w:vAlign w:val="bottom"/>
          </w:tcPr>
          <w:p>
            <w:pPr>
              <w:jc w:val="right"/>
              <w:ind w:right="64"/>
              <w:spacing w:after="0"/>
              <w:rPr>
                <w:sz w:val="20"/>
                <w:szCs w:val="20"/>
                <w:color w:val="auto"/>
              </w:rPr>
            </w:pPr>
            <w:r>
              <w:rPr>
                <w:rFonts w:ascii="Arial" w:cs="Arial" w:eastAsia="Arial" w:hAnsi="Arial"/>
                <w:sz w:val="15"/>
                <w:szCs w:val="15"/>
                <w:color w:val="auto"/>
              </w:rPr>
              <w:t>90,047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ind w:right="84"/>
              <w:spacing w:after="0"/>
              <w:rPr>
                <w:sz w:val="20"/>
                <w:szCs w:val="20"/>
                <w:color w:val="auto"/>
              </w:rPr>
            </w:pPr>
            <w:r>
              <w:rPr>
                <w:rFonts w:ascii="Arial" w:cs="Arial" w:eastAsia="Arial" w:hAnsi="Arial"/>
                <w:sz w:val="15"/>
                <w:szCs w:val="15"/>
                <w:color w:val="auto"/>
              </w:rPr>
              <w:t>90,047</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ind w:right="84"/>
              <w:spacing w:after="0"/>
              <w:rPr>
                <w:sz w:val="20"/>
                <w:szCs w:val="20"/>
                <w:color w:val="auto"/>
              </w:rPr>
            </w:pPr>
            <w:r>
              <w:rPr>
                <w:rFonts w:ascii="Arial" w:cs="Arial" w:eastAsia="Arial" w:hAnsi="Arial"/>
                <w:sz w:val="15"/>
                <w:szCs w:val="15"/>
                <w:color w:val="auto"/>
              </w:rPr>
              <w:t>95,580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jc w:val="right"/>
              <w:ind w:right="84"/>
              <w:spacing w:after="0"/>
              <w:rPr>
                <w:sz w:val="20"/>
                <w:szCs w:val="20"/>
                <w:color w:val="auto"/>
              </w:rPr>
            </w:pPr>
            <w:r>
              <w:rPr>
                <w:rFonts w:ascii="Arial" w:cs="Arial" w:eastAsia="Arial" w:hAnsi="Arial"/>
                <w:sz w:val="15"/>
                <w:szCs w:val="15"/>
                <w:color w:val="auto"/>
              </w:rPr>
              <w:t>95,580</w:t>
            </w:r>
          </w:p>
        </w:tc>
      </w:tr>
      <w:tr>
        <w:trPr>
          <w:trHeight w:val="216"/>
        </w:trPr>
        <w:tc>
          <w:tcPr>
            <w:tcW w:w="6360" w:type="dxa"/>
            <w:vAlign w:val="bottom"/>
            <w:shd w:val="clear" w:color="auto" w:fill="CCEEFF"/>
          </w:tcPr>
          <w:p>
            <w:pPr>
              <w:ind w:left="120"/>
              <w:spacing w:after="0"/>
              <w:rPr>
                <w:sz w:val="20"/>
                <w:szCs w:val="20"/>
                <w:color w:val="auto"/>
              </w:rPr>
            </w:pPr>
            <w:r>
              <w:rPr>
                <w:rFonts w:ascii="Arial" w:cs="Arial" w:eastAsia="Arial" w:hAnsi="Arial"/>
                <w:sz w:val="15"/>
                <w:szCs w:val="15"/>
                <w:color w:val="auto"/>
              </w:rPr>
              <w:t>Notes receivable from real estate developers</w:t>
            </w:r>
          </w:p>
        </w:tc>
        <w:tc>
          <w:tcPr>
            <w:tcW w:w="2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64"/>
              <w:spacing w:after="0"/>
              <w:rPr>
                <w:sz w:val="20"/>
                <w:szCs w:val="20"/>
                <w:color w:val="auto"/>
              </w:rPr>
            </w:pPr>
            <w:r>
              <w:rPr>
                <w:rFonts w:ascii="Arial" w:cs="Arial" w:eastAsia="Arial" w:hAnsi="Arial"/>
                <w:sz w:val="15"/>
                <w:szCs w:val="15"/>
                <w:color w:val="auto"/>
              </w:rPr>
              <w:t>40,707</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84"/>
              <w:spacing w:after="0"/>
              <w:rPr>
                <w:sz w:val="20"/>
                <w:szCs w:val="20"/>
                <w:color w:val="auto"/>
              </w:rPr>
            </w:pPr>
            <w:r>
              <w:rPr>
                <w:rFonts w:ascii="Arial" w:cs="Arial" w:eastAsia="Arial" w:hAnsi="Arial"/>
                <w:sz w:val="15"/>
                <w:szCs w:val="15"/>
                <w:color w:val="auto"/>
              </w:rPr>
              <w:t>40,707</w:t>
            </w:r>
          </w:p>
        </w:tc>
        <w:tc>
          <w:tcPr>
            <w:tcW w:w="2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84"/>
              <w:spacing w:after="0"/>
              <w:rPr>
                <w:sz w:val="20"/>
                <w:szCs w:val="20"/>
                <w:color w:val="auto"/>
              </w:rPr>
            </w:pPr>
            <w:r>
              <w:rPr>
                <w:rFonts w:ascii="Arial" w:cs="Arial" w:eastAsia="Arial" w:hAnsi="Arial"/>
                <w:sz w:val="15"/>
                <w:szCs w:val="15"/>
                <w:color w:val="auto"/>
              </w:rPr>
              <w:t>18,960</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84"/>
              <w:spacing w:after="0"/>
              <w:rPr>
                <w:sz w:val="20"/>
                <w:szCs w:val="20"/>
                <w:color w:val="auto"/>
              </w:rPr>
            </w:pPr>
            <w:r>
              <w:rPr>
                <w:rFonts w:ascii="Arial" w:cs="Arial" w:eastAsia="Arial" w:hAnsi="Arial"/>
                <w:sz w:val="15"/>
                <w:szCs w:val="15"/>
                <w:color w:val="auto"/>
              </w:rPr>
              <w:t>18,960</w:t>
            </w:r>
          </w:p>
        </w:tc>
      </w:tr>
      <w:tr>
        <w:trPr>
          <w:trHeight w:val="213"/>
        </w:trPr>
        <w:tc>
          <w:tcPr>
            <w:tcW w:w="6360" w:type="dxa"/>
            <w:vAlign w:val="bottom"/>
          </w:tcPr>
          <w:p>
            <w:pPr>
              <w:ind w:left="120"/>
              <w:spacing w:after="0"/>
              <w:rPr>
                <w:sz w:val="20"/>
                <w:szCs w:val="20"/>
                <w:color w:val="auto"/>
              </w:rPr>
            </w:pPr>
            <w:r>
              <w:rPr>
                <w:rFonts w:ascii="Arial" w:cs="Arial" w:eastAsia="Arial" w:hAnsi="Arial"/>
                <w:sz w:val="15"/>
                <w:szCs w:val="15"/>
                <w:b w:val="1"/>
                <w:bCs w:val="1"/>
                <w:color w:val="auto"/>
              </w:rPr>
              <w:t>Total</w:t>
            </w:r>
          </w:p>
        </w:tc>
        <w:tc>
          <w:tcPr>
            <w:tcW w:w="22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color w:val="auto"/>
              </w:rPr>
              <w:t>231,318</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w w:val="95"/>
              </w:rPr>
              <w:t>$</w:t>
            </w:r>
          </w:p>
        </w:tc>
        <w:tc>
          <w:tcPr>
            <w:tcW w:w="90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color w:val="auto"/>
              </w:rPr>
              <w:t>231,318</w:t>
            </w:r>
          </w:p>
        </w:tc>
        <w:tc>
          <w:tcPr>
            <w:tcW w:w="220" w:type="dxa"/>
            <w:vAlign w:val="bottom"/>
          </w:tcPr>
          <w:p>
            <w:pPr>
              <w:spacing w:after="0"/>
              <w:rPr>
                <w:sz w:val="18"/>
                <w:szCs w:val="18"/>
                <w:color w:val="auto"/>
              </w:rPr>
            </w:pPr>
          </w:p>
        </w:tc>
        <w:tc>
          <w:tcPr>
            <w:tcW w:w="22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w w:val="95"/>
              </w:rPr>
              <w:t>$</w:t>
            </w:r>
          </w:p>
        </w:tc>
        <w:tc>
          <w:tcPr>
            <w:tcW w:w="90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color w:val="auto"/>
              </w:rPr>
              <w:t>209,267</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44"/>
              <w:spacing w:after="0"/>
              <w:rPr>
                <w:sz w:val="20"/>
                <w:szCs w:val="20"/>
                <w:color w:val="auto"/>
              </w:rPr>
            </w:pPr>
            <w:r>
              <w:rPr>
                <w:rFonts w:ascii="Arial" w:cs="Arial" w:eastAsia="Arial" w:hAnsi="Arial"/>
                <w:sz w:val="15"/>
                <w:szCs w:val="15"/>
                <w:color w:val="auto"/>
                <w:w w:val="95"/>
              </w:rPr>
              <w:t>$</w:t>
            </w:r>
          </w:p>
        </w:tc>
        <w:tc>
          <w:tcPr>
            <w:tcW w:w="78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color w:val="auto"/>
              </w:rPr>
              <w:t>209,267</w:t>
            </w:r>
          </w:p>
        </w:tc>
      </w:tr>
      <w:tr>
        <w:trPr>
          <w:trHeight w:val="20"/>
        </w:trPr>
        <w:tc>
          <w:tcPr>
            <w:tcW w:w="63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183"/>
        </w:trPr>
        <w:tc>
          <w:tcPr>
            <w:tcW w:w="63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r>
      <w:tr>
        <w:trPr>
          <w:trHeight w:val="212"/>
        </w:trPr>
        <w:tc>
          <w:tcPr>
            <w:tcW w:w="6360" w:type="dxa"/>
            <w:vAlign w:val="bottom"/>
          </w:tcPr>
          <w:p>
            <w:pPr>
              <w:ind w:left="20"/>
              <w:spacing w:after="0"/>
              <w:rPr>
                <w:sz w:val="20"/>
                <w:szCs w:val="20"/>
                <w:color w:val="auto"/>
              </w:rPr>
            </w:pPr>
            <w:r>
              <w:rPr>
                <w:rFonts w:ascii="Arial" w:cs="Arial" w:eastAsia="Arial" w:hAnsi="Arial"/>
                <w:sz w:val="15"/>
                <w:szCs w:val="15"/>
                <w:b w:val="1"/>
                <w:bCs w:val="1"/>
                <w:color w:val="auto"/>
              </w:rPr>
              <w:t>Financial Liabilities</w:t>
            </w: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20"/>
        </w:trPr>
        <w:tc>
          <w:tcPr>
            <w:tcW w:w="6360" w:type="dxa"/>
            <w:vAlign w:val="bottom"/>
            <w:shd w:val="clear" w:color="auto" w:fill="CCEEFF"/>
          </w:tcPr>
          <w:p>
            <w:pPr>
              <w:ind w:left="120"/>
              <w:spacing w:after="0"/>
              <w:rPr>
                <w:sz w:val="20"/>
                <w:szCs w:val="20"/>
                <w:color w:val="auto"/>
              </w:rPr>
            </w:pPr>
            <w:r>
              <w:rPr>
                <w:rFonts w:ascii="Arial" w:cs="Arial" w:eastAsia="Arial" w:hAnsi="Arial"/>
                <w:sz w:val="15"/>
                <w:szCs w:val="15"/>
                <w:color w:val="auto"/>
              </w:rPr>
              <w:t>Debt</w:t>
            </w:r>
          </w:p>
        </w:tc>
        <w:tc>
          <w:tcPr>
            <w:tcW w:w="22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3,275,419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w w:val="95"/>
              </w:rPr>
              <w:t>$</w:t>
            </w:r>
          </w:p>
        </w:tc>
        <w:tc>
          <w:tcPr>
            <w:tcW w:w="90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rPr>
              <w:t>3,351,204</w:t>
            </w: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w w:val="95"/>
              </w:rPr>
              <w:t>$</w:t>
            </w:r>
          </w:p>
        </w:tc>
        <w:tc>
          <w:tcPr>
            <w:tcW w:w="90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rPr>
              <w:t>3,250,504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44"/>
              <w:spacing w:after="0"/>
              <w:rPr>
                <w:sz w:val="20"/>
                <w:szCs w:val="20"/>
                <w:color w:val="auto"/>
              </w:rPr>
            </w:pPr>
            <w:r>
              <w:rPr>
                <w:rFonts w:ascii="Arial" w:cs="Arial" w:eastAsia="Arial" w:hAnsi="Arial"/>
                <w:sz w:val="15"/>
                <w:szCs w:val="15"/>
                <w:color w:val="auto"/>
                <w:w w:val="95"/>
              </w:rPr>
              <w:t>$</w:t>
            </w:r>
          </w:p>
        </w:tc>
        <w:tc>
          <w:tcPr>
            <w:tcW w:w="78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w w:val="89"/>
              </w:rPr>
              <w:t>3,270,544</w:t>
            </w:r>
          </w:p>
        </w:tc>
      </w:tr>
      <w:tr>
        <w:trPr>
          <w:trHeight w:val="212"/>
        </w:trPr>
        <w:tc>
          <w:tcPr>
            <w:tcW w:w="6360" w:type="dxa"/>
            <w:vAlign w:val="bottom"/>
          </w:tcPr>
          <w:p>
            <w:pPr>
              <w:ind w:left="120"/>
              <w:spacing w:after="0"/>
              <w:rPr>
                <w:sz w:val="20"/>
                <w:szCs w:val="20"/>
                <w:color w:val="auto"/>
              </w:rPr>
            </w:pPr>
            <w:r>
              <w:rPr>
                <w:rFonts w:ascii="Arial" w:cs="Arial" w:eastAsia="Arial" w:hAnsi="Arial"/>
                <w:sz w:val="15"/>
                <w:szCs w:val="15"/>
                <w:color w:val="auto"/>
              </w:rPr>
              <w:t>Lines of credit</w:t>
            </w:r>
          </w:p>
        </w:tc>
        <w:tc>
          <w:tcPr>
            <w:tcW w:w="220" w:type="dxa"/>
            <w:vAlign w:val="bottom"/>
          </w:tcPr>
          <w:p>
            <w:pPr>
              <w:spacing w:after="0"/>
              <w:rPr>
                <w:sz w:val="18"/>
                <w:szCs w:val="18"/>
                <w:color w:val="auto"/>
              </w:rPr>
            </w:pPr>
          </w:p>
        </w:tc>
        <w:tc>
          <w:tcPr>
            <w:tcW w:w="880" w:type="dxa"/>
            <w:vAlign w:val="bottom"/>
          </w:tcPr>
          <w:p>
            <w:pPr>
              <w:jc w:val="right"/>
              <w:ind w:right="64"/>
              <w:spacing w:after="0"/>
              <w:rPr>
                <w:sz w:val="20"/>
                <w:szCs w:val="20"/>
                <w:color w:val="auto"/>
              </w:rPr>
            </w:pPr>
            <w:r>
              <w:rPr>
                <w:rFonts w:ascii="Arial" w:cs="Arial" w:eastAsia="Arial" w:hAnsi="Arial"/>
                <w:sz w:val="15"/>
                <w:szCs w:val="15"/>
                <w:color w:val="auto"/>
              </w:rPr>
              <w:t>115,352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ind w:right="84"/>
              <w:spacing w:after="0"/>
              <w:rPr>
                <w:sz w:val="20"/>
                <w:szCs w:val="20"/>
                <w:color w:val="auto"/>
              </w:rPr>
            </w:pPr>
            <w:r>
              <w:rPr>
                <w:rFonts w:ascii="Arial" w:cs="Arial" w:eastAsia="Arial" w:hAnsi="Arial"/>
                <w:sz w:val="15"/>
                <w:szCs w:val="15"/>
                <w:color w:val="auto"/>
              </w:rPr>
              <w:t>115,352</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ind w:right="84"/>
              <w:spacing w:after="0"/>
              <w:rPr>
                <w:sz w:val="20"/>
                <w:szCs w:val="20"/>
                <w:color w:val="auto"/>
              </w:rPr>
            </w:pPr>
            <w:r>
              <w:rPr>
                <w:rFonts w:ascii="Arial" w:cs="Arial" w:eastAsia="Arial" w:hAnsi="Arial"/>
                <w:sz w:val="15"/>
                <w:szCs w:val="15"/>
                <w:color w:val="auto"/>
              </w:rPr>
              <w:t>183,898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jc w:val="right"/>
              <w:ind w:right="84"/>
              <w:spacing w:after="0"/>
              <w:rPr>
                <w:sz w:val="20"/>
                <w:szCs w:val="20"/>
                <w:color w:val="auto"/>
              </w:rPr>
            </w:pPr>
            <w:r>
              <w:rPr>
                <w:rFonts w:ascii="Arial" w:cs="Arial" w:eastAsia="Arial" w:hAnsi="Arial"/>
                <w:sz w:val="15"/>
                <w:szCs w:val="15"/>
                <w:color w:val="auto"/>
              </w:rPr>
              <w:t>183,898</w:t>
            </w:r>
          </w:p>
        </w:tc>
      </w:tr>
      <w:tr>
        <w:trPr>
          <w:trHeight w:val="216"/>
        </w:trPr>
        <w:tc>
          <w:tcPr>
            <w:tcW w:w="6360" w:type="dxa"/>
            <w:vAlign w:val="bottom"/>
            <w:shd w:val="clear" w:color="auto" w:fill="CCEEFF"/>
          </w:tcPr>
          <w:p>
            <w:pPr>
              <w:ind w:left="120"/>
              <w:spacing w:after="0"/>
              <w:rPr>
                <w:sz w:val="20"/>
                <w:szCs w:val="20"/>
                <w:color w:val="auto"/>
              </w:rPr>
            </w:pPr>
            <w:r>
              <w:rPr>
                <w:rFonts w:ascii="Arial" w:cs="Arial" w:eastAsia="Arial" w:hAnsi="Arial"/>
                <w:sz w:val="15"/>
                <w:szCs w:val="15"/>
                <w:color w:val="auto"/>
              </w:rPr>
              <w:t>Other liabilities (contingent consideration)</w:t>
            </w:r>
          </w:p>
        </w:tc>
        <w:tc>
          <w:tcPr>
            <w:tcW w:w="2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64"/>
              <w:spacing w:after="0"/>
              <w:rPr>
                <w:sz w:val="20"/>
                <w:szCs w:val="20"/>
                <w:color w:val="auto"/>
              </w:rPr>
            </w:pPr>
            <w:r>
              <w:rPr>
                <w:rFonts w:ascii="Arial" w:cs="Arial" w:eastAsia="Arial" w:hAnsi="Arial"/>
                <w:sz w:val="15"/>
                <w:szCs w:val="15"/>
                <w:color w:val="auto"/>
              </w:rPr>
              <w:t>4,155</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84"/>
              <w:spacing w:after="0"/>
              <w:rPr>
                <w:sz w:val="20"/>
                <w:szCs w:val="20"/>
                <w:color w:val="auto"/>
              </w:rPr>
            </w:pPr>
            <w:r>
              <w:rPr>
                <w:rFonts w:ascii="Arial" w:cs="Arial" w:eastAsia="Arial" w:hAnsi="Arial"/>
                <w:sz w:val="15"/>
                <w:szCs w:val="15"/>
                <w:color w:val="auto"/>
              </w:rPr>
              <w:t>4,155</w:t>
            </w:r>
          </w:p>
        </w:tc>
        <w:tc>
          <w:tcPr>
            <w:tcW w:w="2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84"/>
              <w:spacing w:after="0"/>
              <w:rPr>
                <w:sz w:val="20"/>
                <w:szCs w:val="20"/>
                <w:color w:val="auto"/>
              </w:rPr>
            </w:pPr>
            <w:r>
              <w:rPr>
                <w:rFonts w:ascii="Arial" w:cs="Arial" w:eastAsia="Arial" w:hAnsi="Arial"/>
                <w:sz w:val="15"/>
                <w:szCs w:val="15"/>
                <w:color w:val="auto"/>
              </w:rPr>
              <w:t>6,134</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84"/>
              <w:spacing w:after="0"/>
              <w:rPr>
                <w:sz w:val="20"/>
                <w:szCs w:val="20"/>
                <w:color w:val="auto"/>
              </w:rPr>
            </w:pPr>
            <w:r>
              <w:rPr>
                <w:rFonts w:ascii="Arial" w:cs="Arial" w:eastAsia="Arial" w:hAnsi="Arial"/>
                <w:sz w:val="15"/>
                <w:szCs w:val="15"/>
                <w:color w:val="auto"/>
              </w:rPr>
              <w:t>6,134</w:t>
            </w:r>
          </w:p>
        </w:tc>
      </w:tr>
      <w:tr>
        <w:trPr>
          <w:trHeight w:val="214"/>
        </w:trPr>
        <w:tc>
          <w:tcPr>
            <w:tcW w:w="6360" w:type="dxa"/>
            <w:vAlign w:val="bottom"/>
          </w:tcPr>
          <w:p>
            <w:pPr>
              <w:ind w:left="120"/>
              <w:spacing w:after="0"/>
              <w:rPr>
                <w:sz w:val="20"/>
                <w:szCs w:val="20"/>
                <w:color w:val="auto"/>
              </w:rPr>
            </w:pPr>
            <w:r>
              <w:rPr>
                <w:rFonts w:ascii="Arial" w:cs="Arial" w:eastAsia="Arial" w:hAnsi="Arial"/>
                <w:sz w:val="15"/>
                <w:szCs w:val="15"/>
                <w:b w:val="1"/>
                <w:bCs w:val="1"/>
                <w:color w:val="auto"/>
              </w:rPr>
              <w:t>Total</w:t>
            </w:r>
          </w:p>
        </w:tc>
        <w:tc>
          <w:tcPr>
            <w:tcW w:w="22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color w:val="auto"/>
              </w:rPr>
              <w:t>3,394,926</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w w:val="95"/>
              </w:rPr>
              <w:t>$</w:t>
            </w:r>
          </w:p>
        </w:tc>
        <w:tc>
          <w:tcPr>
            <w:tcW w:w="90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color w:val="auto"/>
              </w:rPr>
              <w:t>3,470,711</w:t>
            </w:r>
          </w:p>
        </w:tc>
        <w:tc>
          <w:tcPr>
            <w:tcW w:w="220" w:type="dxa"/>
            <w:vAlign w:val="bottom"/>
          </w:tcPr>
          <w:p>
            <w:pPr>
              <w:spacing w:after="0"/>
              <w:rPr>
                <w:sz w:val="18"/>
                <w:szCs w:val="18"/>
                <w:color w:val="auto"/>
              </w:rPr>
            </w:pPr>
          </w:p>
        </w:tc>
        <w:tc>
          <w:tcPr>
            <w:tcW w:w="22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w w:val="95"/>
              </w:rPr>
              <w:t>$</w:t>
            </w:r>
          </w:p>
        </w:tc>
        <w:tc>
          <w:tcPr>
            <w:tcW w:w="90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color w:val="auto"/>
              </w:rPr>
              <w:t>3,440,536</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44"/>
              <w:spacing w:after="0"/>
              <w:rPr>
                <w:sz w:val="20"/>
                <w:szCs w:val="20"/>
                <w:color w:val="auto"/>
              </w:rPr>
            </w:pPr>
            <w:r>
              <w:rPr>
                <w:rFonts w:ascii="Arial" w:cs="Arial" w:eastAsia="Arial" w:hAnsi="Arial"/>
                <w:sz w:val="15"/>
                <w:szCs w:val="15"/>
                <w:color w:val="auto"/>
                <w:w w:val="95"/>
              </w:rPr>
              <w:t>$</w:t>
            </w:r>
          </w:p>
        </w:tc>
        <w:tc>
          <w:tcPr>
            <w:tcW w:w="78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color w:val="auto"/>
                <w:w w:val="89"/>
              </w:rPr>
              <w:t>3,460,576</w:t>
            </w:r>
          </w:p>
        </w:tc>
      </w:tr>
      <w:tr>
        <w:trPr>
          <w:trHeight w:val="20"/>
        </w:trPr>
        <w:tc>
          <w:tcPr>
            <w:tcW w:w="63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333"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15.</w:t>
      </w:r>
      <w:r>
        <w:rPr>
          <w:sz w:val="20"/>
          <w:szCs w:val="20"/>
          <w:color w:val="auto"/>
        </w:rPr>
        <w:tab/>
      </w:r>
      <w:r>
        <w:rPr>
          <w:rFonts w:ascii="Arial" w:cs="Arial" w:eastAsia="Arial" w:hAnsi="Arial"/>
          <w:sz w:val="15"/>
          <w:szCs w:val="15"/>
          <w:b w:val="1"/>
          <w:bCs w:val="1"/>
          <w:color w:val="auto"/>
        </w:rPr>
        <w:t>Commitments and Contingencies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Legal Proceedings</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are involved in various legal proceedings arising in the ordinary course of business. All such proceedings, taken together, are not expected to have a material adverse impact on our results of operations or financial condition.</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30" w:name="page31"/>
    <w:bookmarkEnd w:id="30"/>
    <w:p>
      <w:pPr>
        <w:jc w:val="center"/>
        <w:spacing w:after="0"/>
        <w:rPr>
          <w:sz w:val="20"/>
          <w:szCs w:val="20"/>
          <w:color w:val="auto"/>
        </w:rPr>
      </w:pPr>
      <w:r>
        <w:rPr>
          <w:rFonts w:ascii="Arial" w:cs="Arial" w:eastAsia="Arial" w:hAnsi="Arial"/>
          <w:sz w:val="16"/>
          <w:szCs w:val="16"/>
          <w:b w:val="1"/>
          <w:bCs w:val="1"/>
          <w:color w:val="auto"/>
        </w:rPr>
        <w:t>SUN COMMUNITIES, INC.</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 -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269"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16.</w:t>
      </w:r>
      <w:r>
        <w:rPr>
          <w:sz w:val="20"/>
          <w:szCs w:val="20"/>
          <w:color w:val="auto"/>
        </w:rPr>
        <w:tab/>
      </w:r>
      <w:r>
        <w:rPr>
          <w:rFonts w:ascii="Arial" w:cs="Arial" w:eastAsia="Arial" w:hAnsi="Arial"/>
          <w:sz w:val="13"/>
          <w:szCs w:val="13"/>
          <w:b w:val="1"/>
          <w:bCs w:val="1"/>
          <w:color w:val="auto"/>
        </w:rPr>
        <w:t>Leases</w:t>
      </w: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Lessee accounting</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Future minimum lease payments under non-cancellable leases as of the six months ended June 30, 2020 where we are the lessee include:</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6680" w:type="dxa"/>
            <w:vAlign w:val="bottom"/>
          </w:tcPr>
          <w:p>
            <w:pPr>
              <w:ind w:left="20"/>
              <w:spacing w:after="0"/>
              <w:rPr>
                <w:sz w:val="20"/>
                <w:szCs w:val="20"/>
                <w:color w:val="auto"/>
              </w:rPr>
            </w:pPr>
            <w:r>
              <w:rPr>
                <w:rFonts w:ascii="Arial" w:cs="Arial" w:eastAsia="Arial" w:hAnsi="Arial"/>
                <w:sz w:val="15"/>
                <w:szCs w:val="15"/>
                <w:b w:val="1"/>
                <w:bCs w:val="1"/>
                <w:color w:val="auto"/>
              </w:rPr>
              <w:t xml:space="preserve">Maturity of lease liabilities </w:t>
            </w:r>
            <w:r>
              <w:rPr>
                <w:rFonts w:ascii="Arial" w:cs="Arial" w:eastAsia="Arial" w:hAnsi="Arial"/>
                <w:sz w:val="15"/>
                <w:szCs w:val="15"/>
                <w:color w:val="auto"/>
              </w:rPr>
              <w:t>(in thousands)</w:t>
            </w:r>
          </w:p>
        </w:tc>
        <w:tc>
          <w:tcPr>
            <w:tcW w:w="1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20"/>
        </w:trPr>
        <w:tc>
          <w:tcPr>
            <w:tcW w:w="6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40" w:type="dxa"/>
            <w:vAlign w:val="bottom"/>
            <w:gridSpan w:val="2"/>
          </w:tcPr>
          <w:p>
            <w:pPr>
              <w:ind w:left="20"/>
              <w:spacing w:after="0"/>
              <w:rPr>
                <w:sz w:val="20"/>
                <w:szCs w:val="20"/>
                <w:color w:val="auto"/>
              </w:rPr>
            </w:pPr>
            <w:r>
              <w:rPr>
                <w:rFonts w:ascii="Arial" w:cs="Arial" w:eastAsia="Arial" w:hAnsi="Arial"/>
                <w:sz w:val="15"/>
                <w:szCs w:val="15"/>
                <w:b w:val="1"/>
                <w:bCs w:val="1"/>
                <w:color w:val="auto"/>
              </w:rPr>
              <w:t>Operating Leases</w:t>
            </w:r>
          </w:p>
        </w:tc>
        <w:tc>
          <w:tcPr>
            <w:tcW w:w="140" w:type="dxa"/>
            <w:vAlign w:val="bottom"/>
          </w:tcPr>
          <w:p>
            <w:pPr>
              <w:spacing w:after="0"/>
              <w:rPr>
                <w:sz w:val="19"/>
                <w:szCs w:val="19"/>
                <w:color w:val="auto"/>
              </w:rPr>
            </w:pPr>
          </w:p>
        </w:tc>
        <w:tc>
          <w:tcPr>
            <w:tcW w:w="1420" w:type="dxa"/>
            <w:vAlign w:val="bottom"/>
            <w:gridSpan w:val="2"/>
          </w:tcPr>
          <w:p>
            <w:pPr>
              <w:ind w:left="40"/>
              <w:spacing w:after="0"/>
              <w:rPr>
                <w:sz w:val="20"/>
                <w:szCs w:val="20"/>
                <w:color w:val="auto"/>
              </w:rPr>
            </w:pPr>
            <w:r>
              <w:rPr>
                <w:rFonts w:ascii="Arial" w:cs="Arial" w:eastAsia="Arial" w:hAnsi="Arial"/>
                <w:sz w:val="15"/>
                <w:szCs w:val="15"/>
                <w:b w:val="1"/>
                <w:bCs w:val="1"/>
                <w:color w:val="auto"/>
              </w:rPr>
              <w:t>Finance Leases</w:t>
            </w:r>
          </w:p>
        </w:tc>
        <w:tc>
          <w:tcPr>
            <w:tcW w:w="300" w:type="dxa"/>
            <w:vAlign w:val="bottom"/>
          </w:tcPr>
          <w:p>
            <w:pPr>
              <w:spacing w:after="0"/>
              <w:rPr>
                <w:sz w:val="19"/>
                <w:szCs w:val="19"/>
                <w:color w:val="auto"/>
              </w:rPr>
            </w:pPr>
          </w:p>
        </w:tc>
        <w:tc>
          <w:tcPr>
            <w:tcW w:w="1020" w:type="dxa"/>
            <w:vAlign w:val="bottom"/>
          </w:tcPr>
          <w:p>
            <w:pPr>
              <w:jc w:val="right"/>
              <w:ind w:right="424"/>
              <w:spacing w:after="0"/>
              <w:rPr>
                <w:sz w:val="20"/>
                <w:szCs w:val="20"/>
                <w:color w:val="auto"/>
              </w:rPr>
            </w:pPr>
            <w:r>
              <w:rPr>
                <w:rFonts w:ascii="Arial" w:cs="Arial" w:eastAsia="Arial" w:hAnsi="Arial"/>
                <w:sz w:val="15"/>
                <w:szCs w:val="15"/>
                <w:b w:val="1"/>
                <w:bCs w:val="1"/>
                <w:color w:val="auto"/>
              </w:rPr>
              <w:t>Total</w:t>
            </w:r>
          </w:p>
        </w:tc>
      </w:tr>
      <w:tr>
        <w:trPr>
          <w:trHeight w:val="213"/>
        </w:trPr>
        <w:tc>
          <w:tcPr>
            <w:tcW w:w="66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2020 (Excluding six months ended June 30, 2020)</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300" w:type="dxa"/>
            <w:vAlign w:val="bottom"/>
            <w:tcBorders>
              <w:top w:val="single" w:sz="8" w:color="auto"/>
            </w:tcBorders>
            <w:shd w:val="clear" w:color="auto" w:fill="CCEEFF"/>
          </w:tcPr>
          <w:p>
            <w:pPr>
              <w:jc w:val="right"/>
              <w:ind w:right="64"/>
              <w:spacing w:after="0"/>
              <w:rPr>
                <w:sz w:val="20"/>
                <w:szCs w:val="20"/>
                <w:color w:val="auto"/>
              </w:rPr>
            </w:pPr>
            <w:r>
              <w:rPr>
                <w:rFonts w:ascii="Arial" w:cs="Arial" w:eastAsia="Arial" w:hAnsi="Arial"/>
                <w:sz w:val="15"/>
                <w:szCs w:val="15"/>
                <w:color w:val="auto"/>
              </w:rPr>
              <w:t>1,612</w:t>
            </w: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200" w:type="dxa"/>
            <w:vAlign w:val="bottom"/>
            <w:tcBorders>
              <w:top w:val="single" w:sz="8" w:color="auto"/>
            </w:tcBorders>
            <w:shd w:val="clear" w:color="auto" w:fill="CCEEFF"/>
          </w:tcPr>
          <w:p>
            <w:pPr>
              <w:jc w:val="right"/>
              <w:ind w:right="84"/>
              <w:spacing w:after="0"/>
              <w:rPr>
                <w:sz w:val="20"/>
                <w:szCs w:val="20"/>
                <w:color w:val="auto"/>
              </w:rPr>
            </w:pPr>
            <w:r>
              <w:rPr>
                <w:rFonts w:ascii="Arial" w:cs="Arial" w:eastAsia="Arial" w:hAnsi="Arial"/>
                <w:sz w:val="15"/>
                <w:szCs w:val="15"/>
                <w:color w:val="auto"/>
              </w:rPr>
              <w:t>105</w:t>
            </w:r>
          </w:p>
        </w:tc>
        <w:tc>
          <w:tcPr>
            <w:tcW w:w="2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24"/>
              <w:spacing w:after="0"/>
              <w:rPr>
                <w:sz w:val="20"/>
                <w:szCs w:val="20"/>
                <w:color w:val="auto"/>
              </w:rPr>
            </w:pPr>
            <w:r>
              <w:rPr>
                <w:rFonts w:ascii="Arial" w:cs="Arial" w:eastAsia="Arial" w:hAnsi="Arial"/>
                <w:sz w:val="15"/>
                <w:szCs w:val="15"/>
                <w:color w:val="auto"/>
                <w:w w:val="95"/>
              </w:rPr>
              <w:t>$</w:t>
            </w:r>
          </w:p>
        </w:tc>
        <w:tc>
          <w:tcPr>
            <w:tcW w:w="1020" w:type="dxa"/>
            <w:vAlign w:val="bottom"/>
            <w:tcBorders>
              <w:top w:val="single" w:sz="8" w:color="auto"/>
            </w:tcBorders>
            <w:shd w:val="clear" w:color="auto" w:fill="CCEEFF"/>
          </w:tcPr>
          <w:p>
            <w:pPr>
              <w:jc w:val="right"/>
              <w:ind w:right="84"/>
              <w:spacing w:after="0"/>
              <w:rPr>
                <w:sz w:val="20"/>
                <w:szCs w:val="20"/>
                <w:color w:val="auto"/>
              </w:rPr>
            </w:pPr>
            <w:r>
              <w:rPr>
                <w:rFonts w:ascii="Arial" w:cs="Arial" w:eastAsia="Arial" w:hAnsi="Arial"/>
                <w:sz w:val="15"/>
                <w:szCs w:val="15"/>
                <w:color w:val="auto"/>
              </w:rPr>
              <w:t>1,717</w:t>
            </w:r>
          </w:p>
        </w:tc>
      </w:tr>
      <w:tr>
        <w:trPr>
          <w:trHeight w:val="212"/>
        </w:trPr>
        <w:tc>
          <w:tcPr>
            <w:tcW w:w="6680" w:type="dxa"/>
            <w:vAlign w:val="bottom"/>
          </w:tcPr>
          <w:p>
            <w:pPr>
              <w:ind w:left="20"/>
              <w:spacing w:after="0"/>
              <w:rPr>
                <w:sz w:val="20"/>
                <w:szCs w:val="20"/>
                <w:color w:val="auto"/>
              </w:rPr>
            </w:pPr>
            <w:r>
              <w:rPr>
                <w:rFonts w:ascii="Arial" w:cs="Arial" w:eastAsia="Arial" w:hAnsi="Arial"/>
                <w:sz w:val="15"/>
                <w:szCs w:val="15"/>
                <w:color w:val="auto"/>
              </w:rPr>
              <w:t>2021</w:t>
            </w:r>
          </w:p>
        </w:tc>
        <w:tc>
          <w:tcPr>
            <w:tcW w:w="120" w:type="dxa"/>
            <w:vAlign w:val="bottom"/>
          </w:tcPr>
          <w:p>
            <w:pPr>
              <w:spacing w:after="0"/>
              <w:rPr>
                <w:sz w:val="18"/>
                <w:szCs w:val="18"/>
                <w:color w:val="auto"/>
              </w:rPr>
            </w:pPr>
          </w:p>
        </w:tc>
        <w:tc>
          <w:tcPr>
            <w:tcW w:w="1300" w:type="dxa"/>
            <w:vAlign w:val="bottom"/>
          </w:tcPr>
          <w:p>
            <w:pPr>
              <w:jc w:val="right"/>
              <w:ind w:right="64"/>
              <w:spacing w:after="0"/>
              <w:rPr>
                <w:sz w:val="20"/>
                <w:szCs w:val="20"/>
                <w:color w:val="auto"/>
              </w:rPr>
            </w:pPr>
            <w:r>
              <w:rPr>
                <w:rFonts w:ascii="Arial" w:cs="Arial" w:eastAsia="Arial" w:hAnsi="Arial"/>
                <w:sz w:val="15"/>
                <w:szCs w:val="15"/>
                <w:color w:val="auto"/>
              </w:rPr>
              <w:t>2,842</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ind w:right="84"/>
              <w:spacing w:after="0"/>
              <w:rPr>
                <w:sz w:val="20"/>
                <w:szCs w:val="20"/>
                <w:color w:val="auto"/>
              </w:rPr>
            </w:pPr>
            <w:r>
              <w:rPr>
                <w:rFonts w:ascii="Arial" w:cs="Arial" w:eastAsia="Arial" w:hAnsi="Arial"/>
                <w:sz w:val="15"/>
                <w:szCs w:val="15"/>
                <w:color w:val="auto"/>
              </w:rPr>
              <w:t>120</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ind w:right="84"/>
              <w:spacing w:after="0"/>
              <w:rPr>
                <w:sz w:val="20"/>
                <w:szCs w:val="20"/>
                <w:color w:val="auto"/>
              </w:rPr>
            </w:pPr>
            <w:r>
              <w:rPr>
                <w:rFonts w:ascii="Arial" w:cs="Arial" w:eastAsia="Arial" w:hAnsi="Arial"/>
                <w:sz w:val="15"/>
                <w:szCs w:val="15"/>
                <w:color w:val="auto"/>
              </w:rPr>
              <w:t>2,962</w:t>
            </w:r>
          </w:p>
        </w:tc>
      </w:tr>
      <w:tr>
        <w:trPr>
          <w:trHeight w:val="220"/>
        </w:trPr>
        <w:tc>
          <w:tcPr>
            <w:tcW w:w="6680" w:type="dxa"/>
            <w:vAlign w:val="bottom"/>
            <w:shd w:val="clear" w:color="auto" w:fill="CCEEFF"/>
          </w:tcPr>
          <w:p>
            <w:pPr>
              <w:ind w:left="20"/>
              <w:spacing w:after="0"/>
              <w:rPr>
                <w:sz w:val="20"/>
                <w:szCs w:val="20"/>
                <w:color w:val="auto"/>
              </w:rPr>
            </w:pPr>
            <w:r>
              <w:rPr>
                <w:rFonts w:ascii="Arial" w:cs="Arial" w:eastAsia="Arial" w:hAnsi="Arial"/>
                <w:sz w:val="15"/>
                <w:szCs w:val="15"/>
                <w:color w:val="auto"/>
              </w:rPr>
              <w:t>2022</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2,863</w:t>
            </w:r>
          </w:p>
        </w:tc>
        <w:tc>
          <w:tcPr>
            <w:tcW w:w="2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rPr>
              <w:t>120</w:t>
            </w:r>
          </w:p>
        </w:tc>
        <w:tc>
          <w:tcPr>
            <w:tcW w:w="2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rPr>
              <w:t>2,983</w:t>
            </w:r>
          </w:p>
        </w:tc>
      </w:tr>
      <w:tr>
        <w:trPr>
          <w:trHeight w:val="212"/>
        </w:trPr>
        <w:tc>
          <w:tcPr>
            <w:tcW w:w="6680" w:type="dxa"/>
            <w:vAlign w:val="bottom"/>
          </w:tcPr>
          <w:p>
            <w:pPr>
              <w:ind w:left="20"/>
              <w:spacing w:after="0"/>
              <w:rPr>
                <w:sz w:val="20"/>
                <w:szCs w:val="20"/>
                <w:color w:val="auto"/>
              </w:rPr>
            </w:pPr>
            <w:r>
              <w:rPr>
                <w:rFonts w:ascii="Arial" w:cs="Arial" w:eastAsia="Arial" w:hAnsi="Arial"/>
                <w:sz w:val="15"/>
                <w:szCs w:val="15"/>
                <w:color w:val="auto"/>
              </w:rPr>
              <w:t>2023</w:t>
            </w:r>
          </w:p>
        </w:tc>
        <w:tc>
          <w:tcPr>
            <w:tcW w:w="120" w:type="dxa"/>
            <w:vAlign w:val="bottom"/>
          </w:tcPr>
          <w:p>
            <w:pPr>
              <w:spacing w:after="0"/>
              <w:rPr>
                <w:sz w:val="18"/>
                <w:szCs w:val="18"/>
                <w:color w:val="auto"/>
              </w:rPr>
            </w:pPr>
          </w:p>
        </w:tc>
        <w:tc>
          <w:tcPr>
            <w:tcW w:w="1300" w:type="dxa"/>
            <w:vAlign w:val="bottom"/>
          </w:tcPr>
          <w:p>
            <w:pPr>
              <w:jc w:val="right"/>
              <w:ind w:right="64"/>
              <w:spacing w:after="0"/>
              <w:rPr>
                <w:sz w:val="20"/>
                <w:szCs w:val="20"/>
                <w:color w:val="auto"/>
              </w:rPr>
            </w:pPr>
            <w:r>
              <w:rPr>
                <w:rFonts w:ascii="Arial" w:cs="Arial" w:eastAsia="Arial" w:hAnsi="Arial"/>
                <w:sz w:val="15"/>
                <w:szCs w:val="15"/>
                <w:color w:val="auto"/>
              </w:rPr>
              <w:t>2,993</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ind w:right="84"/>
              <w:spacing w:after="0"/>
              <w:rPr>
                <w:sz w:val="20"/>
                <w:szCs w:val="20"/>
                <w:color w:val="auto"/>
              </w:rPr>
            </w:pPr>
            <w:r>
              <w:rPr>
                <w:rFonts w:ascii="Arial" w:cs="Arial" w:eastAsia="Arial" w:hAnsi="Arial"/>
                <w:sz w:val="15"/>
                <w:szCs w:val="15"/>
                <w:color w:val="auto"/>
              </w:rPr>
              <w:t>120</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ind w:right="84"/>
              <w:spacing w:after="0"/>
              <w:rPr>
                <w:sz w:val="20"/>
                <w:szCs w:val="20"/>
                <w:color w:val="auto"/>
              </w:rPr>
            </w:pPr>
            <w:r>
              <w:rPr>
                <w:rFonts w:ascii="Arial" w:cs="Arial" w:eastAsia="Arial" w:hAnsi="Arial"/>
                <w:sz w:val="15"/>
                <w:szCs w:val="15"/>
                <w:color w:val="auto"/>
              </w:rPr>
              <w:t>3,113</w:t>
            </w:r>
          </w:p>
        </w:tc>
      </w:tr>
      <w:tr>
        <w:trPr>
          <w:trHeight w:val="220"/>
        </w:trPr>
        <w:tc>
          <w:tcPr>
            <w:tcW w:w="6680" w:type="dxa"/>
            <w:vAlign w:val="bottom"/>
            <w:shd w:val="clear" w:color="auto" w:fill="CCEEFF"/>
          </w:tcPr>
          <w:p>
            <w:pPr>
              <w:ind w:left="20"/>
              <w:spacing w:after="0"/>
              <w:rPr>
                <w:sz w:val="20"/>
                <w:szCs w:val="20"/>
                <w:color w:val="auto"/>
              </w:rPr>
            </w:pPr>
            <w:r>
              <w:rPr>
                <w:rFonts w:ascii="Arial" w:cs="Arial" w:eastAsia="Arial" w:hAnsi="Arial"/>
                <w:sz w:val="15"/>
                <w:szCs w:val="15"/>
                <w:color w:val="auto"/>
              </w:rPr>
              <w:t>2024</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3,300</w:t>
            </w:r>
          </w:p>
        </w:tc>
        <w:tc>
          <w:tcPr>
            <w:tcW w:w="2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rPr>
              <w:t>4,060</w:t>
            </w:r>
          </w:p>
        </w:tc>
        <w:tc>
          <w:tcPr>
            <w:tcW w:w="2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rPr>
              <w:t>7,360</w:t>
            </w:r>
          </w:p>
        </w:tc>
      </w:tr>
      <w:tr>
        <w:trPr>
          <w:trHeight w:val="212"/>
        </w:trPr>
        <w:tc>
          <w:tcPr>
            <w:tcW w:w="6680" w:type="dxa"/>
            <w:vAlign w:val="bottom"/>
          </w:tcPr>
          <w:p>
            <w:pPr>
              <w:ind w:left="20"/>
              <w:spacing w:after="0"/>
              <w:rPr>
                <w:sz w:val="20"/>
                <w:szCs w:val="20"/>
                <w:color w:val="auto"/>
              </w:rPr>
            </w:pPr>
            <w:r>
              <w:rPr>
                <w:rFonts w:ascii="Arial" w:cs="Arial" w:eastAsia="Arial" w:hAnsi="Arial"/>
                <w:sz w:val="15"/>
                <w:szCs w:val="15"/>
                <w:color w:val="auto"/>
              </w:rPr>
              <w:t>Thereafter</w:t>
            </w:r>
          </w:p>
        </w:tc>
        <w:tc>
          <w:tcPr>
            <w:tcW w:w="120" w:type="dxa"/>
            <w:vAlign w:val="bottom"/>
          </w:tcPr>
          <w:p>
            <w:pPr>
              <w:spacing w:after="0"/>
              <w:rPr>
                <w:sz w:val="18"/>
                <w:szCs w:val="18"/>
                <w:color w:val="auto"/>
              </w:rPr>
            </w:pPr>
          </w:p>
        </w:tc>
        <w:tc>
          <w:tcPr>
            <w:tcW w:w="1300" w:type="dxa"/>
            <w:vAlign w:val="bottom"/>
          </w:tcPr>
          <w:p>
            <w:pPr>
              <w:jc w:val="right"/>
              <w:ind w:right="64"/>
              <w:spacing w:after="0"/>
              <w:rPr>
                <w:sz w:val="20"/>
                <w:szCs w:val="20"/>
                <w:color w:val="auto"/>
              </w:rPr>
            </w:pPr>
            <w:r>
              <w:rPr>
                <w:rFonts w:ascii="Arial" w:cs="Arial" w:eastAsia="Arial" w:hAnsi="Arial"/>
                <w:sz w:val="15"/>
                <w:szCs w:val="15"/>
                <w:color w:val="auto"/>
              </w:rPr>
              <w:t>32,774</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380"/>
              <w:spacing w:after="0"/>
              <w:rPr>
                <w:sz w:val="20"/>
                <w:szCs w:val="20"/>
                <w:color w:val="auto"/>
              </w:rPr>
            </w:pPr>
            <w:r>
              <w:rPr>
                <w:rFonts w:ascii="Arial" w:cs="Arial" w:eastAsia="Arial" w:hAnsi="Arial"/>
                <w:sz w:val="15"/>
                <w:szCs w:val="15"/>
                <w:color w:val="auto"/>
              </w:rPr>
              <w:t>—</w:t>
            </w:r>
          </w:p>
        </w:tc>
        <w:tc>
          <w:tcPr>
            <w:tcW w:w="300" w:type="dxa"/>
            <w:vAlign w:val="bottom"/>
          </w:tcPr>
          <w:p>
            <w:pPr>
              <w:spacing w:after="0"/>
              <w:rPr>
                <w:sz w:val="18"/>
                <w:szCs w:val="18"/>
                <w:color w:val="auto"/>
              </w:rPr>
            </w:pPr>
          </w:p>
        </w:tc>
        <w:tc>
          <w:tcPr>
            <w:tcW w:w="1020" w:type="dxa"/>
            <w:vAlign w:val="bottom"/>
          </w:tcPr>
          <w:p>
            <w:pPr>
              <w:jc w:val="right"/>
              <w:ind w:right="84"/>
              <w:spacing w:after="0"/>
              <w:rPr>
                <w:sz w:val="20"/>
                <w:szCs w:val="20"/>
                <w:color w:val="auto"/>
              </w:rPr>
            </w:pPr>
            <w:r>
              <w:rPr>
                <w:rFonts w:ascii="Arial" w:cs="Arial" w:eastAsia="Arial" w:hAnsi="Arial"/>
                <w:sz w:val="15"/>
                <w:szCs w:val="15"/>
                <w:color w:val="auto"/>
              </w:rPr>
              <w:t>32,774</w:t>
            </w:r>
          </w:p>
        </w:tc>
      </w:tr>
      <w:tr>
        <w:trPr>
          <w:trHeight w:val="214"/>
        </w:trPr>
        <w:tc>
          <w:tcPr>
            <w:tcW w:w="66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Total Lease Payments</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300" w:type="dxa"/>
            <w:vAlign w:val="bottom"/>
            <w:tcBorders>
              <w:top w:val="single" w:sz="8" w:color="auto"/>
            </w:tcBorders>
            <w:shd w:val="clear" w:color="auto" w:fill="CCEEFF"/>
          </w:tcPr>
          <w:p>
            <w:pPr>
              <w:jc w:val="right"/>
              <w:ind w:right="64"/>
              <w:spacing w:after="0"/>
              <w:rPr>
                <w:sz w:val="20"/>
                <w:szCs w:val="20"/>
                <w:color w:val="auto"/>
              </w:rPr>
            </w:pPr>
            <w:r>
              <w:rPr>
                <w:rFonts w:ascii="Arial" w:cs="Arial" w:eastAsia="Arial" w:hAnsi="Arial"/>
                <w:sz w:val="15"/>
                <w:szCs w:val="15"/>
                <w:color w:val="auto"/>
              </w:rPr>
              <w:t>46,384</w:t>
            </w: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200" w:type="dxa"/>
            <w:vAlign w:val="bottom"/>
            <w:tcBorders>
              <w:top w:val="single" w:sz="8" w:color="auto"/>
            </w:tcBorders>
            <w:shd w:val="clear" w:color="auto" w:fill="CCEEFF"/>
          </w:tcPr>
          <w:p>
            <w:pPr>
              <w:jc w:val="right"/>
              <w:ind w:right="84"/>
              <w:spacing w:after="0"/>
              <w:rPr>
                <w:sz w:val="20"/>
                <w:szCs w:val="20"/>
                <w:color w:val="auto"/>
              </w:rPr>
            </w:pPr>
            <w:r>
              <w:rPr>
                <w:rFonts w:ascii="Arial" w:cs="Arial" w:eastAsia="Arial" w:hAnsi="Arial"/>
                <w:sz w:val="15"/>
                <w:szCs w:val="15"/>
                <w:color w:val="auto"/>
              </w:rPr>
              <w:t>4,525</w:t>
            </w:r>
          </w:p>
        </w:tc>
        <w:tc>
          <w:tcPr>
            <w:tcW w:w="2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24"/>
              <w:spacing w:after="0"/>
              <w:rPr>
                <w:sz w:val="20"/>
                <w:szCs w:val="20"/>
                <w:color w:val="auto"/>
              </w:rPr>
            </w:pPr>
            <w:r>
              <w:rPr>
                <w:rFonts w:ascii="Arial" w:cs="Arial" w:eastAsia="Arial" w:hAnsi="Arial"/>
                <w:sz w:val="15"/>
                <w:szCs w:val="15"/>
                <w:color w:val="auto"/>
                <w:w w:val="95"/>
              </w:rPr>
              <w:t>$</w:t>
            </w:r>
          </w:p>
        </w:tc>
        <w:tc>
          <w:tcPr>
            <w:tcW w:w="1020" w:type="dxa"/>
            <w:vAlign w:val="bottom"/>
            <w:tcBorders>
              <w:top w:val="single" w:sz="8" w:color="auto"/>
            </w:tcBorders>
            <w:shd w:val="clear" w:color="auto" w:fill="CCEEFF"/>
          </w:tcPr>
          <w:p>
            <w:pPr>
              <w:jc w:val="right"/>
              <w:ind w:right="84"/>
              <w:spacing w:after="0"/>
              <w:rPr>
                <w:sz w:val="20"/>
                <w:szCs w:val="20"/>
                <w:color w:val="auto"/>
              </w:rPr>
            </w:pPr>
            <w:r>
              <w:rPr>
                <w:rFonts w:ascii="Arial" w:cs="Arial" w:eastAsia="Arial" w:hAnsi="Arial"/>
                <w:sz w:val="15"/>
                <w:szCs w:val="15"/>
                <w:color w:val="auto"/>
              </w:rPr>
              <w:t>50,909</w:t>
            </w:r>
          </w:p>
        </w:tc>
      </w:tr>
      <w:tr>
        <w:trPr>
          <w:trHeight w:val="212"/>
        </w:trPr>
        <w:tc>
          <w:tcPr>
            <w:tcW w:w="668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Less: Imputed interest</w:t>
            </w:r>
          </w:p>
        </w:tc>
        <w:tc>
          <w:tcPr>
            <w:tcW w:w="1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(20,603)</w:t>
            </w:r>
          </w:p>
        </w:tc>
        <w:tc>
          <w:tcPr>
            <w:tcW w:w="2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(408)</w:t>
            </w:r>
          </w:p>
        </w:tc>
        <w:tc>
          <w:tcPr>
            <w:tcW w:w="2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(21,011)</w:t>
            </w:r>
          </w:p>
        </w:tc>
      </w:tr>
      <w:tr>
        <w:trPr>
          <w:trHeight w:val="238"/>
        </w:trPr>
        <w:tc>
          <w:tcPr>
            <w:tcW w:w="6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Present Value of Lease Liabilities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300" w:type="dxa"/>
            <w:vAlign w:val="bottom"/>
            <w:tcBorders>
              <w:bottom w:val="single" w:sz="8" w:color="auto"/>
            </w:tcBorders>
            <w:shd w:val="clear" w:color="auto" w:fill="CCEEFF"/>
          </w:tcPr>
          <w:p>
            <w:pPr>
              <w:jc w:val="right"/>
              <w:ind w:right="64"/>
              <w:spacing w:after="0"/>
              <w:rPr>
                <w:sz w:val="20"/>
                <w:szCs w:val="20"/>
                <w:color w:val="auto"/>
              </w:rPr>
            </w:pPr>
            <w:r>
              <w:rPr>
                <w:rFonts w:ascii="Arial" w:cs="Arial" w:eastAsia="Arial" w:hAnsi="Arial"/>
                <w:sz w:val="15"/>
                <w:szCs w:val="15"/>
                <w:color w:val="auto"/>
              </w:rPr>
              <w:t>25,781</w:t>
            </w:r>
          </w:p>
        </w:tc>
        <w:tc>
          <w:tcPr>
            <w:tcW w:w="2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200" w:type="dxa"/>
            <w:vAlign w:val="bottom"/>
            <w:tcBorders>
              <w:bottom w:val="single" w:sz="8" w:color="auto"/>
            </w:tcBorders>
            <w:shd w:val="clear" w:color="auto" w:fill="CCEEFF"/>
          </w:tcPr>
          <w:p>
            <w:pPr>
              <w:jc w:val="right"/>
              <w:ind w:right="84"/>
              <w:spacing w:after="0"/>
              <w:rPr>
                <w:sz w:val="20"/>
                <w:szCs w:val="20"/>
                <w:color w:val="auto"/>
              </w:rPr>
            </w:pPr>
            <w:r>
              <w:rPr>
                <w:rFonts w:ascii="Arial" w:cs="Arial" w:eastAsia="Arial" w:hAnsi="Arial"/>
                <w:sz w:val="15"/>
                <w:szCs w:val="15"/>
                <w:color w:val="auto"/>
              </w:rPr>
              <w:t>4,117</w:t>
            </w:r>
          </w:p>
        </w:tc>
        <w:tc>
          <w:tcPr>
            <w:tcW w:w="2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24"/>
              <w:spacing w:after="0"/>
              <w:rPr>
                <w:sz w:val="20"/>
                <w:szCs w:val="20"/>
                <w:color w:val="auto"/>
              </w:rPr>
            </w:pPr>
            <w:r>
              <w:rPr>
                <w:rFonts w:ascii="Arial" w:cs="Arial" w:eastAsia="Arial" w:hAnsi="Arial"/>
                <w:sz w:val="15"/>
                <w:szCs w:val="15"/>
                <w:color w:val="auto"/>
                <w:w w:val="95"/>
              </w:rPr>
              <w:t>$</w:t>
            </w:r>
          </w:p>
        </w:tc>
        <w:tc>
          <w:tcPr>
            <w:tcW w:w="1020" w:type="dxa"/>
            <w:vAlign w:val="bottom"/>
            <w:tcBorders>
              <w:bottom w:val="single" w:sz="8" w:color="auto"/>
            </w:tcBorders>
            <w:shd w:val="clear" w:color="auto" w:fill="CCEEFF"/>
          </w:tcPr>
          <w:p>
            <w:pPr>
              <w:jc w:val="right"/>
              <w:ind w:right="84"/>
              <w:spacing w:after="0"/>
              <w:rPr>
                <w:sz w:val="20"/>
                <w:szCs w:val="20"/>
                <w:color w:val="auto"/>
              </w:rPr>
            </w:pPr>
            <w:r>
              <w:rPr>
                <w:rFonts w:ascii="Arial" w:cs="Arial" w:eastAsia="Arial" w:hAnsi="Arial"/>
                <w:sz w:val="15"/>
                <w:szCs w:val="15"/>
                <w:color w:val="auto"/>
              </w:rPr>
              <w:t>29,898</w:t>
            </w:r>
          </w:p>
        </w:tc>
      </w:tr>
      <w:tr>
        <w:trPr>
          <w:trHeight w:val="20"/>
        </w:trPr>
        <w:tc>
          <w:tcPr>
            <w:tcW w:w="66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Right-of-use (ROU) assets and lease liabilities for finance and operating leases as included in our Consolidated Balance Sheets are as follows (in thousands):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80" w:type="dxa"/>
            <w:vAlign w:val="bottom"/>
            <w:gridSpan w:val="2"/>
          </w:tcPr>
          <w:p>
            <w:pPr>
              <w:ind w:left="240"/>
              <w:spacing w:after="0"/>
              <w:rPr>
                <w:sz w:val="20"/>
                <w:szCs w:val="20"/>
                <w:color w:val="auto"/>
              </w:rPr>
            </w:pPr>
            <w:r>
              <w:rPr>
                <w:rFonts w:ascii="Arial" w:cs="Arial" w:eastAsia="Arial" w:hAnsi="Arial"/>
                <w:sz w:val="15"/>
                <w:szCs w:val="15"/>
                <w:b w:val="1"/>
                <w:bCs w:val="1"/>
                <w:color w:val="auto"/>
              </w:rPr>
              <w:t>Financial Statement</w:t>
            </w:r>
          </w:p>
        </w:tc>
        <w:tc>
          <w:tcPr>
            <w:tcW w:w="2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02"/>
        </w:trPr>
        <w:tc>
          <w:tcPr>
            <w:tcW w:w="5560" w:type="dxa"/>
            <w:vAlign w:val="bottom"/>
            <w:tcBorders>
              <w:bottom w:val="single" w:sz="8" w:color="auto"/>
            </w:tcBorders>
          </w:tcPr>
          <w:p>
            <w:pPr>
              <w:ind w:left="2420"/>
              <w:spacing w:after="0"/>
              <w:rPr>
                <w:sz w:val="20"/>
                <w:szCs w:val="20"/>
                <w:color w:val="auto"/>
              </w:rPr>
            </w:pPr>
            <w:r>
              <w:rPr>
                <w:rFonts w:ascii="Arial" w:cs="Arial" w:eastAsia="Arial" w:hAnsi="Arial"/>
                <w:sz w:val="15"/>
                <w:szCs w:val="15"/>
                <w:b w:val="1"/>
                <w:bCs w:val="1"/>
                <w:color w:val="auto"/>
              </w:rPr>
              <w:t>Description</w:t>
            </w:r>
          </w:p>
        </w:tc>
        <w:tc>
          <w:tcPr>
            <w:tcW w:w="120" w:type="dxa"/>
            <w:vAlign w:val="bottom"/>
            <w:tcBorders>
              <w:bottom w:val="single" w:sz="8" w:color="CCEEFF"/>
            </w:tcBorders>
          </w:tcPr>
          <w:p>
            <w:pPr>
              <w:spacing w:after="0"/>
              <w:rPr>
                <w:sz w:val="17"/>
                <w:szCs w:val="17"/>
                <w:color w:val="auto"/>
              </w:rPr>
            </w:pPr>
          </w:p>
        </w:tc>
        <w:tc>
          <w:tcPr>
            <w:tcW w:w="1780" w:type="dxa"/>
            <w:vAlign w:val="bottom"/>
            <w:tcBorders>
              <w:bottom w:val="single" w:sz="8" w:color="auto"/>
            </w:tcBorders>
          </w:tcPr>
          <w:p>
            <w:pPr>
              <w:ind w:left="440"/>
              <w:spacing w:after="0"/>
              <w:rPr>
                <w:sz w:val="20"/>
                <w:szCs w:val="20"/>
                <w:color w:val="auto"/>
              </w:rPr>
            </w:pPr>
            <w:r>
              <w:rPr>
                <w:rFonts w:ascii="Arial" w:cs="Arial" w:eastAsia="Arial" w:hAnsi="Arial"/>
                <w:sz w:val="15"/>
                <w:szCs w:val="15"/>
                <w:b w:val="1"/>
                <w:bCs w:val="1"/>
                <w:color w:val="auto"/>
              </w:rPr>
              <w:t>Classification</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ind w:right="364"/>
              <w:spacing w:after="0"/>
              <w:rPr>
                <w:sz w:val="20"/>
                <w:szCs w:val="20"/>
                <w:color w:val="auto"/>
              </w:rPr>
            </w:pPr>
            <w:r>
              <w:rPr>
                <w:rFonts w:ascii="Arial" w:cs="Arial" w:eastAsia="Arial" w:hAnsi="Arial"/>
                <w:sz w:val="15"/>
                <w:szCs w:val="15"/>
                <w:b w:val="1"/>
                <w:bCs w:val="1"/>
                <w:color w:val="auto"/>
              </w:rPr>
              <w:t>June 30, 2020</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ind w:right="204"/>
              <w:spacing w:after="0"/>
              <w:rPr>
                <w:sz w:val="20"/>
                <w:szCs w:val="20"/>
                <w:color w:val="auto"/>
              </w:rPr>
            </w:pPr>
            <w:r>
              <w:rPr>
                <w:rFonts w:ascii="Arial" w:cs="Arial" w:eastAsia="Arial" w:hAnsi="Arial"/>
                <w:sz w:val="15"/>
                <w:szCs w:val="15"/>
                <w:b w:val="1"/>
                <w:bCs w:val="1"/>
                <w:color w:val="auto"/>
                <w:w w:val="96"/>
              </w:rPr>
              <w:t>December 31, 2019</w:t>
            </w:r>
          </w:p>
        </w:tc>
      </w:tr>
      <w:tr>
        <w:trPr>
          <w:trHeight w:val="214"/>
        </w:trPr>
        <w:tc>
          <w:tcPr>
            <w:tcW w:w="5680" w:type="dxa"/>
            <w:vAlign w:val="bottom"/>
            <w:gridSpan w:val="2"/>
            <w:shd w:val="clear" w:color="auto" w:fill="CCEEFF"/>
          </w:tcPr>
          <w:p>
            <w:pPr>
              <w:ind w:left="20"/>
              <w:spacing w:after="0"/>
              <w:rPr>
                <w:sz w:val="20"/>
                <w:szCs w:val="20"/>
                <w:color w:val="auto"/>
              </w:rPr>
            </w:pPr>
            <w:r>
              <w:rPr>
                <w:rFonts w:ascii="Arial" w:cs="Arial" w:eastAsia="Arial" w:hAnsi="Arial"/>
                <w:sz w:val="15"/>
                <w:szCs w:val="15"/>
                <w:b w:val="1"/>
                <w:bCs w:val="1"/>
                <w:color w:val="auto"/>
              </w:rPr>
              <w:t>Lease Assets</w:t>
            </w:r>
          </w:p>
        </w:tc>
        <w:tc>
          <w:tcPr>
            <w:tcW w:w="1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r>
      <w:tr>
        <w:trPr>
          <w:trHeight w:val="212"/>
        </w:trPr>
        <w:tc>
          <w:tcPr>
            <w:tcW w:w="5680" w:type="dxa"/>
            <w:vAlign w:val="bottom"/>
            <w:gridSpan w:val="2"/>
          </w:tcPr>
          <w:p>
            <w:pPr>
              <w:ind w:left="20"/>
              <w:spacing w:after="0"/>
              <w:rPr>
                <w:sz w:val="20"/>
                <w:szCs w:val="20"/>
                <w:color w:val="auto"/>
              </w:rPr>
            </w:pPr>
            <w:r>
              <w:rPr>
                <w:rFonts w:ascii="Arial" w:cs="Arial" w:eastAsia="Arial" w:hAnsi="Arial"/>
                <w:sz w:val="15"/>
                <w:szCs w:val="15"/>
                <w:color w:val="auto"/>
              </w:rPr>
              <w:t>ROU asset obtained in exchange for new finance lease liabilities</w:t>
            </w:r>
          </w:p>
        </w:tc>
        <w:tc>
          <w:tcPr>
            <w:tcW w:w="1880" w:type="dxa"/>
            <w:vAlign w:val="bottom"/>
            <w:gridSpan w:val="2"/>
          </w:tcPr>
          <w:p>
            <w:pPr>
              <w:ind w:left="20"/>
              <w:spacing w:after="0"/>
              <w:rPr>
                <w:sz w:val="20"/>
                <w:szCs w:val="20"/>
                <w:color w:val="auto"/>
              </w:rPr>
            </w:pPr>
            <w:r>
              <w:rPr>
                <w:rFonts w:ascii="Arial" w:cs="Arial" w:eastAsia="Arial" w:hAnsi="Arial"/>
                <w:sz w:val="15"/>
                <w:szCs w:val="15"/>
                <w:color w:val="auto"/>
              </w:rPr>
              <w:t>Other asset, net</w:t>
            </w:r>
          </w:p>
        </w:tc>
        <w:tc>
          <w:tcPr>
            <w:tcW w:w="280" w:type="dxa"/>
            <w:vAlign w:val="bottom"/>
          </w:tcPr>
          <w:p>
            <w:pPr>
              <w:jc w:val="right"/>
              <w:ind w:right="104"/>
              <w:spacing w:after="0"/>
              <w:rPr>
                <w:sz w:val="20"/>
                <w:szCs w:val="20"/>
                <w:color w:val="auto"/>
              </w:rPr>
            </w:pPr>
            <w:r>
              <w:rPr>
                <w:rFonts w:ascii="Arial" w:cs="Arial" w:eastAsia="Arial" w:hAnsi="Arial"/>
                <w:sz w:val="15"/>
                <w:szCs w:val="15"/>
                <w:color w:val="auto"/>
                <w:w w:val="95"/>
              </w:rPr>
              <w:t>$</w:t>
            </w:r>
          </w:p>
        </w:tc>
        <w:tc>
          <w:tcPr>
            <w:tcW w:w="1500" w:type="dxa"/>
            <w:vAlign w:val="bottom"/>
          </w:tcPr>
          <w:p>
            <w:pPr>
              <w:jc w:val="right"/>
              <w:ind w:right="64"/>
              <w:spacing w:after="0"/>
              <w:rPr>
                <w:sz w:val="20"/>
                <w:szCs w:val="20"/>
                <w:color w:val="auto"/>
              </w:rPr>
            </w:pPr>
            <w:r>
              <w:rPr>
                <w:rFonts w:ascii="Arial" w:cs="Arial" w:eastAsia="Arial" w:hAnsi="Arial"/>
                <w:sz w:val="15"/>
                <w:szCs w:val="15"/>
                <w:color w:val="auto"/>
              </w:rPr>
              <w:t>4,117</w:t>
            </w:r>
          </w:p>
        </w:tc>
        <w:tc>
          <w:tcPr>
            <w:tcW w:w="120" w:type="dxa"/>
            <w:vAlign w:val="bottom"/>
          </w:tcPr>
          <w:p>
            <w:pPr>
              <w:spacing w:after="0"/>
              <w:rPr>
                <w:sz w:val="18"/>
                <w:szCs w:val="18"/>
                <w:color w:val="auto"/>
              </w:rPr>
            </w:pPr>
          </w:p>
        </w:tc>
        <w:tc>
          <w:tcPr>
            <w:tcW w:w="180" w:type="dxa"/>
            <w:vAlign w:val="bottom"/>
          </w:tcPr>
          <w:p>
            <w:pPr>
              <w:jc w:val="right"/>
              <w:ind w:right="4"/>
              <w:spacing w:after="0"/>
              <w:rPr>
                <w:sz w:val="20"/>
                <w:szCs w:val="20"/>
                <w:color w:val="auto"/>
              </w:rPr>
            </w:pPr>
            <w:r>
              <w:rPr>
                <w:rFonts w:ascii="Arial" w:cs="Arial" w:eastAsia="Arial" w:hAnsi="Arial"/>
                <w:sz w:val="15"/>
                <w:szCs w:val="15"/>
                <w:color w:val="auto"/>
                <w:w w:val="95"/>
              </w:rPr>
              <w:t>$</w:t>
            </w:r>
          </w:p>
        </w:tc>
        <w:tc>
          <w:tcPr>
            <w:tcW w:w="1600" w:type="dxa"/>
            <w:vAlign w:val="bottom"/>
          </w:tcPr>
          <w:p>
            <w:pPr>
              <w:jc w:val="right"/>
              <w:ind w:right="64"/>
              <w:spacing w:after="0"/>
              <w:rPr>
                <w:sz w:val="20"/>
                <w:szCs w:val="20"/>
                <w:color w:val="auto"/>
              </w:rPr>
            </w:pPr>
            <w:r>
              <w:rPr>
                <w:rFonts w:ascii="Arial" w:cs="Arial" w:eastAsia="Arial" w:hAnsi="Arial"/>
                <w:sz w:val="15"/>
                <w:szCs w:val="15"/>
                <w:color w:val="auto"/>
              </w:rPr>
              <w:t>4,081</w:t>
            </w:r>
          </w:p>
        </w:tc>
      </w:tr>
      <w:tr>
        <w:trPr>
          <w:trHeight w:val="220"/>
        </w:trPr>
        <w:tc>
          <w:tcPr>
            <w:tcW w:w="568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ROU asset obtained in exchange for new operating lease liabilities</w:t>
            </w:r>
          </w:p>
        </w:tc>
        <w:tc>
          <w:tcPr>
            <w:tcW w:w="188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Other asset, net</w:t>
            </w:r>
          </w:p>
        </w:tc>
        <w:tc>
          <w:tcPr>
            <w:tcW w:w="28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w w:val="95"/>
              </w:rPr>
              <w:t>$</w:t>
            </w:r>
          </w:p>
        </w:tc>
        <w:tc>
          <w:tcPr>
            <w:tcW w:w="150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24,880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95"/>
              </w:rPr>
              <w:t>$</w:t>
            </w:r>
          </w:p>
        </w:tc>
        <w:tc>
          <w:tcPr>
            <w:tcW w:w="160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23,751</w:t>
            </w:r>
          </w:p>
        </w:tc>
      </w:tr>
      <w:tr>
        <w:trPr>
          <w:trHeight w:val="212"/>
        </w:trPr>
        <w:tc>
          <w:tcPr>
            <w:tcW w:w="5680" w:type="dxa"/>
            <w:vAlign w:val="bottom"/>
            <w:gridSpan w:val="2"/>
          </w:tcPr>
          <w:p>
            <w:pPr>
              <w:ind w:left="20"/>
              <w:spacing w:after="0"/>
              <w:rPr>
                <w:sz w:val="20"/>
                <w:szCs w:val="20"/>
                <w:color w:val="auto"/>
              </w:rPr>
            </w:pPr>
            <w:r>
              <w:rPr>
                <w:rFonts w:ascii="Arial" w:cs="Arial" w:eastAsia="Arial" w:hAnsi="Arial"/>
                <w:sz w:val="15"/>
                <w:szCs w:val="15"/>
                <w:color w:val="auto"/>
              </w:rPr>
              <w:t>ROU asset obtained relative to below market operating lease</w:t>
            </w:r>
          </w:p>
        </w:tc>
        <w:tc>
          <w:tcPr>
            <w:tcW w:w="1880" w:type="dxa"/>
            <w:vAlign w:val="bottom"/>
            <w:gridSpan w:val="2"/>
          </w:tcPr>
          <w:p>
            <w:pPr>
              <w:ind w:left="20"/>
              <w:spacing w:after="0"/>
              <w:rPr>
                <w:sz w:val="20"/>
                <w:szCs w:val="20"/>
                <w:color w:val="auto"/>
              </w:rPr>
            </w:pPr>
            <w:r>
              <w:rPr>
                <w:rFonts w:ascii="Arial" w:cs="Arial" w:eastAsia="Arial" w:hAnsi="Arial"/>
                <w:sz w:val="15"/>
                <w:szCs w:val="15"/>
                <w:color w:val="auto"/>
              </w:rPr>
              <w:t>Other asset, net</w:t>
            </w:r>
          </w:p>
        </w:tc>
        <w:tc>
          <w:tcPr>
            <w:tcW w:w="280" w:type="dxa"/>
            <w:vAlign w:val="bottom"/>
          </w:tcPr>
          <w:p>
            <w:pPr>
              <w:jc w:val="right"/>
              <w:ind w:right="104"/>
              <w:spacing w:after="0"/>
              <w:rPr>
                <w:sz w:val="20"/>
                <w:szCs w:val="20"/>
                <w:color w:val="auto"/>
              </w:rPr>
            </w:pPr>
            <w:r>
              <w:rPr>
                <w:rFonts w:ascii="Arial" w:cs="Arial" w:eastAsia="Arial" w:hAnsi="Arial"/>
                <w:sz w:val="15"/>
                <w:szCs w:val="15"/>
                <w:color w:val="auto"/>
                <w:w w:val="95"/>
              </w:rPr>
              <w:t>$</w:t>
            </w:r>
          </w:p>
        </w:tc>
        <w:tc>
          <w:tcPr>
            <w:tcW w:w="1500" w:type="dxa"/>
            <w:vAlign w:val="bottom"/>
          </w:tcPr>
          <w:p>
            <w:pPr>
              <w:jc w:val="right"/>
              <w:ind w:right="64"/>
              <w:spacing w:after="0"/>
              <w:rPr>
                <w:sz w:val="20"/>
                <w:szCs w:val="20"/>
                <w:color w:val="auto"/>
              </w:rPr>
            </w:pPr>
            <w:r>
              <w:rPr>
                <w:rFonts w:ascii="Arial" w:cs="Arial" w:eastAsia="Arial" w:hAnsi="Arial"/>
                <w:sz w:val="15"/>
                <w:szCs w:val="15"/>
                <w:color w:val="auto"/>
              </w:rPr>
              <w:t>27,990</w:t>
            </w:r>
          </w:p>
        </w:tc>
        <w:tc>
          <w:tcPr>
            <w:tcW w:w="120" w:type="dxa"/>
            <w:vAlign w:val="bottom"/>
          </w:tcPr>
          <w:p>
            <w:pPr>
              <w:spacing w:after="0"/>
              <w:rPr>
                <w:sz w:val="18"/>
                <w:szCs w:val="18"/>
                <w:color w:val="auto"/>
              </w:rPr>
            </w:pPr>
          </w:p>
        </w:tc>
        <w:tc>
          <w:tcPr>
            <w:tcW w:w="180" w:type="dxa"/>
            <w:vAlign w:val="bottom"/>
          </w:tcPr>
          <w:p>
            <w:pPr>
              <w:jc w:val="right"/>
              <w:ind w:right="4"/>
              <w:spacing w:after="0"/>
              <w:rPr>
                <w:sz w:val="20"/>
                <w:szCs w:val="20"/>
                <w:color w:val="auto"/>
              </w:rPr>
            </w:pPr>
            <w:r>
              <w:rPr>
                <w:rFonts w:ascii="Arial" w:cs="Arial" w:eastAsia="Arial" w:hAnsi="Arial"/>
                <w:sz w:val="15"/>
                <w:szCs w:val="15"/>
                <w:color w:val="auto"/>
                <w:w w:val="95"/>
              </w:rPr>
              <w:t>$</w:t>
            </w:r>
          </w:p>
        </w:tc>
        <w:tc>
          <w:tcPr>
            <w:tcW w:w="1600" w:type="dxa"/>
            <w:vAlign w:val="bottom"/>
          </w:tcPr>
          <w:p>
            <w:pPr>
              <w:jc w:val="right"/>
              <w:ind w:right="64"/>
              <w:spacing w:after="0"/>
              <w:rPr>
                <w:sz w:val="20"/>
                <w:szCs w:val="20"/>
                <w:color w:val="auto"/>
              </w:rPr>
            </w:pPr>
            <w:r>
              <w:rPr>
                <w:rFonts w:ascii="Arial" w:cs="Arial" w:eastAsia="Arial" w:hAnsi="Arial"/>
                <w:sz w:val="15"/>
                <w:szCs w:val="15"/>
                <w:color w:val="auto"/>
              </w:rPr>
              <w:t>28,366</w:t>
            </w:r>
          </w:p>
        </w:tc>
      </w:tr>
      <w:tr>
        <w:trPr>
          <w:trHeight w:val="220"/>
        </w:trPr>
        <w:tc>
          <w:tcPr>
            <w:tcW w:w="5680" w:type="dxa"/>
            <w:vAlign w:val="bottom"/>
            <w:gridSpan w:val="2"/>
            <w:shd w:val="clear" w:color="auto" w:fill="CCEEFF"/>
          </w:tcPr>
          <w:p>
            <w:pPr>
              <w:ind w:left="20"/>
              <w:spacing w:after="0"/>
              <w:rPr>
                <w:sz w:val="20"/>
                <w:szCs w:val="20"/>
                <w:color w:val="auto"/>
              </w:rPr>
            </w:pPr>
            <w:r>
              <w:rPr>
                <w:rFonts w:ascii="Arial" w:cs="Arial" w:eastAsia="Arial" w:hAnsi="Arial"/>
                <w:sz w:val="15"/>
                <w:szCs w:val="15"/>
                <w:b w:val="1"/>
                <w:bCs w:val="1"/>
                <w:color w:val="auto"/>
              </w:rPr>
              <w:t>Lease Liabilities</w:t>
            </w:r>
          </w:p>
        </w:tc>
        <w:tc>
          <w:tcPr>
            <w:tcW w:w="1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r>
      <w:tr>
        <w:trPr>
          <w:trHeight w:val="212"/>
        </w:trPr>
        <w:tc>
          <w:tcPr>
            <w:tcW w:w="5680" w:type="dxa"/>
            <w:vAlign w:val="bottom"/>
            <w:gridSpan w:val="2"/>
          </w:tcPr>
          <w:p>
            <w:pPr>
              <w:ind w:left="20"/>
              <w:spacing w:after="0"/>
              <w:rPr>
                <w:sz w:val="20"/>
                <w:szCs w:val="20"/>
                <w:color w:val="auto"/>
              </w:rPr>
            </w:pPr>
            <w:r>
              <w:rPr>
                <w:rFonts w:ascii="Arial" w:cs="Arial" w:eastAsia="Arial" w:hAnsi="Arial"/>
                <w:sz w:val="15"/>
                <w:szCs w:val="15"/>
                <w:color w:val="auto"/>
              </w:rPr>
              <w:t>Finance lease liabilities</w:t>
            </w:r>
          </w:p>
        </w:tc>
        <w:tc>
          <w:tcPr>
            <w:tcW w:w="1880" w:type="dxa"/>
            <w:vAlign w:val="bottom"/>
            <w:gridSpan w:val="2"/>
          </w:tcPr>
          <w:p>
            <w:pPr>
              <w:ind w:left="20"/>
              <w:spacing w:after="0"/>
              <w:rPr>
                <w:sz w:val="20"/>
                <w:szCs w:val="20"/>
                <w:color w:val="auto"/>
              </w:rPr>
            </w:pPr>
            <w:r>
              <w:rPr>
                <w:rFonts w:ascii="Arial" w:cs="Arial" w:eastAsia="Arial" w:hAnsi="Arial"/>
                <w:sz w:val="15"/>
                <w:szCs w:val="15"/>
                <w:color w:val="auto"/>
              </w:rPr>
              <w:t>Other liabilities</w:t>
            </w:r>
          </w:p>
        </w:tc>
        <w:tc>
          <w:tcPr>
            <w:tcW w:w="280" w:type="dxa"/>
            <w:vAlign w:val="bottom"/>
          </w:tcPr>
          <w:p>
            <w:pPr>
              <w:jc w:val="right"/>
              <w:ind w:right="104"/>
              <w:spacing w:after="0"/>
              <w:rPr>
                <w:sz w:val="20"/>
                <w:szCs w:val="20"/>
                <w:color w:val="auto"/>
              </w:rPr>
            </w:pPr>
            <w:r>
              <w:rPr>
                <w:rFonts w:ascii="Arial" w:cs="Arial" w:eastAsia="Arial" w:hAnsi="Arial"/>
                <w:sz w:val="15"/>
                <w:szCs w:val="15"/>
                <w:color w:val="auto"/>
                <w:w w:val="95"/>
              </w:rPr>
              <w:t>$</w:t>
            </w:r>
          </w:p>
        </w:tc>
        <w:tc>
          <w:tcPr>
            <w:tcW w:w="1500" w:type="dxa"/>
            <w:vAlign w:val="bottom"/>
          </w:tcPr>
          <w:p>
            <w:pPr>
              <w:jc w:val="right"/>
              <w:ind w:right="64"/>
              <w:spacing w:after="0"/>
              <w:rPr>
                <w:sz w:val="20"/>
                <w:szCs w:val="20"/>
                <w:color w:val="auto"/>
              </w:rPr>
            </w:pPr>
            <w:r>
              <w:rPr>
                <w:rFonts w:ascii="Arial" w:cs="Arial" w:eastAsia="Arial" w:hAnsi="Arial"/>
                <w:sz w:val="15"/>
                <w:szCs w:val="15"/>
                <w:color w:val="auto"/>
              </w:rPr>
              <w:t>4,117</w:t>
            </w:r>
          </w:p>
        </w:tc>
        <w:tc>
          <w:tcPr>
            <w:tcW w:w="120" w:type="dxa"/>
            <w:vAlign w:val="bottom"/>
          </w:tcPr>
          <w:p>
            <w:pPr>
              <w:spacing w:after="0"/>
              <w:rPr>
                <w:sz w:val="18"/>
                <w:szCs w:val="18"/>
                <w:color w:val="auto"/>
              </w:rPr>
            </w:pPr>
          </w:p>
        </w:tc>
        <w:tc>
          <w:tcPr>
            <w:tcW w:w="180" w:type="dxa"/>
            <w:vAlign w:val="bottom"/>
          </w:tcPr>
          <w:p>
            <w:pPr>
              <w:jc w:val="right"/>
              <w:ind w:right="4"/>
              <w:spacing w:after="0"/>
              <w:rPr>
                <w:sz w:val="20"/>
                <w:szCs w:val="20"/>
                <w:color w:val="auto"/>
              </w:rPr>
            </w:pPr>
            <w:r>
              <w:rPr>
                <w:rFonts w:ascii="Arial" w:cs="Arial" w:eastAsia="Arial" w:hAnsi="Arial"/>
                <w:sz w:val="15"/>
                <w:szCs w:val="15"/>
                <w:color w:val="auto"/>
                <w:w w:val="95"/>
              </w:rPr>
              <w:t>$</w:t>
            </w:r>
          </w:p>
        </w:tc>
        <w:tc>
          <w:tcPr>
            <w:tcW w:w="1600" w:type="dxa"/>
            <w:vAlign w:val="bottom"/>
          </w:tcPr>
          <w:p>
            <w:pPr>
              <w:jc w:val="right"/>
              <w:ind w:right="64"/>
              <w:spacing w:after="0"/>
              <w:rPr>
                <w:sz w:val="20"/>
                <w:szCs w:val="20"/>
                <w:color w:val="auto"/>
              </w:rPr>
            </w:pPr>
            <w:r>
              <w:rPr>
                <w:rFonts w:ascii="Arial" w:cs="Arial" w:eastAsia="Arial" w:hAnsi="Arial"/>
                <w:sz w:val="15"/>
                <w:szCs w:val="15"/>
                <w:color w:val="auto"/>
              </w:rPr>
              <w:t>4,081</w:t>
            </w:r>
          </w:p>
        </w:tc>
      </w:tr>
      <w:tr>
        <w:trPr>
          <w:trHeight w:val="220"/>
        </w:trPr>
        <w:tc>
          <w:tcPr>
            <w:tcW w:w="568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Operating lease liabilities</w:t>
            </w:r>
          </w:p>
        </w:tc>
        <w:tc>
          <w:tcPr>
            <w:tcW w:w="188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Other liabilities</w:t>
            </w:r>
          </w:p>
        </w:tc>
        <w:tc>
          <w:tcPr>
            <w:tcW w:w="28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w w:val="95"/>
              </w:rPr>
              <w:t>$</w:t>
            </w:r>
          </w:p>
        </w:tc>
        <w:tc>
          <w:tcPr>
            <w:tcW w:w="150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25,781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95"/>
              </w:rPr>
              <w:t>$</w:t>
            </w:r>
          </w:p>
        </w:tc>
        <w:tc>
          <w:tcPr>
            <w:tcW w:w="160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24,222</w:t>
            </w: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Lease expense for finance and operating leases as included in our Consolidated Statements of Operations are as follows (in thousands):</w:t>
      </w:r>
    </w:p>
    <w:p>
      <w:pPr>
        <w:sectPr>
          <w:pgSz w:w="11900" w:h="16838" w:orient="portrait"/>
          <w:cols w:equalWidth="0" w:num="1">
            <w:col w:w="11240"/>
          </w:cols>
          <w:pgMar w:left="320" w:top="126" w:right="339" w:bottom="1440" w:gutter="0" w:footer="0" w:header="0"/>
        </w:sectPr>
      </w:pPr>
    </w:p>
    <w:p>
      <w:pPr>
        <w:spacing w:after="0" w:line="290" w:lineRule="exact"/>
        <w:rPr>
          <w:sz w:val="20"/>
          <w:szCs w:val="20"/>
          <w:color w:val="auto"/>
        </w:rPr>
      </w:pPr>
    </w:p>
    <w:p>
      <w:pPr>
        <w:ind w:left="780"/>
        <w:spacing w:after="0"/>
        <w:rPr>
          <w:sz w:val="20"/>
          <w:szCs w:val="20"/>
          <w:color w:val="auto"/>
        </w:rPr>
      </w:pPr>
      <w:r>
        <w:rPr>
          <w:rFonts w:ascii="Arial" w:cs="Arial" w:eastAsia="Arial" w:hAnsi="Arial"/>
          <w:sz w:val="15"/>
          <w:szCs w:val="15"/>
          <w:b w:val="1"/>
          <w:bCs w:val="1"/>
          <w:color w:val="auto"/>
        </w:rPr>
        <w:t>Description</w:t>
      </w:r>
    </w:p>
    <w:p>
      <w:pPr>
        <w:spacing w:after="0" w:line="61" w:lineRule="exact"/>
        <w:rPr>
          <w:sz w:val="20"/>
          <w:szCs w:val="20"/>
          <w:color w:val="auto"/>
        </w:rPr>
      </w:pPr>
    </w:p>
    <w:p>
      <w:pPr>
        <w:ind w:left="20"/>
        <w:spacing w:after="0"/>
        <w:rPr>
          <w:sz w:val="20"/>
          <w:szCs w:val="20"/>
          <w:color w:val="auto"/>
        </w:rPr>
      </w:pPr>
      <w:r>
        <w:rPr>
          <w:rFonts w:ascii="Arial" w:cs="Arial" w:eastAsia="Arial" w:hAnsi="Arial"/>
          <w:sz w:val="15"/>
          <w:szCs w:val="15"/>
          <w:color w:val="auto"/>
        </w:rPr>
        <w:t>Finance lease expense</w:t>
      </w:r>
    </w:p>
    <w:p>
      <w:pPr>
        <w:spacing w:after="0" w:line="44" w:lineRule="exact"/>
        <w:rPr>
          <w:sz w:val="20"/>
          <w:szCs w:val="20"/>
          <w:color w:val="auto"/>
        </w:rPr>
      </w:pPr>
    </w:p>
    <w:p>
      <w:pPr>
        <w:ind w:left="120"/>
        <w:spacing w:after="0"/>
        <w:rPr>
          <w:sz w:val="20"/>
          <w:szCs w:val="20"/>
          <w:color w:val="auto"/>
        </w:rPr>
      </w:pPr>
      <w:r>
        <w:rPr>
          <w:rFonts w:ascii="Arial" w:cs="Arial" w:eastAsia="Arial" w:hAnsi="Arial"/>
          <w:sz w:val="14"/>
          <w:szCs w:val="14"/>
          <w:color w:val="auto"/>
        </w:rPr>
        <w:t>Amortization of ROU assets</w:t>
      </w:r>
    </w:p>
    <w:p>
      <w:pPr>
        <w:spacing w:after="0" w:line="55" w:lineRule="exact"/>
        <w:rPr>
          <w:sz w:val="20"/>
          <w:szCs w:val="20"/>
          <w:color w:val="auto"/>
        </w:rPr>
      </w:pPr>
    </w:p>
    <w:p>
      <w:pPr>
        <w:ind w:left="120"/>
        <w:spacing w:after="0"/>
        <w:rPr>
          <w:sz w:val="20"/>
          <w:szCs w:val="20"/>
          <w:color w:val="auto"/>
        </w:rPr>
      </w:pPr>
      <w:r>
        <w:rPr>
          <w:rFonts w:ascii="Arial" w:cs="Arial" w:eastAsia="Arial" w:hAnsi="Arial"/>
          <w:sz w:val="15"/>
          <w:szCs w:val="15"/>
          <w:color w:val="auto"/>
        </w:rPr>
        <w:t>Interest on lease liabilities</w:t>
      </w:r>
    </w:p>
    <w:p>
      <w:pPr>
        <w:spacing w:after="0" w:line="206" w:lineRule="exact"/>
        <w:rPr>
          <w:sz w:val="20"/>
          <w:szCs w:val="20"/>
          <w:color w:val="auto"/>
        </w:rPr>
      </w:pPr>
    </w:p>
    <w:p>
      <w:pPr>
        <w:ind w:left="20"/>
        <w:spacing w:after="0"/>
        <w:rPr>
          <w:sz w:val="20"/>
          <w:szCs w:val="20"/>
          <w:color w:val="auto"/>
        </w:rPr>
      </w:pPr>
      <w:r>
        <w:rPr>
          <w:rFonts w:ascii="Arial" w:cs="Arial" w:eastAsia="Arial" w:hAnsi="Arial"/>
          <w:sz w:val="15"/>
          <w:szCs w:val="15"/>
          <w:color w:val="auto"/>
        </w:rPr>
        <w:t>Operating lease cost</w:t>
      </w:r>
    </w:p>
    <w:p>
      <w:pPr>
        <w:spacing w:after="0" w:line="44" w:lineRule="exact"/>
        <w:rPr>
          <w:sz w:val="20"/>
          <w:szCs w:val="20"/>
          <w:color w:val="auto"/>
        </w:rPr>
      </w:pPr>
    </w:p>
    <w:p>
      <w:pPr>
        <w:ind w:left="20"/>
        <w:spacing w:after="0"/>
        <w:rPr>
          <w:sz w:val="20"/>
          <w:szCs w:val="20"/>
          <w:color w:val="auto"/>
        </w:rPr>
      </w:pPr>
      <w:r>
        <w:rPr>
          <w:rFonts w:ascii="Arial" w:cs="Arial" w:eastAsia="Arial" w:hAnsi="Arial"/>
          <w:sz w:val="15"/>
          <w:szCs w:val="15"/>
          <w:color w:val="auto"/>
        </w:rPr>
        <w:t>Variable lease cost</w:t>
      </w:r>
    </w:p>
    <w:p>
      <w:pPr>
        <w:spacing w:after="0" w:line="80"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Total Lease Expense</w:t>
      </w:r>
    </w:p>
    <w:p>
      <w:pPr>
        <w:spacing w:after="0" w:line="20" w:lineRule="exact"/>
        <w:rPr>
          <w:sz w:val="20"/>
          <w:szCs w:val="20"/>
          <w:color w:val="auto"/>
        </w:rPr>
      </w:pPr>
      <w:r>
        <w:rPr>
          <w:sz w:val="20"/>
          <w:szCs w:val="20"/>
          <w:color w:val="auto"/>
        </w:rPr>
        <w:br w:type="column"/>
      </w:r>
    </w:p>
    <w:p>
      <w:pPr>
        <w:spacing w:after="0" w:line="4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2"/>
        </w:trPr>
        <w:tc>
          <w:tcPr>
            <w:tcW w:w="2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700" w:type="dxa"/>
            <w:vAlign w:val="bottom"/>
            <w:tcBorders>
              <w:bottom w:val="single" w:sz="8" w:color="auto"/>
            </w:tcBorders>
            <w:gridSpan w:val="4"/>
          </w:tcPr>
          <w:p>
            <w:pPr>
              <w:jc w:val="right"/>
              <w:ind w:right="664"/>
              <w:spacing w:after="0"/>
              <w:rPr>
                <w:sz w:val="20"/>
                <w:szCs w:val="20"/>
                <w:color w:val="auto"/>
              </w:rPr>
            </w:pPr>
            <w:r>
              <w:rPr>
                <w:rFonts w:ascii="Arial" w:cs="Arial" w:eastAsia="Arial" w:hAnsi="Arial"/>
                <w:sz w:val="15"/>
                <w:szCs w:val="15"/>
                <w:b w:val="1"/>
                <w:bCs w:val="1"/>
                <w:color w:val="auto"/>
              </w:rPr>
              <w:t>Three Months Ended</w:t>
            </w: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660" w:type="dxa"/>
            <w:vAlign w:val="bottom"/>
            <w:tcBorders>
              <w:bottom w:val="single" w:sz="8" w:color="auto"/>
            </w:tcBorders>
            <w:gridSpan w:val="4"/>
          </w:tcPr>
          <w:p>
            <w:pPr>
              <w:jc w:val="right"/>
              <w:ind w:right="744"/>
              <w:spacing w:after="0"/>
              <w:rPr>
                <w:sz w:val="20"/>
                <w:szCs w:val="20"/>
                <w:color w:val="auto"/>
              </w:rPr>
            </w:pPr>
            <w:r>
              <w:rPr>
                <w:rFonts w:ascii="Arial" w:cs="Arial" w:eastAsia="Arial" w:hAnsi="Arial"/>
                <w:sz w:val="15"/>
                <w:szCs w:val="15"/>
                <w:b w:val="1"/>
                <w:bCs w:val="1"/>
                <w:color w:val="auto"/>
              </w:rPr>
              <w:t>Six Months Ended</w:t>
            </w:r>
          </w:p>
        </w:tc>
      </w:tr>
      <w:tr>
        <w:trPr>
          <w:trHeight w:val="209"/>
        </w:trPr>
        <w:tc>
          <w:tcPr>
            <w:tcW w:w="2780" w:type="dxa"/>
            <w:vAlign w:val="bottom"/>
            <w:tcBorders>
              <w:bottom w:val="single" w:sz="8" w:color="auto"/>
            </w:tcBorders>
          </w:tcPr>
          <w:p>
            <w:pPr>
              <w:ind w:left="280"/>
              <w:spacing w:after="0"/>
              <w:rPr>
                <w:sz w:val="20"/>
                <w:szCs w:val="20"/>
                <w:color w:val="auto"/>
              </w:rPr>
            </w:pPr>
            <w:r>
              <w:rPr>
                <w:rFonts w:ascii="Arial" w:cs="Arial" w:eastAsia="Arial" w:hAnsi="Arial"/>
                <w:sz w:val="15"/>
                <w:szCs w:val="15"/>
                <w:b w:val="1"/>
                <w:bCs w:val="1"/>
                <w:color w:val="auto"/>
              </w:rPr>
              <w:t>Financial Statement Classification</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184"/>
              <w:spacing w:after="0"/>
              <w:rPr>
                <w:sz w:val="20"/>
                <w:szCs w:val="20"/>
                <w:color w:val="auto"/>
              </w:rPr>
            </w:pPr>
            <w:r>
              <w:rPr>
                <w:rFonts w:ascii="Arial" w:cs="Arial" w:eastAsia="Arial" w:hAnsi="Arial"/>
                <w:sz w:val="15"/>
                <w:szCs w:val="15"/>
                <w:b w:val="1"/>
                <w:bCs w:val="1"/>
                <w:color w:val="auto"/>
                <w:w w:val="96"/>
              </w:rPr>
              <w:t>June 30, 2020</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164"/>
              <w:spacing w:after="0"/>
              <w:rPr>
                <w:sz w:val="20"/>
                <w:szCs w:val="20"/>
                <w:color w:val="auto"/>
              </w:rPr>
            </w:pPr>
            <w:r>
              <w:rPr>
                <w:rFonts w:ascii="Arial" w:cs="Arial" w:eastAsia="Arial" w:hAnsi="Arial"/>
                <w:sz w:val="15"/>
                <w:szCs w:val="15"/>
                <w:b w:val="1"/>
                <w:bCs w:val="1"/>
                <w:color w:val="auto"/>
                <w:w w:val="98"/>
              </w:rPr>
              <w:t>June 30, 2019</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164"/>
              <w:spacing w:after="0"/>
              <w:rPr>
                <w:sz w:val="20"/>
                <w:szCs w:val="20"/>
                <w:color w:val="auto"/>
              </w:rPr>
            </w:pPr>
            <w:r>
              <w:rPr>
                <w:rFonts w:ascii="Arial" w:cs="Arial" w:eastAsia="Arial" w:hAnsi="Arial"/>
                <w:sz w:val="15"/>
                <w:szCs w:val="15"/>
                <w:b w:val="1"/>
                <w:bCs w:val="1"/>
                <w:color w:val="auto"/>
                <w:w w:val="96"/>
              </w:rPr>
              <w:t>June 30, 2020</w:t>
            </w:r>
          </w:p>
        </w:tc>
        <w:tc>
          <w:tcPr>
            <w:tcW w:w="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164"/>
              <w:spacing w:after="0"/>
              <w:rPr>
                <w:sz w:val="20"/>
                <w:szCs w:val="20"/>
                <w:color w:val="auto"/>
              </w:rPr>
            </w:pPr>
            <w:r>
              <w:rPr>
                <w:rFonts w:ascii="Arial" w:cs="Arial" w:eastAsia="Arial" w:hAnsi="Arial"/>
                <w:sz w:val="15"/>
                <w:szCs w:val="15"/>
                <w:b w:val="1"/>
                <w:bCs w:val="1"/>
                <w:color w:val="auto"/>
                <w:w w:val="96"/>
              </w:rPr>
              <w:t>June 30, 2019</w:t>
            </w:r>
          </w:p>
        </w:tc>
      </w:tr>
      <w:tr>
        <w:trPr>
          <w:trHeight w:val="422"/>
        </w:trPr>
        <w:tc>
          <w:tcPr>
            <w:tcW w:w="2900" w:type="dxa"/>
            <w:vAlign w:val="bottom"/>
            <w:gridSpan w:val="2"/>
          </w:tcPr>
          <w:p>
            <w:pPr>
              <w:ind w:left="20"/>
              <w:spacing w:after="0"/>
              <w:rPr>
                <w:sz w:val="20"/>
                <w:szCs w:val="20"/>
                <w:color w:val="auto"/>
              </w:rPr>
            </w:pPr>
            <w:r>
              <w:rPr>
                <w:rFonts w:ascii="Arial" w:cs="Arial" w:eastAsia="Arial" w:hAnsi="Arial"/>
                <w:sz w:val="15"/>
                <w:szCs w:val="15"/>
                <w:color w:val="auto"/>
              </w:rPr>
              <w:t>Interest expense</w:t>
            </w: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1220" w:type="dxa"/>
            <w:vAlign w:val="bottom"/>
          </w:tcPr>
          <w:p>
            <w:pPr>
              <w:jc w:val="right"/>
              <w:ind w:right="44"/>
              <w:spacing w:after="0"/>
              <w:rPr>
                <w:sz w:val="20"/>
                <w:szCs w:val="20"/>
                <w:color w:val="auto"/>
              </w:rPr>
            </w:pPr>
            <w:r>
              <w:rPr>
                <w:rFonts w:ascii="Arial" w:cs="Arial" w:eastAsia="Arial" w:hAnsi="Arial"/>
                <w:sz w:val="15"/>
                <w:szCs w:val="15"/>
                <w:color w:val="auto"/>
              </w:rPr>
              <w:t>(18)</w:t>
            </w:r>
          </w:p>
        </w:tc>
        <w:tc>
          <w:tcPr>
            <w:tcW w:w="1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220" w:type="dxa"/>
            <w:vAlign w:val="bottom"/>
          </w:tcPr>
          <w:p>
            <w:pPr>
              <w:jc w:val="right"/>
              <w:ind w:right="64"/>
              <w:spacing w:after="0"/>
              <w:rPr>
                <w:sz w:val="20"/>
                <w:szCs w:val="20"/>
                <w:color w:val="auto"/>
              </w:rPr>
            </w:pPr>
            <w:r>
              <w:rPr>
                <w:rFonts w:ascii="Arial" w:cs="Arial" w:eastAsia="Arial" w:hAnsi="Arial"/>
                <w:sz w:val="15"/>
                <w:szCs w:val="15"/>
                <w:color w:val="auto"/>
              </w:rPr>
              <w:t>18</w:t>
            </w:r>
          </w:p>
        </w:tc>
        <w:tc>
          <w:tcPr>
            <w:tcW w:w="100" w:type="dxa"/>
            <w:vAlign w:val="bottom"/>
          </w:tcPr>
          <w:p>
            <w:pPr>
              <w:spacing w:after="0"/>
              <w:rPr>
                <w:sz w:val="24"/>
                <w:szCs w:val="24"/>
                <w:color w:val="auto"/>
              </w:rPr>
            </w:pPr>
          </w:p>
        </w:tc>
        <w:tc>
          <w:tcPr>
            <w:tcW w:w="180" w:type="dxa"/>
            <w:vAlign w:val="bottom"/>
          </w:tcPr>
          <w:p>
            <w:pPr>
              <w:jc w:val="right"/>
              <w:ind w:right="4"/>
              <w:spacing w:after="0"/>
              <w:rPr>
                <w:sz w:val="20"/>
                <w:szCs w:val="20"/>
                <w:color w:val="auto"/>
              </w:rPr>
            </w:pPr>
            <w:r>
              <w:rPr>
                <w:rFonts w:ascii="Arial" w:cs="Arial" w:eastAsia="Arial" w:hAnsi="Arial"/>
                <w:sz w:val="15"/>
                <w:szCs w:val="15"/>
                <w:color w:val="auto"/>
                <w:w w:val="95"/>
              </w:rPr>
              <w:t>$</w:t>
            </w:r>
          </w:p>
        </w:tc>
        <w:tc>
          <w:tcPr>
            <w:tcW w:w="1200" w:type="dxa"/>
            <w:vAlign w:val="bottom"/>
          </w:tcPr>
          <w:p>
            <w:pPr>
              <w:jc w:val="right"/>
              <w:ind w:right="24"/>
              <w:spacing w:after="0"/>
              <w:rPr>
                <w:sz w:val="20"/>
                <w:szCs w:val="20"/>
                <w:color w:val="auto"/>
              </w:rPr>
            </w:pPr>
            <w:r>
              <w:rPr>
                <w:rFonts w:ascii="Arial" w:cs="Arial" w:eastAsia="Arial" w:hAnsi="Arial"/>
                <w:sz w:val="15"/>
                <w:szCs w:val="15"/>
                <w:color w:val="auto"/>
              </w:rPr>
              <w:t>(36)</w:t>
            </w:r>
          </w:p>
        </w:tc>
        <w:tc>
          <w:tcPr>
            <w:tcW w:w="80" w:type="dxa"/>
            <w:vAlign w:val="bottom"/>
          </w:tcPr>
          <w:p>
            <w:pPr>
              <w:spacing w:after="0"/>
              <w:rPr>
                <w:sz w:val="24"/>
                <w:szCs w:val="24"/>
                <w:color w:val="auto"/>
              </w:rPr>
            </w:pPr>
          </w:p>
        </w:tc>
        <w:tc>
          <w:tcPr>
            <w:tcW w:w="180" w:type="dxa"/>
            <w:vAlign w:val="bottom"/>
          </w:tcPr>
          <w:p>
            <w:pPr>
              <w:jc w:val="right"/>
              <w:ind w:right="4"/>
              <w:spacing w:after="0"/>
              <w:rPr>
                <w:sz w:val="20"/>
                <w:szCs w:val="20"/>
                <w:color w:val="auto"/>
              </w:rPr>
            </w:pPr>
            <w:r>
              <w:rPr>
                <w:rFonts w:ascii="Arial" w:cs="Arial" w:eastAsia="Arial" w:hAnsi="Arial"/>
                <w:sz w:val="15"/>
                <w:szCs w:val="15"/>
                <w:color w:val="auto"/>
                <w:w w:val="95"/>
              </w:rPr>
              <w:t>$</w:t>
            </w:r>
          </w:p>
        </w:tc>
        <w:tc>
          <w:tcPr>
            <w:tcW w:w="1200" w:type="dxa"/>
            <w:vAlign w:val="bottom"/>
          </w:tcPr>
          <w:p>
            <w:pPr>
              <w:jc w:val="right"/>
              <w:ind w:right="64"/>
              <w:spacing w:after="0"/>
              <w:rPr>
                <w:sz w:val="20"/>
                <w:szCs w:val="20"/>
                <w:color w:val="auto"/>
              </w:rPr>
            </w:pPr>
            <w:r>
              <w:rPr>
                <w:rFonts w:ascii="Arial" w:cs="Arial" w:eastAsia="Arial" w:hAnsi="Arial"/>
                <w:sz w:val="15"/>
                <w:szCs w:val="15"/>
                <w:color w:val="auto"/>
              </w:rPr>
              <w:t>36</w:t>
            </w:r>
          </w:p>
        </w:tc>
      </w:tr>
      <w:tr>
        <w:trPr>
          <w:trHeight w:val="216"/>
        </w:trPr>
        <w:tc>
          <w:tcPr>
            <w:tcW w:w="2900" w:type="dxa"/>
            <w:vAlign w:val="bottom"/>
            <w:gridSpan w:val="2"/>
          </w:tcPr>
          <w:p>
            <w:pPr>
              <w:ind w:left="20"/>
              <w:spacing w:after="0"/>
              <w:rPr>
                <w:sz w:val="20"/>
                <w:szCs w:val="20"/>
                <w:color w:val="auto"/>
              </w:rPr>
            </w:pPr>
            <w:r>
              <w:rPr>
                <w:rFonts w:ascii="Arial" w:cs="Arial" w:eastAsia="Arial" w:hAnsi="Arial"/>
                <w:sz w:val="15"/>
                <w:szCs w:val="15"/>
                <w:color w:val="auto"/>
              </w:rPr>
              <w:t>Interest expense</w:t>
            </w:r>
          </w:p>
        </w:tc>
        <w:tc>
          <w:tcPr>
            <w:tcW w:w="160" w:type="dxa"/>
            <w:vAlign w:val="bottom"/>
          </w:tcPr>
          <w:p>
            <w:pPr>
              <w:spacing w:after="0"/>
              <w:rPr>
                <w:sz w:val="18"/>
                <w:szCs w:val="18"/>
                <w:color w:val="auto"/>
              </w:rPr>
            </w:pPr>
          </w:p>
        </w:tc>
        <w:tc>
          <w:tcPr>
            <w:tcW w:w="1220" w:type="dxa"/>
            <w:vAlign w:val="bottom"/>
          </w:tcPr>
          <w:p>
            <w:pPr>
              <w:jc w:val="right"/>
              <w:ind w:right="84"/>
              <w:spacing w:after="0"/>
              <w:rPr>
                <w:sz w:val="20"/>
                <w:szCs w:val="20"/>
                <w:color w:val="auto"/>
              </w:rPr>
            </w:pPr>
            <w:r>
              <w:rPr>
                <w:rFonts w:ascii="Arial" w:cs="Arial" w:eastAsia="Arial" w:hAnsi="Arial"/>
                <w:sz w:val="15"/>
                <w:szCs w:val="15"/>
                <w:color w:val="auto"/>
              </w:rPr>
              <w:t>26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ind w:right="64"/>
              <w:spacing w:after="0"/>
              <w:rPr>
                <w:sz w:val="20"/>
                <w:szCs w:val="20"/>
                <w:color w:val="auto"/>
              </w:rPr>
            </w:pPr>
            <w:r>
              <w:rPr>
                <w:rFonts w:ascii="Arial" w:cs="Arial" w:eastAsia="Arial" w:hAnsi="Arial"/>
                <w:sz w:val="15"/>
                <w:szCs w:val="15"/>
                <w:color w:val="auto"/>
              </w:rPr>
              <w:t>26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right"/>
              <w:ind w:right="64"/>
              <w:spacing w:after="0"/>
              <w:rPr>
                <w:sz w:val="20"/>
                <w:szCs w:val="20"/>
                <w:color w:val="auto"/>
              </w:rPr>
            </w:pPr>
            <w:r>
              <w:rPr>
                <w:rFonts w:ascii="Arial" w:cs="Arial" w:eastAsia="Arial" w:hAnsi="Arial"/>
                <w:sz w:val="15"/>
                <w:szCs w:val="15"/>
                <w:color w:val="auto"/>
              </w:rPr>
              <w:t>51</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right"/>
              <w:ind w:right="64"/>
              <w:spacing w:after="0"/>
              <w:rPr>
                <w:sz w:val="20"/>
                <w:szCs w:val="20"/>
                <w:color w:val="auto"/>
              </w:rPr>
            </w:pPr>
            <w:r>
              <w:rPr>
                <w:rFonts w:ascii="Arial" w:cs="Arial" w:eastAsia="Arial" w:hAnsi="Arial"/>
                <w:sz w:val="15"/>
                <w:szCs w:val="15"/>
                <w:color w:val="auto"/>
              </w:rPr>
              <w:t>52</w:t>
            </w:r>
          </w:p>
        </w:tc>
      </w:tr>
      <w:tr>
        <w:trPr>
          <w:trHeight w:val="184"/>
        </w:trPr>
        <w:tc>
          <w:tcPr>
            <w:tcW w:w="2900" w:type="dxa"/>
            <w:vAlign w:val="bottom"/>
            <w:gridSpan w:val="2"/>
          </w:tcPr>
          <w:p>
            <w:pPr>
              <w:ind w:left="20"/>
              <w:spacing w:after="0"/>
              <w:rPr>
                <w:sz w:val="20"/>
                <w:szCs w:val="20"/>
                <w:color w:val="auto"/>
              </w:rPr>
            </w:pPr>
            <w:r>
              <w:rPr>
                <w:rFonts w:ascii="Arial" w:cs="Arial" w:eastAsia="Arial" w:hAnsi="Arial"/>
                <w:sz w:val="15"/>
                <w:szCs w:val="15"/>
                <w:color w:val="auto"/>
              </w:rPr>
              <w:t>General and administrative expense,</w:t>
            </w:r>
          </w:p>
        </w:tc>
        <w:tc>
          <w:tcPr>
            <w:tcW w:w="1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194"/>
        </w:trPr>
        <w:tc>
          <w:tcPr>
            <w:tcW w:w="2900" w:type="dxa"/>
            <w:vAlign w:val="bottom"/>
            <w:gridSpan w:val="2"/>
          </w:tcPr>
          <w:p>
            <w:pPr>
              <w:ind w:left="20"/>
              <w:spacing w:after="0"/>
              <w:rPr>
                <w:sz w:val="20"/>
                <w:szCs w:val="20"/>
                <w:color w:val="auto"/>
              </w:rPr>
            </w:pPr>
            <w:r>
              <w:rPr>
                <w:rFonts w:ascii="Arial" w:cs="Arial" w:eastAsia="Arial" w:hAnsi="Arial"/>
                <w:sz w:val="15"/>
                <w:szCs w:val="15"/>
                <w:color w:val="auto"/>
              </w:rPr>
              <w:t>Property operating and maintenance</w:t>
            </w:r>
          </w:p>
        </w:tc>
        <w:tc>
          <w:tcPr>
            <w:tcW w:w="160" w:type="dxa"/>
            <w:vAlign w:val="bottom"/>
          </w:tcPr>
          <w:p>
            <w:pPr>
              <w:spacing w:after="0"/>
              <w:rPr>
                <w:sz w:val="16"/>
                <w:szCs w:val="16"/>
                <w:color w:val="auto"/>
              </w:rPr>
            </w:pPr>
          </w:p>
        </w:tc>
        <w:tc>
          <w:tcPr>
            <w:tcW w:w="1220" w:type="dxa"/>
            <w:vAlign w:val="bottom"/>
          </w:tcPr>
          <w:p>
            <w:pPr>
              <w:jc w:val="right"/>
              <w:ind w:right="84"/>
              <w:spacing w:after="0"/>
              <w:rPr>
                <w:sz w:val="20"/>
                <w:szCs w:val="20"/>
                <w:color w:val="auto"/>
              </w:rPr>
            </w:pPr>
            <w:r>
              <w:rPr>
                <w:rFonts w:ascii="Arial" w:cs="Arial" w:eastAsia="Arial" w:hAnsi="Arial"/>
                <w:sz w:val="15"/>
                <w:szCs w:val="15"/>
                <w:color w:val="auto"/>
              </w:rPr>
              <w:t>977</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tcPr>
          <w:p>
            <w:pPr>
              <w:jc w:val="right"/>
              <w:ind w:right="64"/>
              <w:spacing w:after="0"/>
              <w:rPr>
                <w:sz w:val="20"/>
                <w:szCs w:val="20"/>
                <w:color w:val="auto"/>
              </w:rPr>
            </w:pPr>
            <w:r>
              <w:rPr>
                <w:rFonts w:ascii="Arial" w:cs="Arial" w:eastAsia="Arial" w:hAnsi="Arial"/>
                <w:sz w:val="15"/>
                <w:szCs w:val="15"/>
                <w:color w:val="auto"/>
              </w:rPr>
              <w:t>982</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tcPr>
          <w:p>
            <w:pPr>
              <w:jc w:val="right"/>
              <w:ind w:right="64"/>
              <w:spacing w:after="0"/>
              <w:rPr>
                <w:sz w:val="20"/>
                <w:szCs w:val="20"/>
                <w:color w:val="auto"/>
              </w:rPr>
            </w:pPr>
            <w:r>
              <w:rPr>
                <w:rFonts w:ascii="Arial" w:cs="Arial" w:eastAsia="Arial" w:hAnsi="Arial"/>
                <w:sz w:val="15"/>
                <w:szCs w:val="15"/>
                <w:color w:val="auto"/>
              </w:rPr>
              <w:t>1,952</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tcPr>
          <w:p>
            <w:pPr>
              <w:jc w:val="right"/>
              <w:ind w:right="64"/>
              <w:spacing w:after="0"/>
              <w:rPr>
                <w:sz w:val="20"/>
                <w:szCs w:val="20"/>
                <w:color w:val="auto"/>
              </w:rPr>
            </w:pPr>
            <w:r>
              <w:rPr>
                <w:rFonts w:ascii="Arial" w:cs="Arial" w:eastAsia="Arial" w:hAnsi="Arial"/>
                <w:sz w:val="15"/>
                <w:szCs w:val="15"/>
                <w:color w:val="auto"/>
              </w:rPr>
              <w:t>1,804</w:t>
            </w:r>
          </w:p>
        </w:tc>
      </w:tr>
      <w:tr>
        <w:trPr>
          <w:trHeight w:val="220"/>
        </w:trPr>
        <w:tc>
          <w:tcPr>
            <w:tcW w:w="2900" w:type="dxa"/>
            <w:vAlign w:val="bottom"/>
            <w:gridSpan w:val="2"/>
          </w:tcPr>
          <w:p>
            <w:pPr>
              <w:ind w:left="20"/>
              <w:spacing w:after="0"/>
              <w:rPr>
                <w:sz w:val="20"/>
                <w:szCs w:val="20"/>
                <w:color w:val="auto"/>
              </w:rPr>
            </w:pPr>
            <w:r>
              <w:rPr>
                <w:rFonts w:ascii="Arial" w:cs="Arial" w:eastAsia="Arial" w:hAnsi="Arial"/>
                <w:sz w:val="15"/>
                <w:szCs w:val="15"/>
                <w:color w:val="auto"/>
              </w:rPr>
              <w:t>Property operating and maintenance</w:t>
            </w:r>
          </w:p>
        </w:tc>
        <w:tc>
          <w:tcPr>
            <w:tcW w:w="1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color w:val="auto"/>
              </w:rPr>
              <w:t>420</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color w:val="auto"/>
              </w:rPr>
              <w:t>427</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color w:val="auto"/>
              </w:rPr>
              <w:t>789</w:t>
            </w:r>
          </w:p>
        </w:tc>
        <w:tc>
          <w:tcPr>
            <w:tcW w:w="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color w:val="auto"/>
              </w:rPr>
              <w:t>746</w:t>
            </w:r>
          </w:p>
        </w:tc>
      </w:tr>
      <w:tr>
        <w:trPr>
          <w:trHeight w:val="210"/>
        </w:trPr>
        <w:tc>
          <w:tcPr>
            <w:tcW w:w="2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color w:val="auto"/>
              </w:rPr>
              <w:t>1,405</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22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color w:val="auto"/>
              </w:rPr>
              <w:t>1,453</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w w:val="95"/>
              </w:rPr>
              <w:t>$</w:t>
            </w:r>
          </w:p>
        </w:tc>
        <w:tc>
          <w:tcPr>
            <w:tcW w:w="120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color w:val="auto"/>
              </w:rPr>
              <w:t>2,756</w:t>
            </w:r>
          </w:p>
        </w:tc>
        <w:tc>
          <w:tcPr>
            <w:tcW w:w="80" w:type="dxa"/>
            <w:vAlign w:val="bottom"/>
          </w:tcPr>
          <w:p>
            <w:pPr>
              <w:spacing w:after="0"/>
              <w:rPr>
                <w:sz w:val="18"/>
                <w:szCs w:val="18"/>
                <w:color w:val="auto"/>
              </w:rPr>
            </w:pPr>
          </w:p>
        </w:tc>
        <w:tc>
          <w:tcPr>
            <w:tcW w:w="18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w w:val="95"/>
              </w:rPr>
              <w:t>$</w:t>
            </w:r>
          </w:p>
        </w:tc>
        <w:tc>
          <w:tcPr>
            <w:tcW w:w="120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color w:val="auto"/>
              </w:rPr>
              <w:t>2,638</w:t>
            </w:r>
          </w:p>
        </w:tc>
      </w:tr>
      <w:tr>
        <w:trPr>
          <w:trHeight w:val="25"/>
        </w:trPr>
        <w:tc>
          <w:tcPr>
            <w:tcW w:w="2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-1607185</wp:posOffset>
            </wp:positionH>
            <wp:positionV relativeFrom="paragraph">
              <wp:posOffset>-693420</wp:posOffset>
            </wp:positionV>
            <wp:extent cx="7132320" cy="13716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-1607185</wp:posOffset>
            </wp:positionH>
            <wp:positionV relativeFrom="paragraph">
              <wp:posOffset>-316230</wp:posOffset>
            </wp:positionV>
            <wp:extent cx="7132320" cy="13716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-1607185</wp:posOffset>
            </wp:positionH>
            <wp:positionV relativeFrom="paragraph">
              <wp:posOffset>-976630</wp:posOffset>
            </wp:positionV>
            <wp:extent cx="7132320" cy="1460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860" w:space="680"/>
            <w:col w:w="8700"/>
          </w:cols>
          <w:pgMar w:left="320" w:top="126"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type w:val="continuous"/>
        </w:sectPr>
      </w:pPr>
    </w:p>
    <w:bookmarkStart w:id="31" w:name="page32"/>
    <w:bookmarkEnd w:id="31"/>
    <w:p>
      <w:pPr>
        <w:jc w:val="center"/>
        <w:spacing w:after="0"/>
        <w:rPr>
          <w:sz w:val="20"/>
          <w:szCs w:val="20"/>
          <w:color w:val="auto"/>
        </w:rPr>
      </w:pPr>
      <w:r>
        <w:rPr>
          <w:rFonts w:ascii="Arial" w:cs="Arial" w:eastAsia="Arial" w:hAnsi="Arial"/>
          <w:sz w:val="16"/>
          <w:szCs w:val="16"/>
          <w:b w:val="1"/>
          <w:bCs w:val="1"/>
          <w:color w:val="auto"/>
        </w:rPr>
        <w:t>SUN COMMUNITIES, INC.</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 -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color w:val="auto"/>
        </w:rPr>
        <w:t>Lease term, discount rates and additional information for finance and operating leases are as follows:</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9540" w:type="dxa"/>
            <w:vAlign w:val="bottom"/>
          </w:tcPr>
          <w:p>
            <w:pPr>
              <w:ind w:left="20"/>
              <w:spacing w:after="0"/>
              <w:rPr>
                <w:sz w:val="20"/>
                <w:szCs w:val="20"/>
                <w:color w:val="auto"/>
              </w:rPr>
            </w:pPr>
            <w:r>
              <w:rPr>
                <w:rFonts w:ascii="Arial" w:cs="Arial" w:eastAsia="Arial" w:hAnsi="Arial"/>
                <w:sz w:val="15"/>
                <w:szCs w:val="15"/>
                <w:b w:val="1"/>
                <w:bCs w:val="1"/>
                <w:color w:val="auto"/>
              </w:rPr>
              <w:t>Lease Term and Discount Rate</w:t>
            </w:r>
          </w:p>
        </w:tc>
        <w:tc>
          <w:tcPr>
            <w:tcW w:w="150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463"/>
        </w:trPr>
        <w:tc>
          <w:tcPr>
            <w:tcW w:w="9540" w:type="dxa"/>
            <w:vAlign w:val="bottom"/>
            <w:tcBorders>
              <w:bottom w:val="single" w:sz="8" w:color="CCEEFF"/>
            </w:tcBorders>
          </w:tcPr>
          <w:p>
            <w:pPr>
              <w:spacing w:after="0"/>
              <w:rPr>
                <w:sz w:val="24"/>
                <w:szCs w:val="24"/>
                <w:color w:val="auto"/>
              </w:rPr>
            </w:pPr>
          </w:p>
        </w:tc>
        <w:tc>
          <w:tcPr>
            <w:tcW w:w="1500" w:type="dxa"/>
            <w:vAlign w:val="bottom"/>
            <w:tcBorders>
              <w:bottom w:val="single" w:sz="8" w:color="auto"/>
            </w:tcBorders>
          </w:tcPr>
          <w:p>
            <w:pPr>
              <w:jc w:val="right"/>
              <w:ind w:right="144"/>
              <w:spacing w:after="0"/>
              <w:rPr>
                <w:sz w:val="20"/>
                <w:szCs w:val="20"/>
                <w:color w:val="auto"/>
              </w:rPr>
            </w:pPr>
            <w:r>
              <w:rPr>
                <w:rFonts w:ascii="Arial" w:cs="Arial" w:eastAsia="Arial" w:hAnsi="Arial"/>
                <w:sz w:val="15"/>
                <w:szCs w:val="15"/>
                <w:b w:val="1"/>
                <w:bCs w:val="1"/>
                <w:color w:val="auto"/>
              </w:rPr>
              <w:t>June 30, 2020</w:t>
            </w:r>
          </w:p>
        </w:tc>
        <w:tc>
          <w:tcPr>
            <w:tcW w:w="180" w:type="dxa"/>
            <w:vAlign w:val="bottom"/>
            <w:tcBorders>
              <w:bottom w:val="single" w:sz="8" w:color="auto"/>
            </w:tcBorders>
          </w:tcPr>
          <w:p>
            <w:pPr>
              <w:spacing w:after="0"/>
              <w:rPr>
                <w:sz w:val="24"/>
                <w:szCs w:val="24"/>
                <w:color w:val="auto"/>
              </w:rPr>
            </w:pPr>
          </w:p>
        </w:tc>
      </w:tr>
      <w:tr>
        <w:trPr>
          <w:trHeight w:val="200"/>
        </w:trPr>
        <w:tc>
          <w:tcPr>
            <w:tcW w:w="9540" w:type="dxa"/>
            <w:vAlign w:val="bottom"/>
            <w:shd w:val="clear" w:color="auto" w:fill="CCEEFF"/>
          </w:tcPr>
          <w:p>
            <w:pPr>
              <w:ind w:left="20"/>
              <w:spacing w:after="0"/>
              <w:rPr>
                <w:sz w:val="20"/>
                <w:szCs w:val="20"/>
                <w:color w:val="auto"/>
              </w:rPr>
            </w:pPr>
            <w:r>
              <w:rPr>
                <w:rFonts w:ascii="Arial" w:cs="Arial" w:eastAsia="Arial" w:hAnsi="Arial"/>
                <w:sz w:val="15"/>
                <w:szCs w:val="15"/>
                <w:color w:val="auto"/>
              </w:rPr>
              <w:t>Weighted-average remaining lease terms (years)</w:t>
            </w:r>
          </w:p>
        </w:tc>
        <w:tc>
          <w:tcPr>
            <w:tcW w:w="1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r>
      <w:tr>
        <w:trPr>
          <w:trHeight w:val="212"/>
        </w:trPr>
        <w:tc>
          <w:tcPr>
            <w:tcW w:w="9540" w:type="dxa"/>
            <w:vAlign w:val="bottom"/>
          </w:tcPr>
          <w:p>
            <w:pPr>
              <w:ind w:left="120"/>
              <w:spacing w:after="0"/>
              <w:rPr>
                <w:sz w:val="20"/>
                <w:szCs w:val="20"/>
                <w:color w:val="auto"/>
              </w:rPr>
            </w:pPr>
            <w:r>
              <w:rPr>
                <w:rFonts w:ascii="Arial" w:cs="Arial" w:eastAsia="Arial" w:hAnsi="Arial"/>
                <w:sz w:val="15"/>
                <w:szCs w:val="15"/>
                <w:color w:val="auto"/>
              </w:rPr>
              <w:t>Finance lease</w:t>
            </w:r>
          </w:p>
        </w:tc>
        <w:tc>
          <w:tcPr>
            <w:tcW w:w="1680" w:type="dxa"/>
            <w:vAlign w:val="bottom"/>
            <w:gridSpan w:val="2"/>
          </w:tcPr>
          <w:p>
            <w:pPr>
              <w:jc w:val="right"/>
              <w:spacing w:after="0"/>
              <w:rPr>
                <w:sz w:val="20"/>
                <w:szCs w:val="20"/>
                <w:color w:val="auto"/>
              </w:rPr>
            </w:pPr>
            <w:r>
              <w:rPr>
                <w:rFonts w:ascii="Arial" w:cs="Arial" w:eastAsia="Arial" w:hAnsi="Arial"/>
                <w:sz w:val="15"/>
                <w:szCs w:val="15"/>
                <w:color w:val="auto"/>
              </w:rPr>
              <w:t>4.00</w:t>
            </w:r>
          </w:p>
        </w:tc>
      </w:tr>
      <w:tr>
        <w:trPr>
          <w:trHeight w:val="220"/>
        </w:trPr>
        <w:tc>
          <w:tcPr>
            <w:tcW w:w="9540" w:type="dxa"/>
            <w:vAlign w:val="bottom"/>
            <w:shd w:val="clear" w:color="auto" w:fill="CCEEFF"/>
          </w:tcPr>
          <w:p>
            <w:pPr>
              <w:ind w:left="120"/>
              <w:spacing w:after="0"/>
              <w:rPr>
                <w:sz w:val="20"/>
                <w:szCs w:val="20"/>
                <w:color w:val="auto"/>
              </w:rPr>
            </w:pPr>
            <w:r>
              <w:rPr>
                <w:rFonts w:ascii="Arial" w:cs="Arial" w:eastAsia="Arial" w:hAnsi="Arial"/>
                <w:sz w:val="15"/>
                <w:szCs w:val="15"/>
                <w:color w:val="auto"/>
              </w:rPr>
              <w:t>Operating lease</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25.71</w:t>
            </w:r>
          </w:p>
        </w:tc>
      </w:tr>
      <w:tr>
        <w:trPr>
          <w:trHeight w:val="212"/>
        </w:trPr>
        <w:tc>
          <w:tcPr>
            <w:tcW w:w="9540" w:type="dxa"/>
            <w:vAlign w:val="bottom"/>
          </w:tcPr>
          <w:p>
            <w:pPr>
              <w:ind w:left="20"/>
              <w:spacing w:after="0"/>
              <w:rPr>
                <w:sz w:val="20"/>
                <w:szCs w:val="20"/>
                <w:color w:val="auto"/>
              </w:rPr>
            </w:pPr>
            <w:r>
              <w:rPr>
                <w:rFonts w:ascii="Arial" w:cs="Arial" w:eastAsia="Arial" w:hAnsi="Arial"/>
                <w:sz w:val="15"/>
                <w:szCs w:val="15"/>
                <w:color w:val="auto"/>
              </w:rPr>
              <w:t>Weighted-average discount rate</w:t>
            </w:r>
          </w:p>
        </w:tc>
        <w:tc>
          <w:tcPr>
            <w:tcW w:w="150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20"/>
        </w:trPr>
        <w:tc>
          <w:tcPr>
            <w:tcW w:w="9540" w:type="dxa"/>
            <w:vAlign w:val="bottom"/>
            <w:shd w:val="clear" w:color="auto" w:fill="CCEEFF"/>
          </w:tcPr>
          <w:p>
            <w:pPr>
              <w:ind w:left="120"/>
              <w:spacing w:after="0"/>
              <w:rPr>
                <w:sz w:val="20"/>
                <w:szCs w:val="20"/>
                <w:color w:val="auto"/>
              </w:rPr>
            </w:pPr>
            <w:r>
              <w:rPr>
                <w:rFonts w:ascii="Arial" w:cs="Arial" w:eastAsia="Arial" w:hAnsi="Arial"/>
                <w:sz w:val="15"/>
                <w:szCs w:val="15"/>
                <w:color w:val="auto"/>
              </w:rPr>
              <w:t>Finance lease</w:t>
            </w:r>
          </w:p>
        </w:tc>
        <w:tc>
          <w:tcPr>
            <w:tcW w:w="1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2.50</w:t>
            </w:r>
          </w:p>
        </w:tc>
        <w:tc>
          <w:tcPr>
            <w:tcW w:w="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r>
      <w:tr>
        <w:trPr>
          <w:trHeight w:val="208"/>
        </w:trPr>
        <w:tc>
          <w:tcPr>
            <w:tcW w:w="9540" w:type="dxa"/>
            <w:vAlign w:val="bottom"/>
          </w:tcPr>
          <w:p>
            <w:pPr>
              <w:ind w:left="120"/>
              <w:spacing w:after="0"/>
              <w:rPr>
                <w:sz w:val="20"/>
                <w:szCs w:val="20"/>
                <w:color w:val="auto"/>
              </w:rPr>
            </w:pPr>
            <w:r>
              <w:rPr>
                <w:rFonts w:ascii="Arial" w:cs="Arial" w:eastAsia="Arial" w:hAnsi="Arial"/>
                <w:sz w:val="15"/>
                <w:szCs w:val="15"/>
                <w:color w:val="auto"/>
              </w:rPr>
              <w:t>Operating lease</w:t>
            </w:r>
          </w:p>
        </w:tc>
        <w:tc>
          <w:tcPr>
            <w:tcW w:w="1500" w:type="dxa"/>
            <w:vAlign w:val="bottom"/>
          </w:tcPr>
          <w:p>
            <w:pPr>
              <w:jc w:val="right"/>
              <w:spacing w:after="0"/>
              <w:rPr>
                <w:sz w:val="20"/>
                <w:szCs w:val="20"/>
                <w:color w:val="auto"/>
              </w:rPr>
            </w:pPr>
            <w:r>
              <w:rPr>
                <w:rFonts w:ascii="Arial" w:cs="Arial" w:eastAsia="Arial" w:hAnsi="Arial"/>
                <w:sz w:val="15"/>
                <w:szCs w:val="15"/>
                <w:color w:val="auto"/>
              </w:rPr>
              <w:t>4.14</w:t>
            </w:r>
          </w:p>
        </w:tc>
        <w:tc>
          <w:tcPr>
            <w:tcW w:w="180" w:type="dxa"/>
            <w:vAlign w:val="bottom"/>
          </w:tcPr>
          <w:p>
            <w:pPr>
              <w:jc w:val="right"/>
              <w:spacing w:after="0"/>
              <w:rPr>
                <w:sz w:val="20"/>
                <w:szCs w:val="20"/>
                <w:color w:val="auto"/>
              </w:rPr>
            </w:pPr>
            <w:r>
              <w:rPr>
                <w:rFonts w:ascii="Arial" w:cs="Arial" w:eastAsia="Arial" w:hAnsi="Arial"/>
                <w:sz w:val="15"/>
                <w:szCs w:val="15"/>
                <w:color w:val="auto"/>
              </w:rPr>
              <w:t>%</w:t>
            </w:r>
          </w:p>
        </w:tc>
      </w:tr>
    </w:tbl>
    <w:p>
      <w:pPr>
        <w:spacing w:after="0" w:line="153" w:lineRule="exact"/>
        <w:rPr>
          <w:sz w:val="20"/>
          <w:szCs w:val="20"/>
          <w:color w:val="auto"/>
        </w:rPr>
      </w:pPr>
    </w:p>
    <w:tbl>
      <w:tblPr>
        <w:tblLayout w:type="fixed"/>
        <w:tblInd w:w="20" w:type="dxa"/>
        <w:tblCellMar>
          <w:top w:w="0" w:type="dxa"/>
          <w:left w:w="0" w:type="dxa"/>
          <w:bottom w:w="0" w:type="dxa"/>
          <w:right w:w="0" w:type="dxa"/>
        </w:tblCellMar>
      </w:tblPr>
      <w:tr>
        <w:trPr>
          <w:trHeight w:val="202"/>
        </w:trPr>
        <w:tc>
          <w:tcPr>
            <w:tcW w:w="7760" w:type="dxa"/>
            <w:vAlign w:val="bottom"/>
          </w:tcPr>
          <w:p>
            <w:pPr>
              <w:ind w:left="20"/>
              <w:spacing w:after="0"/>
              <w:rPr>
                <w:sz w:val="20"/>
                <w:szCs w:val="20"/>
                <w:color w:val="auto"/>
              </w:rPr>
            </w:pPr>
            <w:r>
              <w:rPr>
                <w:rFonts w:ascii="Arial" w:cs="Arial" w:eastAsia="Arial" w:hAnsi="Arial"/>
                <w:sz w:val="15"/>
                <w:szCs w:val="15"/>
                <w:b w:val="1"/>
                <w:bCs w:val="1"/>
                <w:color w:val="auto"/>
              </w:rPr>
              <w:t xml:space="preserve">Other Information </w:t>
            </w:r>
            <w:r>
              <w:rPr>
                <w:rFonts w:ascii="Arial" w:cs="Arial" w:eastAsia="Arial" w:hAnsi="Arial"/>
                <w:sz w:val="15"/>
                <w:szCs w:val="15"/>
                <w:color w:val="auto"/>
              </w:rPr>
              <w:t>(in thousands)</w:t>
            </w:r>
          </w:p>
        </w:tc>
        <w:tc>
          <w:tcPr>
            <w:tcW w:w="260" w:type="dxa"/>
            <w:vAlign w:val="bottom"/>
            <w:tcBorders>
              <w:bottom w:val="single" w:sz="8" w:color="auto"/>
            </w:tcBorders>
          </w:tcPr>
          <w:p>
            <w:pPr>
              <w:spacing w:after="0"/>
              <w:rPr>
                <w:sz w:val="17"/>
                <w:szCs w:val="17"/>
                <w:color w:val="auto"/>
              </w:rPr>
            </w:pPr>
          </w:p>
        </w:tc>
        <w:tc>
          <w:tcPr>
            <w:tcW w:w="3180" w:type="dxa"/>
            <w:vAlign w:val="bottom"/>
            <w:tcBorders>
              <w:bottom w:val="single" w:sz="8" w:color="auto"/>
            </w:tcBorders>
            <w:gridSpan w:val="4"/>
          </w:tcPr>
          <w:p>
            <w:pPr>
              <w:jc w:val="right"/>
              <w:ind w:right="1044"/>
              <w:spacing w:after="0"/>
              <w:rPr>
                <w:sz w:val="20"/>
                <w:szCs w:val="20"/>
                <w:color w:val="auto"/>
              </w:rPr>
            </w:pPr>
            <w:r>
              <w:rPr>
                <w:rFonts w:ascii="Arial" w:cs="Arial" w:eastAsia="Arial" w:hAnsi="Arial"/>
                <w:sz w:val="15"/>
                <w:szCs w:val="15"/>
                <w:b w:val="1"/>
                <w:bCs w:val="1"/>
                <w:color w:val="auto"/>
              </w:rPr>
              <w:t>Six Months Ended</w:t>
            </w:r>
          </w:p>
        </w:tc>
      </w:tr>
      <w:tr>
        <w:trPr>
          <w:trHeight w:val="210"/>
        </w:trPr>
        <w:tc>
          <w:tcPr>
            <w:tcW w:w="7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60" w:type="dxa"/>
            <w:vAlign w:val="bottom"/>
            <w:gridSpan w:val="2"/>
          </w:tcPr>
          <w:p>
            <w:pPr>
              <w:ind w:left="160"/>
              <w:spacing w:after="0"/>
              <w:rPr>
                <w:sz w:val="20"/>
                <w:szCs w:val="20"/>
                <w:color w:val="auto"/>
              </w:rPr>
            </w:pPr>
            <w:r>
              <w:rPr>
                <w:rFonts w:ascii="Arial" w:cs="Arial" w:eastAsia="Arial" w:hAnsi="Arial"/>
                <w:sz w:val="15"/>
                <w:szCs w:val="15"/>
                <w:b w:val="1"/>
                <w:bCs w:val="1"/>
                <w:color w:val="auto"/>
              </w:rPr>
              <w:t>June 30, 2020</w:t>
            </w:r>
          </w:p>
        </w:tc>
        <w:tc>
          <w:tcPr>
            <w:tcW w:w="240" w:type="dxa"/>
            <w:vAlign w:val="bottom"/>
          </w:tcPr>
          <w:p>
            <w:pPr>
              <w:spacing w:after="0"/>
              <w:rPr>
                <w:sz w:val="18"/>
                <w:szCs w:val="18"/>
                <w:color w:val="auto"/>
              </w:rPr>
            </w:pPr>
          </w:p>
        </w:tc>
        <w:tc>
          <w:tcPr>
            <w:tcW w:w="1380" w:type="dxa"/>
            <w:vAlign w:val="bottom"/>
          </w:tcPr>
          <w:p>
            <w:pPr>
              <w:jc w:val="right"/>
              <w:ind w:right="284"/>
              <w:spacing w:after="0"/>
              <w:rPr>
                <w:sz w:val="20"/>
                <w:szCs w:val="20"/>
                <w:color w:val="auto"/>
              </w:rPr>
            </w:pPr>
            <w:r>
              <w:rPr>
                <w:rFonts w:ascii="Arial" w:cs="Arial" w:eastAsia="Arial" w:hAnsi="Arial"/>
                <w:sz w:val="15"/>
                <w:szCs w:val="15"/>
                <w:b w:val="1"/>
                <w:bCs w:val="1"/>
                <w:color w:val="auto"/>
              </w:rPr>
              <w:t>June 30, 2019</w:t>
            </w:r>
          </w:p>
        </w:tc>
      </w:tr>
      <w:tr>
        <w:trPr>
          <w:trHeight w:val="200"/>
        </w:trPr>
        <w:tc>
          <w:tcPr>
            <w:tcW w:w="77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Cash paid for amounts included in the measurement of lease liabilities</w:t>
            </w:r>
          </w:p>
        </w:tc>
        <w:tc>
          <w:tcPr>
            <w:tcW w:w="260" w:type="dxa"/>
            <w:vAlign w:val="bottom"/>
            <w:tcBorders>
              <w:top w:val="single" w:sz="8" w:color="auto"/>
            </w:tcBorders>
            <w:shd w:val="clear" w:color="auto" w:fill="CCEEFF"/>
          </w:tcPr>
          <w:p>
            <w:pPr>
              <w:spacing w:after="0"/>
              <w:rPr>
                <w:sz w:val="17"/>
                <w:szCs w:val="17"/>
                <w:color w:val="auto"/>
              </w:rPr>
            </w:pPr>
          </w:p>
        </w:tc>
        <w:tc>
          <w:tcPr>
            <w:tcW w:w="14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380" w:type="dxa"/>
            <w:vAlign w:val="bottom"/>
            <w:tcBorders>
              <w:top w:val="single" w:sz="8" w:color="auto"/>
            </w:tcBorders>
            <w:shd w:val="clear" w:color="auto" w:fill="CCEEFF"/>
          </w:tcPr>
          <w:p>
            <w:pPr>
              <w:spacing w:after="0"/>
              <w:rPr>
                <w:sz w:val="17"/>
                <w:szCs w:val="17"/>
                <w:color w:val="auto"/>
              </w:rPr>
            </w:pPr>
          </w:p>
        </w:tc>
      </w:tr>
      <w:tr>
        <w:trPr>
          <w:trHeight w:val="212"/>
        </w:trPr>
        <w:tc>
          <w:tcPr>
            <w:tcW w:w="7760" w:type="dxa"/>
            <w:vAlign w:val="bottom"/>
          </w:tcPr>
          <w:p>
            <w:pPr>
              <w:ind w:left="120"/>
              <w:spacing w:after="0"/>
              <w:rPr>
                <w:sz w:val="20"/>
                <w:szCs w:val="20"/>
                <w:color w:val="auto"/>
              </w:rPr>
            </w:pPr>
            <w:r>
              <w:rPr>
                <w:rFonts w:ascii="Arial" w:cs="Arial" w:eastAsia="Arial" w:hAnsi="Arial"/>
                <w:sz w:val="15"/>
                <w:szCs w:val="15"/>
                <w:color w:val="auto"/>
              </w:rPr>
              <w:t>Operating Cash Flow from Operating leases</w:t>
            </w:r>
          </w:p>
        </w:tc>
        <w:tc>
          <w:tcPr>
            <w:tcW w:w="260" w:type="dxa"/>
            <w:vAlign w:val="bottom"/>
          </w:tcPr>
          <w:p>
            <w:pPr>
              <w:jc w:val="right"/>
              <w:ind w:right="84"/>
              <w:spacing w:after="0"/>
              <w:rPr>
                <w:sz w:val="20"/>
                <w:szCs w:val="20"/>
                <w:color w:val="auto"/>
              </w:rPr>
            </w:pPr>
            <w:r>
              <w:rPr>
                <w:rFonts w:ascii="Arial" w:cs="Arial" w:eastAsia="Arial" w:hAnsi="Arial"/>
                <w:sz w:val="15"/>
                <w:szCs w:val="15"/>
                <w:color w:val="auto"/>
                <w:w w:val="95"/>
              </w:rPr>
              <w:t>$</w:t>
            </w:r>
          </w:p>
        </w:tc>
        <w:tc>
          <w:tcPr>
            <w:tcW w:w="1460" w:type="dxa"/>
            <w:vAlign w:val="bottom"/>
          </w:tcPr>
          <w:p>
            <w:pPr>
              <w:jc w:val="right"/>
              <w:ind w:right="64"/>
              <w:spacing w:after="0"/>
              <w:rPr>
                <w:sz w:val="20"/>
                <w:szCs w:val="20"/>
                <w:color w:val="auto"/>
              </w:rPr>
            </w:pPr>
            <w:r>
              <w:rPr>
                <w:rFonts w:ascii="Arial" w:cs="Arial" w:eastAsia="Arial" w:hAnsi="Arial"/>
                <w:sz w:val="15"/>
                <w:szCs w:val="15"/>
                <w:color w:val="auto"/>
              </w:rPr>
              <w:t>1,147</w:t>
            </w:r>
          </w:p>
        </w:tc>
        <w:tc>
          <w:tcPr>
            <w:tcW w:w="100" w:type="dxa"/>
            <w:vAlign w:val="bottom"/>
          </w:tcPr>
          <w:p>
            <w:pPr>
              <w:spacing w:after="0"/>
              <w:rPr>
                <w:sz w:val="18"/>
                <w:szCs w:val="18"/>
                <w:color w:val="auto"/>
              </w:rPr>
            </w:pPr>
          </w:p>
        </w:tc>
        <w:tc>
          <w:tcPr>
            <w:tcW w:w="240" w:type="dxa"/>
            <w:vAlign w:val="bottom"/>
          </w:tcPr>
          <w:p>
            <w:pPr>
              <w:jc w:val="right"/>
              <w:ind w:right="64"/>
              <w:spacing w:after="0"/>
              <w:rPr>
                <w:sz w:val="20"/>
                <w:szCs w:val="20"/>
                <w:color w:val="auto"/>
              </w:rPr>
            </w:pPr>
            <w:r>
              <w:rPr>
                <w:rFonts w:ascii="Arial" w:cs="Arial" w:eastAsia="Arial" w:hAnsi="Arial"/>
                <w:sz w:val="15"/>
                <w:szCs w:val="15"/>
                <w:color w:val="auto"/>
                <w:w w:val="95"/>
              </w:rPr>
              <w:t>$</w:t>
            </w:r>
          </w:p>
        </w:tc>
        <w:tc>
          <w:tcPr>
            <w:tcW w:w="1380" w:type="dxa"/>
            <w:vAlign w:val="bottom"/>
          </w:tcPr>
          <w:p>
            <w:pPr>
              <w:jc w:val="right"/>
              <w:ind w:right="64"/>
              <w:spacing w:after="0"/>
              <w:rPr>
                <w:sz w:val="20"/>
                <w:szCs w:val="20"/>
                <w:color w:val="auto"/>
              </w:rPr>
            </w:pPr>
            <w:r>
              <w:rPr>
                <w:rFonts w:ascii="Arial" w:cs="Arial" w:eastAsia="Arial" w:hAnsi="Arial"/>
                <w:sz w:val="15"/>
                <w:szCs w:val="15"/>
                <w:color w:val="auto"/>
              </w:rPr>
              <w:t>1,130</w:t>
            </w:r>
          </w:p>
        </w:tc>
      </w:tr>
      <w:tr>
        <w:trPr>
          <w:trHeight w:val="216"/>
        </w:trPr>
        <w:tc>
          <w:tcPr>
            <w:tcW w:w="7760" w:type="dxa"/>
            <w:vAlign w:val="bottom"/>
            <w:shd w:val="clear" w:color="auto" w:fill="CCEEFF"/>
          </w:tcPr>
          <w:p>
            <w:pPr>
              <w:ind w:left="120"/>
              <w:spacing w:after="0"/>
              <w:rPr>
                <w:sz w:val="20"/>
                <w:szCs w:val="20"/>
                <w:color w:val="auto"/>
              </w:rPr>
            </w:pPr>
            <w:r>
              <w:rPr>
                <w:rFonts w:ascii="Arial" w:cs="Arial" w:eastAsia="Arial" w:hAnsi="Arial"/>
                <w:sz w:val="15"/>
                <w:szCs w:val="15"/>
                <w:color w:val="auto"/>
              </w:rPr>
              <w:t>Financing Cash Flow from Finance leases</w:t>
            </w:r>
          </w:p>
        </w:tc>
        <w:tc>
          <w:tcPr>
            <w:tcW w:w="26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ind w:right="64"/>
              <w:spacing w:after="0"/>
              <w:rPr>
                <w:sz w:val="20"/>
                <w:szCs w:val="20"/>
                <w:color w:val="auto"/>
              </w:rPr>
            </w:pPr>
            <w:r>
              <w:rPr>
                <w:rFonts w:ascii="Arial" w:cs="Arial" w:eastAsia="Arial" w:hAnsi="Arial"/>
                <w:sz w:val="15"/>
                <w:szCs w:val="15"/>
                <w:color w:val="auto"/>
              </w:rPr>
              <w:t>15</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ind w:right="64"/>
              <w:spacing w:after="0"/>
              <w:rPr>
                <w:sz w:val="20"/>
                <w:szCs w:val="20"/>
                <w:color w:val="auto"/>
              </w:rPr>
            </w:pPr>
            <w:r>
              <w:rPr>
                <w:rFonts w:ascii="Arial" w:cs="Arial" w:eastAsia="Arial" w:hAnsi="Arial"/>
                <w:sz w:val="15"/>
                <w:szCs w:val="15"/>
                <w:color w:val="auto"/>
              </w:rPr>
              <w:t>15</w:t>
            </w:r>
          </w:p>
        </w:tc>
      </w:tr>
      <w:tr>
        <w:trPr>
          <w:trHeight w:val="214"/>
        </w:trPr>
        <w:tc>
          <w:tcPr>
            <w:tcW w:w="7760" w:type="dxa"/>
            <w:vAlign w:val="bottom"/>
          </w:tcPr>
          <w:p>
            <w:pPr>
              <w:ind w:left="120"/>
              <w:spacing w:after="0"/>
              <w:rPr>
                <w:sz w:val="20"/>
                <w:szCs w:val="20"/>
                <w:color w:val="auto"/>
              </w:rPr>
            </w:pPr>
            <w:r>
              <w:rPr>
                <w:rFonts w:ascii="Arial" w:cs="Arial" w:eastAsia="Arial" w:hAnsi="Arial"/>
                <w:sz w:val="14"/>
                <w:szCs w:val="14"/>
                <w:b w:val="1"/>
                <w:bCs w:val="1"/>
                <w:color w:val="auto"/>
              </w:rPr>
              <w:t>Total Cash Paid on Lease Liabilities</w:t>
            </w:r>
          </w:p>
        </w:tc>
        <w:tc>
          <w:tcPr>
            <w:tcW w:w="26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color w:val="auto"/>
                <w:w w:val="95"/>
              </w:rPr>
              <w:t>$</w:t>
            </w:r>
          </w:p>
        </w:tc>
        <w:tc>
          <w:tcPr>
            <w:tcW w:w="146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color w:val="auto"/>
              </w:rPr>
              <w:t>1,162</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color w:val="auto"/>
                <w:w w:val="95"/>
              </w:rPr>
              <w:t>$</w:t>
            </w:r>
          </w:p>
        </w:tc>
        <w:tc>
          <w:tcPr>
            <w:tcW w:w="138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color w:val="auto"/>
              </w:rPr>
              <w:t>1,145</w:t>
            </w:r>
          </w:p>
        </w:tc>
      </w:tr>
      <w:tr>
        <w:trPr>
          <w:trHeight w:val="20"/>
        </w:trPr>
        <w:tc>
          <w:tcPr>
            <w:tcW w:w="77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i w:val="1"/>
          <w:iCs w:val="1"/>
          <w:color w:val="auto"/>
        </w:rPr>
        <w:t xml:space="preserve">Related Party Leases: Lease of Executive Offices. </w:t>
      </w:r>
      <w:r>
        <w:rPr>
          <w:rFonts w:ascii="Arial" w:cs="Arial" w:eastAsia="Arial" w:hAnsi="Arial"/>
          <w:sz w:val="17"/>
          <w:szCs w:val="17"/>
          <w:color w:val="auto"/>
        </w:rPr>
        <w:t>Gary A. Shiffman, together with certain of his family members, indirectly owns an equity interest of</w:t>
      </w:r>
      <w:r>
        <w:rPr>
          <w:rFonts w:ascii="Arial" w:cs="Arial" w:eastAsia="Arial" w:hAnsi="Arial"/>
          <w:sz w:val="17"/>
          <w:szCs w:val="17"/>
          <w:i w:val="1"/>
          <w:iCs w:val="1"/>
          <w:color w:val="auto"/>
        </w:rPr>
        <w:t xml:space="preserve"> </w:t>
      </w:r>
      <w:r>
        <w:rPr>
          <w:rFonts w:ascii="Arial" w:cs="Arial" w:eastAsia="Arial" w:hAnsi="Arial"/>
          <w:sz w:val="17"/>
          <w:szCs w:val="17"/>
          <w:color w:val="auto"/>
        </w:rPr>
        <w:t>approximately 28.1 percent in American Center LLC, the entity from which we lease office space for our principal executive offices. Each of Brian M. Hermelin, Ronald A. Klein and Arthur A. Weiss indirectly owns a less than one percent interest in American Center LLC. Mr. Shiffman is our Chief Executive Officer and Chairman of the Board. Each of Mr. Hermelin, Mr. Klein and Mr. Weiss is a director of the Company. Under this agreement, we lease approximately 103,100 rentable square feet of permanent space. The initial term of the lease is until October 31, 2026, and the current average gross base rent is $18.95 per square foot until October 31, 2020 with graduated rental increases thereafter. We entered into an additional office space operating lease which commenced in January 2020. Under this agreement, we lease approximately 20,087 rentable square feet of permanent space. The initial term of the lease is until October 31, 2026 and the average gross base rent is $18.95 per square foot until October 31, 2020 with graduated rent increases thereafter. Each of Mr. Shiffman, Mr. Hermelin, Mr. Klein and Mr. Weiss may have a conflict of interest with respect to his obligations as our officer and/or director and his ownership interest in American Center LLC.</w:t>
      </w:r>
    </w:p>
    <w:p>
      <w:pPr>
        <w:spacing w:after="0" w:line="3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Lessor Accounting</w:t>
      </w:r>
    </w:p>
    <w:p>
      <w:pPr>
        <w:spacing w:after="0" w:line="15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not the lessor for any finance leases as of June 30, 2020. Over 95 percent of our operating leases where we are the lessor are either month to month or for a time period not to exceed one year. As of the reporting date, future minimum lease payments would not exceed twelve months. Similarly, over 95 percent of our investment property, net on the Consolidated Balance Sheets, and related depreciation amounts relate to assets whereby we are the lessor under an operating lease.</w:t>
      </w:r>
    </w:p>
    <w:p>
      <w:pPr>
        <w:spacing w:after="0" w:line="210" w:lineRule="exact"/>
        <w:rPr>
          <w:sz w:val="20"/>
          <w:szCs w:val="20"/>
          <w:color w:val="auto"/>
        </w:rPr>
      </w:pPr>
    </w:p>
    <w:p>
      <w:pPr>
        <w:ind w:left="460" w:hanging="452"/>
        <w:spacing w:after="0"/>
        <w:tabs>
          <w:tab w:leader="none" w:pos="46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Recent Accounting Pronouncements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Accounting Pronouncements - Adopted</w:t>
      </w:r>
    </w:p>
    <w:p>
      <w:pPr>
        <w:spacing w:after="0" w:line="252"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 xml:space="preserve">In June 2016, the FASB issued ASU 2016-13 </w:t>
      </w:r>
      <w:r>
        <w:rPr>
          <w:rFonts w:ascii="Arial" w:cs="Arial" w:eastAsia="Arial" w:hAnsi="Arial"/>
          <w:sz w:val="16"/>
          <w:szCs w:val="16"/>
          <w:i w:val="1"/>
          <w:iCs w:val="1"/>
          <w:color w:val="auto"/>
        </w:rPr>
        <w:t>“Financial Instruments - Credit Losses (Topic 326): Measurement of Credit Losses on Financial</w:t>
      </w:r>
      <w:r>
        <w:rPr>
          <w:rFonts w:ascii="Arial" w:cs="Arial" w:eastAsia="Arial" w:hAnsi="Arial"/>
          <w:sz w:val="16"/>
          <w:szCs w:val="16"/>
          <w:color w:val="auto"/>
        </w:rPr>
        <w:t xml:space="preserve"> </w:t>
      </w:r>
      <w:r>
        <w:rPr>
          <w:rFonts w:ascii="Arial" w:cs="Arial" w:eastAsia="Arial" w:hAnsi="Arial"/>
          <w:sz w:val="16"/>
          <w:szCs w:val="16"/>
          <w:i w:val="1"/>
          <w:iCs w:val="1"/>
          <w:color w:val="auto"/>
        </w:rPr>
        <w:t>Instruments</w:t>
      </w:r>
      <w:r>
        <w:rPr>
          <w:rFonts w:ascii="Arial" w:cs="Arial" w:eastAsia="Arial" w:hAnsi="Arial"/>
          <w:sz w:val="16"/>
          <w:szCs w:val="16"/>
          <w:color w:val="auto"/>
        </w:rPr>
        <w:t>.</w:t>
      </w:r>
      <w:r>
        <w:rPr>
          <w:rFonts w:ascii="Arial" w:cs="Arial" w:eastAsia="Arial" w:hAnsi="Arial"/>
          <w:sz w:val="16"/>
          <w:szCs w:val="16"/>
          <w:i w:val="1"/>
          <w:iCs w:val="1"/>
          <w:color w:val="auto"/>
        </w:rPr>
        <w:t xml:space="preserve">” “CECL” </w:t>
      </w:r>
      <w:r>
        <w:rPr>
          <w:rFonts w:ascii="Arial" w:cs="Arial" w:eastAsia="Arial" w:hAnsi="Arial"/>
          <w:sz w:val="16"/>
          <w:szCs w:val="16"/>
          <w:color w:val="auto"/>
        </w:rPr>
        <w:t>This update replaces the incurred loss impairment methodology in current GAAP with a methodology that reflects expected credit</w:t>
      </w:r>
      <w:r>
        <w:rPr>
          <w:rFonts w:ascii="Arial" w:cs="Arial" w:eastAsia="Arial" w:hAnsi="Arial"/>
          <w:sz w:val="16"/>
          <w:szCs w:val="16"/>
          <w:i w:val="1"/>
          <w:iCs w:val="1"/>
          <w:color w:val="auto"/>
        </w:rPr>
        <w:t xml:space="preserve"> </w:t>
      </w:r>
      <w:r>
        <w:rPr>
          <w:rFonts w:ascii="Arial" w:cs="Arial" w:eastAsia="Arial" w:hAnsi="Arial"/>
          <w:sz w:val="16"/>
          <w:szCs w:val="16"/>
          <w:color w:val="auto"/>
        </w:rPr>
        <w:t>losses and requires consideration of a broader range of reasonable and supportable information to inform credit loss estimates. The amendments in this update are effective for fiscal years beginning after December 15, 2019, including interim periods within those fiscal years. As of January 1, 2020, we adopted the fair value option for our installment notes receivable on manufactured homes and the notes receivable within the GTSC JV which resulted in fair value adjustments of $1.6 million and $0.3 million, respectively. We also adopted the fair value option on notes receivable from real estate developers. The carrying values of those notes generally approximate their fair market values either due to the short-term nature of the loan and/or the note being secured by underlying collateral and/or personal guarantees. The adoption of CECL had an immaterial impact on our remaining financial instruments within the CECL scope. Refer to Note 4, “Notes and Other Receivables,”, and Note 6. “Investment in Nonconsolidated Affiliates,” for additional detail.</w:t>
      </w:r>
    </w:p>
    <w:p>
      <w:pPr>
        <w:sectPr>
          <w:pgSz w:w="11900" w:h="16838" w:orient="portrait"/>
          <w:cols w:equalWidth="0" w:num="1">
            <w:col w:w="11240"/>
          </w:cols>
          <w:pgMar w:left="320" w:top="12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type w:val="continuous"/>
        </w:sectPr>
      </w:pPr>
    </w:p>
    <w:bookmarkStart w:id="32" w:name="page33"/>
    <w:bookmarkEnd w:id="32"/>
    <w:p>
      <w:pPr>
        <w:jc w:val="center"/>
        <w:ind w:right="-19"/>
        <w:spacing w:after="0"/>
        <w:rPr>
          <w:sz w:val="20"/>
          <w:szCs w:val="20"/>
          <w:color w:val="auto"/>
        </w:rPr>
      </w:pPr>
      <w:r>
        <w:rPr>
          <w:rFonts w:ascii="Arial" w:cs="Arial" w:eastAsia="Arial" w:hAnsi="Arial"/>
          <w:sz w:val="16"/>
          <w:szCs w:val="16"/>
          <w:b w:val="1"/>
          <w:bCs w:val="1"/>
          <w:color w:val="auto"/>
        </w:rPr>
        <w:t>SUN COMMUNITIES, INC.</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NOTES TO CONSOLIDATED FINANCIAL STATEMENTS - (Continued)</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269"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18.</w:t>
      </w:r>
      <w:r>
        <w:rPr>
          <w:sz w:val="20"/>
          <w:szCs w:val="20"/>
          <w:color w:val="auto"/>
        </w:rPr>
        <w:tab/>
      </w:r>
      <w:r>
        <w:rPr>
          <w:rFonts w:ascii="Arial" w:cs="Arial" w:eastAsia="Arial" w:hAnsi="Arial"/>
          <w:sz w:val="15"/>
          <w:szCs w:val="15"/>
          <w:b w:val="1"/>
          <w:bCs w:val="1"/>
          <w:color w:val="auto"/>
        </w:rPr>
        <w:t>Subsequent Events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w:t>
      </w:r>
    </w:p>
    <w:p>
      <w:pPr>
        <w:spacing w:after="0" w:line="252"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Subsequent to the quarter ended June 30, 2020, we acquired a RV community in Jacksonville, Florida with 421 developed sites for a total purchase price of $34.0 million.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Disposition</w:t>
      </w:r>
    </w:p>
    <w:p>
      <w:pPr>
        <w:spacing w:after="0" w:line="252"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On July 1, 2020, we closed on the sale of a MH community located in Great Falls, Montana, containing 226 sites, for $13.0 million. The assets and liabilities associated with the transaction were classified as held for sale on the Consolidated Balance Sheets as of June 30, 2020.</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We have evaluated our Consolidated Financial Statements for subsequent events through the date that this Form 10-Q was issued.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33" w:name="page34"/>
    <w:bookmarkEnd w:id="33"/>
    <w:p>
      <w:pPr>
        <w:jc w:val="center"/>
        <w:spacing w:after="0"/>
        <w:rPr>
          <w:sz w:val="20"/>
          <w:szCs w:val="20"/>
          <w:color w:val="auto"/>
        </w:rPr>
      </w:pPr>
      <w:r>
        <w:rPr>
          <w:rFonts w:ascii="Arial" w:cs="Arial" w:eastAsia="Arial" w:hAnsi="Arial"/>
          <w:sz w:val="18"/>
          <w:szCs w:val="18"/>
          <w:b w:val="1"/>
          <w:bCs w:val="1"/>
          <w:color w:val="auto"/>
        </w:rPr>
        <w:t>SUN COMMUNITIES, INC.</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discussion and analysis of the consolidated financial condition and results of operations should be read in conjunction with the Consolidated Financial Statements and the accompanying Notes, along with our 2019 Annual Report.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5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are a fully integrated, self-administered and self-managed REIT. As of June 30, 2020, we owned and operated or held an interest in a portfolio of 426 developed properties located in 33 states throughout the U.S. and one province in Canada, including 267 MH communities, 125 RV communities, and 34 properties containing both MH and RV sites.</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been in the business of acquiring, operating, developing, and expanding MH and RV communities since 1975. We lease individual sites with utility access for placement of manufactured homes and RVs to our customers. We are also engaged through SHS in the marketing, selling, and leasing of new and pre-owned homes to current and future residents in our communities. The operations of SHS support and enhance our occupancy levels, property performance, and cash flows.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COVID-19 IMPACT</w:t>
      </w:r>
    </w:p>
    <w:p>
      <w:pPr>
        <w:spacing w:after="0" w:line="25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As of June 30, 2020, all of our MH communities and RV resorts are open. Our execution of both our operation and financial plans has helped to mitigate the impact of COVID-19 on our business. These efforts include an equity offering in May 2020 of $633.1 million after deducting expenses related to the offering, to bolster our liquidity. We also eliminated, reduced or deferred non-essential expenditures for a limited time period. We used a portion of the proceeds from our equity raise in May 2020, to fund certain recurring capital expenditures to maintain the quality of our communities and to protect the equity of our residents’ investments in their homes. We are actively reviewing our acquisition pipeline for transactions that meet our business objectives. Additionally, our Board of Directors and executive officers elected to forgo their base compensation for the second quarter. Compensation to both our Board of Directors and executive officers has been restored to prior levels effective July 1, 2020. Cost containment measures included the furlough of a group of team members in April 2020. Over 80 percent of furloughed team members have returned to work as of June 30, 2020. We continue to provide medical health insurance coverage to furloughed team members, if enrolled, at no cost to the team member.</w:t>
      </w:r>
    </w:p>
    <w:p>
      <w:pPr>
        <w:spacing w:after="0" w:line="20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had $373.5 million of unrestricted cash on hand as of June 30, 2020 to maintain elevated liquidity levels. We used a portion of the proceeds received from the May 2020 equity offering to pay down our line of credit. As of June 30, 2020, there is $683.0 million of remaining capacity on the line of credit. We also have 151 unencumbered properties with an estimated asset value, as of June 30, 2020, of approximately $2.8 billion available to secure potential mortgage debt.</w:t>
      </w:r>
    </w:p>
    <w:p>
      <w:pPr>
        <w:spacing w:after="0" w:line="214"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continue to provide essential services using social distancing techniques and minimal contact. To promote social distancing, we are encouraging our residents to use our online rent payment portals and other payment methods. We have instituted numerous health and safety measures at our communities and our Main Office to keep team members safe. These measures include infrared thermometers at entrances to monitor team members’ temperatures, increased cleaning and sanitation of shared spaces and social distancing protocols throughout our footprint. We closely monitor and track orders by federal, state and local authorities and hold regular status calls with our operations and Main Office leadership teams. We have implemented and continue to encourage remote working arrangements, wherever possible, to keep our team members safe and to do our part to promote social distancing.</w:t>
      </w:r>
    </w:p>
    <w:p>
      <w:pPr>
        <w:spacing w:after="0" w:line="19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While we are experiencing lower traffic at our communities as would be expected with shelter-in-place mandates and other travel restrictions, we are still seeing demand for move-ins and expect fewer move-outs during this time. We are complying with temporary bans enacted by certain states on evictions of past due residents, which has created a backlog of anticipated move outs once the eviction bans are lifted.</w:t>
      </w:r>
    </w:p>
    <w:p>
      <w:pPr>
        <w:spacing w:after="0" w:line="21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provided a temporary hardship program to those residents who have been economically disadvantaged as a result of COVID-19 for the months of April and May. This hardship program defers the payment of April and May rent over twelve months, commencing on July 1, 2020. When the program ended in June, we had provided deferred relief of $4.4 million to approximately 4 percent of residents in our communities, including owner occupied sites and rental home sites. As of June 30, 2020, approximately 12 percent of the hardship program funds had been repaid. We anticipate that a majority of these residents have or will receive unemployment benefits and economic stimulus under the CARES Act which will aid in the payment of rent due. Due to the effects of COVID-19 on our residents, we have also suspended charging various fees, including late fees for delinquent payments, non-sufficient funds fees, and incremental month to month fees if a resident lease terminates during the pandemic. We have also deferred certain increases to monthly rental rates.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jc w:val="center"/>
        <w:spacing w:after="0"/>
        <w:rPr>
          <w:sz w:val="20"/>
          <w:szCs w:val="20"/>
          <w:color w:val="auto"/>
        </w:rPr>
      </w:pPr>
      <w:r>
        <w:rPr>
          <w:rFonts w:ascii="Arial" w:cs="Arial" w:eastAsia="Arial" w:hAnsi="Arial"/>
          <w:sz w:val="18"/>
          <w:szCs w:val="18"/>
          <w:b w:val="1"/>
          <w:bCs w:val="1"/>
          <w:color w:val="auto"/>
        </w:rPr>
        <w:t>SUN COMMUNITIES, INC.</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All of our RV resorts are currently open; however indoor and outdoor activities are limited to what government regulations permit, and to encourage social distancing.</w:t>
      </w:r>
    </w:p>
    <w:p>
      <w:pPr>
        <w:spacing w:after="0" w:line="19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remain committed to assisting individuals who are in the process of leasing a site or purchasing a home, while maintaining health and safety protocols including following strict social distancing. Virtual viewings of homes are being utilized to avoid or minimize contact. To the extent stay-at-home orders and travel restrictions are not lifted, home sale revenue will be adversely impacted.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ACCOUNTING POLICIES</w:t>
      </w:r>
    </w:p>
    <w:p>
      <w:pPr>
        <w:spacing w:after="0" w:line="25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have identified significant accounting policies that, as a result of the judgments, uncertainties, and complexities of the underlying accounting standards and operations involved could result in material changes to our financial condition or results of operations under different conditions or using different assumptions. Details regarding significant accounting policies are described fully in our 2019 Annual Report.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25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addition to the results reported in accordance with GAAP in our “Results of Operations” below, we have provided information regarding net operating income (“NOI”) and funds from operations (“FFO”) as supplemental performance measures. We believe NOI and FFO are appropriate measures given their wide use by and relevance to investors and analysts following the real estate industry. NOI provides a measure of rental operations and does not factor in depreciation, amortization and non-property specific expenses such as general and administrative expenses. FFO, reflecting the assumption that real estate values rise or fall with market conditions, principally adjusts for the effects of GAAP depreciation/amortization of real estate assets. In addition, NOI and FFO are commonly used in various ratios, pricing multiples/yields and returns and valuation calculations used to measure financial position, performance and value.</w:t>
      </w:r>
    </w:p>
    <w:p>
      <w:pPr>
        <w:spacing w:after="0" w:line="22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NOI is derived from revenues minus property operating expenses and real estate taxes. NOI is a non-GAAP financial measure that we believe is helpful to investors as a supplemental measure of operating performance because it is an indicator of the return on property investment and provides a method of comparing property performance over time. We use NOI as a key measure when evaluating performance and growth of particular properties and/or groups of properties. The principal limitation of NOI is that it excludes depreciation, amortization, interest expense and non-property specific expenses such as general and administrative expenses, all of which are significant costs. Therefore, NOI is a measure of the operating performance of our properties rather than of the Company overall.</w:t>
      </w:r>
    </w:p>
    <w:p>
      <w:pPr>
        <w:spacing w:after="0" w:line="21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believe that GAAP net income (loss) is the most directly comparable measure to NOI. NOI should not be considered to be an alternative to GAAP net income (loss) as an indication of our financial performance or GAAP cash flow from operating activities as a measure of our liquidity; nor is it indicative of funds available for our cash needs, including our ability to make cash distributions. Because of the inclusion of items such as interest, depreciation, and amortization, the use of GAAP net income (loss) as a performance measure is limited as these items may not accurately reflect the actual change in market value of a property, in the case of depreciation and in the case of interest, may not necessarily be linked to the operating performance of a real estate asset, as it is often incurred at a parent company level and not at a property level.</w:t>
      </w:r>
    </w:p>
    <w:p>
      <w:pPr>
        <w:spacing w:after="0" w:line="205"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FFO is defined by the National Association of Real Estate Investment Trusts (“NAREIT”) as GAAP net income (loss), excluding gains (or losses) from sales of depreciable operating property, plus real estate related depreciation and amortization, and after adjustments for unconsolidated partnerships and joint ventures. FFO is a non-GAAP financial measure that management believes is a useful supplemental measure of our operating performance. By excluding gains and losses related to sales of previously depreciated operating real estate assets, impairment and excluding real estate asset depreciation and amortization (which can vary among owners of identical assets in similar condition based on historical cost accounting and useful life estimates), FFO provides a performance measure that, when compared period-over-period, reflects the impact to operations from trends in occupancy rates, rental rates, and operating costs, providing perspective not readily apparent from GAAP net income (loss). Management believes the use of FFO has been beneficial in improving the understanding of operating results of REITs among the investing public and making comparisons of REIT operating results more meaningful. We also use FFO excluding certain gain and loss items that management considers unrelated to the operational and financial performance of our core business (“Core FFO”). We believe that Core FFO provides enhanced comparability for investor evaluations of period-over-period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jc w:val="center"/>
        <w:ind w:right="-19"/>
        <w:spacing w:after="0"/>
        <w:rPr>
          <w:sz w:val="20"/>
          <w:szCs w:val="20"/>
          <w:color w:val="auto"/>
        </w:rPr>
      </w:pPr>
      <w:r>
        <w:rPr>
          <w:rFonts w:ascii="Arial" w:cs="Arial" w:eastAsia="Arial" w:hAnsi="Arial"/>
          <w:sz w:val="18"/>
          <w:szCs w:val="18"/>
          <w:b w:val="1"/>
          <w:bCs w:val="1"/>
          <w:color w:val="auto"/>
        </w:rPr>
        <w:t>SUN COMMUNITIES, INC.</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believe that GAAP net income (loss) is the most directly comparable measure to FFO. The principal limitation of FFO is that it does not replace GAAP net income (loss) as a performance measure or GAAP cash flow from operations as a liquidity measure. Because FFO excludes significant economic components of GAAP net income (loss) including depreciation and amortization, FFO should be used as a supplement to GAAP net income (loss) and not as an alternative to it. Further, FFO is not intended as a measure of a REIT’s ability to meet debt principal repayments and other cash requirements, nor as a measure of working capital. FFO is calculated in accordance with our interpretation of standards established by NAREIT, which may not be comparable to FFO reported by other REITs that interpret the NAREIT definition differently.</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jc w:val="center"/>
        <w:spacing w:after="0"/>
        <w:rPr>
          <w:sz w:val="20"/>
          <w:szCs w:val="20"/>
          <w:color w:val="auto"/>
        </w:rPr>
      </w:pPr>
      <w:r>
        <w:rPr>
          <w:rFonts w:ascii="Arial" w:cs="Arial" w:eastAsia="Arial" w:hAnsi="Arial"/>
          <w:sz w:val="18"/>
          <w:szCs w:val="18"/>
          <w:b w:val="1"/>
          <w:bCs w:val="1"/>
          <w:color w:val="auto"/>
        </w:rPr>
        <w:t>SUN COMMUNITIES, INC.</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56"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report operating results under two segments: Real Property Operations and Home Sales and Rentals. The Real Property Operations segment owns, operates, develops, or has an interest in, a portfolio of MH and RV communities throughout the U.S. and in Canada, and is in the business of acquiring, operating, and expanding MH and RV communities. The Home Sales and Rentals segment offers MH and RV park model sales and leasing services to tenants and prospective tenants of our communities. We evaluate segment operating performance based on NOI and gross profit. Refer to Note 11, “Segment Reporting,” in our accompanying Consolidated Financial Statements for additional information.</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Summary Statements of Operations</w:t>
      </w:r>
    </w:p>
    <w:p>
      <w:pPr>
        <w:spacing w:after="0" w:line="25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extent to which the COVID-19 pandemic impacts our operations, financial condition and financial results will depend on future developments, which are highly uncertain and cannot be predicted with confidence, including the scope, severity and duration of the pandemic, the actions taken to contain the pandemic or mitigate its impact, and the direct and indirect economic effects of the pandemic and containment measures, among others. The rapid development and fluidity of this situation precludes any prediction as to the full adverse impact of the COVID-19 pandemic.</w:t>
      </w:r>
    </w:p>
    <w:p>
      <w:pPr>
        <w:spacing w:after="0" w:line="19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tables reconcile the Net income attributable to Sun Communities, Inc. common stockholders to NOI and summarize our consolidated financial results for the three and six months ended June 30, 2020 and 2019 (in thousands):</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534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680" w:type="dxa"/>
            <w:vAlign w:val="bottom"/>
            <w:tcBorders>
              <w:bottom w:val="single" w:sz="8" w:color="auto"/>
            </w:tcBorders>
            <w:gridSpan w:val="4"/>
          </w:tcPr>
          <w:p>
            <w:pPr>
              <w:jc w:val="right"/>
              <w:ind w:right="644"/>
              <w:spacing w:after="0"/>
              <w:rPr>
                <w:sz w:val="20"/>
                <w:szCs w:val="20"/>
                <w:color w:val="auto"/>
              </w:rPr>
            </w:pPr>
            <w:r>
              <w:rPr>
                <w:rFonts w:ascii="Arial" w:cs="Arial" w:eastAsia="Arial" w:hAnsi="Arial"/>
                <w:sz w:val="15"/>
                <w:szCs w:val="15"/>
                <w:b w:val="1"/>
                <w:bCs w:val="1"/>
                <w:color w:val="auto"/>
              </w:rPr>
              <w:t>Three Months Ended</w:t>
            </w:r>
          </w:p>
        </w:tc>
        <w:tc>
          <w:tcPr>
            <w:tcW w:w="2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660" w:type="dxa"/>
            <w:vAlign w:val="bottom"/>
            <w:tcBorders>
              <w:bottom w:val="single" w:sz="8" w:color="auto"/>
            </w:tcBorders>
            <w:gridSpan w:val="4"/>
          </w:tcPr>
          <w:p>
            <w:pPr>
              <w:jc w:val="right"/>
              <w:ind w:right="744"/>
              <w:spacing w:after="0"/>
              <w:rPr>
                <w:sz w:val="20"/>
                <w:szCs w:val="20"/>
                <w:color w:val="auto"/>
              </w:rPr>
            </w:pPr>
            <w:r>
              <w:rPr>
                <w:rFonts w:ascii="Arial" w:cs="Arial" w:eastAsia="Arial" w:hAnsi="Arial"/>
                <w:sz w:val="15"/>
                <w:szCs w:val="15"/>
                <w:b w:val="1"/>
                <w:bCs w:val="1"/>
                <w:color w:val="auto"/>
              </w:rPr>
              <w:t>Six Months Ended</w:t>
            </w:r>
          </w:p>
        </w:tc>
      </w:tr>
      <w:tr>
        <w:trPr>
          <w:trHeight w:val="210"/>
        </w:trPr>
        <w:tc>
          <w:tcPr>
            <w:tcW w:w="5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ind w:left="80"/>
              <w:spacing w:after="0"/>
              <w:rPr>
                <w:sz w:val="20"/>
                <w:szCs w:val="20"/>
                <w:color w:val="auto"/>
              </w:rPr>
            </w:pPr>
            <w:r>
              <w:rPr>
                <w:rFonts w:ascii="Arial" w:cs="Arial" w:eastAsia="Arial" w:hAnsi="Arial"/>
                <w:sz w:val="15"/>
                <w:szCs w:val="15"/>
                <w:b w:val="1"/>
                <w:bCs w:val="1"/>
                <w:color w:val="auto"/>
              </w:rPr>
              <w:t>June 30, 2020</w:t>
            </w:r>
          </w:p>
        </w:tc>
        <w:tc>
          <w:tcPr>
            <w:tcW w:w="160" w:type="dxa"/>
            <w:vAlign w:val="bottom"/>
          </w:tcPr>
          <w:p>
            <w:pPr>
              <w:spacing w:after="0"/>
              <w:rPr>
                <w:sz w:val="18"/>
                <w:szCs w:val="18"/>
                <w:color w:val="auto"/>
              </w:rPr>
            </w:pPr>
          </w:p>
        </w:tc>
        <w:tc>
          <w:tcPr>
            <w:tcW w:w="1420" w:type="dxa"/>
            <w:vAlign w:val="bottom"/>
            <w:gridSpan w:val="2"/>
          </w:tcPr>
          <w:p>
            <w:pPr>
              <w:ind w:left="60"/>
              <w:spacing w:after="0"/>
              <w:rPr>
                <w:sz w:val="20"/>
                <w:szCs w:val="20"/>
                <w:color w:val="auto"/>
              </w:rPr>
            </w:pPr>
            <w:r>
              <w:rPr>
                <w:rFonts w:ascii="Arial" w:cs="Arial" w:eastAsia="Arial" w:hAnsi="Arial"/>
                <w:sz w:val="15"/>
                <w:szCs w:val="15"/>
                <w:b w:val="1"/>
                <w:bCs w:val="1"/>
                <w:color w:val="auto"/>
              </w:rPr>
              <w:t>June 30, 2019</w:t>
            </w:r>
          </w:p>
        </w:tc>
        <w:tc>
          <w:tcPr>
            <w:tcW w:w="180" w:type="dxa"/>
            <w:vAlign w:val="bottom"/>
          </w:tcPr>
          <w:p>
            <w:pPr>
              <w:spacing w:after="0"/>
              <w:rPr>
                <w:sz w:val="18"/>
                <w:szCs w:val="18"/>
                <w:color w:val="auto"/>
              </w:rPr>
            </w:pPr>
          </w:p>
        </w:tc>
        <w:tc>
          <w:tcPr>
            <w:tcW w:w="1300" w:type="dxa"/>
            <w:vAlign w:val="bottom"/>
            <w:gridSpan w:val="2"/>
          </w:tcPr>
          <w:p>
            <w:pPr>
              <w:ind w:left="60"/>
              <w:spacing w:after="0"/>
              <w:rPr>
                <w:sz w:val="20"/>
                <w:szCs w:val="20"/>
                <w:color w:val="auto"/>
              </w:rPr>
            </w:pPr>
            <w:r>
              <w:rPr>
                <w:rFonts w:ascii="Arial" w:cs="Arial" w:eastAsia="Arial" w:hAnsi="Arial"/>
                <w:sz w:val="15"/>
                <w:szCs w:val="15"/>
                <w:b w:val="1"/>
                <w:bCs w:val="1"/>
                <w:color w:val="auto"/>
              </w:rPr>
              <w:t>June 30, 2020</w:t>
            </w:r>
          </w:p>
        </w:tc>
        <w:tc>
          <w:tcPr>
            <w:tcW w:w="160" w:type="dxa"/>
            <w:vAlign w:val="bottom"/>
          </w:tcPr>
          <w:p>
            <w:pPr>
              <w:spacing w:after="0"/>
              <w:rPr>
                <w:sz w:val="18"/>
                <w:szCs w:val="18"/>
                <w:color w:val="auto"/>
              </w:rPr>
            </w:pPr>
          </w:p>
        </w:tc>
        <w:tc>
          <w:tcPr>
            <w:tcW w:w="1200" w:type="dxa"/>
            <w:vAlign w:val="bottom"/>
          </w:tcPr>
          <w:p>
            <w:pPr>
              <w:jc w:val="right"/>
              <w:ind w:right="164"/>
              <w:spacing w:after="0"/>
              <w:rPr>
                <w:sz w:val="20"/>
                <w:szCs w:val="20"/>
                <w:color w:val="auto"/>
              </w:rPr>
            </w:pPr>
            <w:r>
              <w:rPr>
                <w:rFonts w:ascii="Arial" w:cs="Arial" w:eastAsia="Arial" w:hAnsi="Arial"/>
                <w:sz w:val="15"/>
                <w:szCs w:val="15"/>
                <w:b w:val="1"/>
                <w:bCs w:val="1"/>
                <w:color w:val="auto"/>
                <w:w w:val="96"/>
              </w:rPr>
              <w:t>June 30, 2019</w:t>
            </w:r>
          </w:p>
        </w:tc>
      </w:tr>
      <w:tr>
        <w:trPr>
          <w:trHeight w:val="213"/>
        </w:trPr>
        <w:tc>
          <w:tcPr>
            <w:tcW w:w="53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Net Income Attributable to Sun Communities, Inc. Common Stockholders</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200" w:type="dxa"/>
            <w:vAlign w:val="bottom"/>
            <w:tcBorders>
              <w:top w:val="single" w:sz="8" w:color="auto"/>
            </w:tcBorders>
            <w:shd w:val="clear" w:color="auto" w:fill="CCEEFF"/>
          </w:tcPr>
          <w:p>
            <w:pPr>
              <w:jc w:val="right"/>
              <w:ind w:right="64"/>
              <w:spacing w:after="0"/>
              <w:rPr>
                <w:sz w:val="20"/>
                <w:szCs w:val="20"/>
                <w:color w:val="auto"/>
              </w:rPr>
            </w:pPr>
            <w:r>
              <w:rPr>
                <w:rFonts w:ascii="Arial" w:cs="Arial" w:eastAsia="Arial" w:hAnsi="Arial"/>
                <w:sz w:val="15"/>
                <w:szCs w:val="15"/>
                <w:color w:val="auto"/>
              </w:rPr>
              <w:t>58,910</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tcBorders>
            <w:shd w:val="clear" w:color="auto" w:fill="CCEEFF"/>
          </w:tcPr>
          <w:p>
            <w:pPr>
              <w:jc w:val="right"/>
              <w:ind w:right="84"/>
              <w:spacing w:after="0"/>
              <w:rPr>
                <w:sz w:val="20"/>
                <w:szCs w:val="20"/>
                <w:color w:val="auto"/>
              </w:rPr>
            </w:pPr>
            <w:r>
              <w:rPr>
                <w:rFonts w:ascii="Arial" w:cs="Arial" w:eastAsia="Arial" w:hAnsi="Arial"/>
                <w:sz w:val="15"/>
                <w:szCs w:val="15"/>
                <w:color w:val="auto"/>
              </w:rPr>
              <w:t>40,385</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w w:val="95"/>
              </w:rPr>
              <w:t>$</w:t>
            </w:r>
          </w:p>
        </w:tc>
        <w:tc>
          <w:tcPr>
            <w:tcW w:w="1180" w:type="dxa"/>
            <w:vAlign w:val="bottom"/>
            <w:tcBorders>
              <w:top w:val="single" w:sz="8" w:color="auto"/>
            </w:tcBorders>
            <w:shd w:val="clear" w:color="auto" w:fill="CCEEFF"/>
          </w:tcPr>
          <w:p>
            <w:pPr>
              <w:jc w:val="right"/>
              <w:ind w:right="64"/>
              <w:spacing w:after="0"/>
              <w:rPr>
                <w:sz w:val="20"/>
                <w:szCs w:val="20"/>
                <w:color w:val="auto"/>
              </w:rPr>
            </w:pPr>
            <w:r>
              <w:rPr>
                <w:rFonts w:ascii="Arial" w:cs="Arial" w:eastAsia="Arial" w:hAnsi="Arial"/>
                <w:sz w:val="15"/>
                <w:szCs w:val="15"/>
                <w:color w:val="auto"/>
              </w:rPr>
              <w:t>42,824</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200" w:type="dxa"/>
            <w:vAlign w:val="bottom"/>
            <w:tcBorders>
              <w:top w:val="single" w:sz="8" w:color="auto"/>
            </w:tcBorders>
            <w:shd w:val="clear" w:color="auto" w:fill="CCEEFF"/>
          </w:tcPr>
          <w:p>
            <w:pPr>
              <w:jc w:val="right"/>
              <w:ind w:right="64"/>
              <w:spacing w:after="0"/>
              <w:rPr>
                <w:sz w:val="20"/>
                <w:szCs w:val="20"/>
                <w:color w:val="auto"/>
              </w:rPr>
            </w:pPr>
            <w:r>
              <w:rPr>
                <w:rFonts w:ascii="Arial" w:cs="Arial" w:eastAsia="Arial" w:hAnsi="Arial"/>
                <w:sz w:val="15"/>
                <w:szCs w:val="15"/>
                <w:color w:val="auto"/>
              </w:rPr>
              <w:t>74,716</w:t>
            </w:r>
          </w:p>
        </w:tc>
      </w:tr>
      <w:tr>
        <w:trPr>
          <w:trHeight w:val="212"/>
        </w:trPr>
        <w:tc>
          <w:tcPr>
            <w:tcW w:w="5340" w:type="dxa"/>
            <w:vAlign w:val="bottom"/>
          </w:tcPr>
          <w:p>
            <w:pPr>
              <w:ind w:left="220"/>
              <w:spacing w:after="0"/>
              <w:rPr>
                <w:sz w:val="20"/>
                <w:szCs w:val="20"/>
                <w:color w:val="auto"/>
              </w:rPr>
            </w:pPr>
            <w:r>
              <w:rPr>
                <w:rFonts w:ascii="Arial" w:cs="Arial" w:eastAsia="Arial" w:hAnsi="Arial"/>
                <w:sz w:val="15"/>
                <w:szCs w:val="15"/>
                <w:color w:val="auto"/>
              </w:rPr>
              <w:t>Interest income</w:t>
            </w:r>
          </w:p>
        </w:tc>
        <w:tc>
          <w:tcPr>
            <w:tcW w:w="160" w:type="dxa"/>
            <w:vAlign w:val="bottom"/>
          </w:tcPr>
          <w:p>
            <w:pPr>
              <w:spacing w:after="0"/>
              <w:rPr>
                <w:sz w:val="18"/>
                <w:szCs w:val="18"/>
                <w:color w:val="auto"/>
              </w:rPr>
            </w:pPr>
          </w:p>
        </w:tc>
        <w:tc>
          <w:tcPr>
            <w:tcW w:w="1200" w:type="dxa"/>
            <w:vAlign w:val="bottom"/>
          </w:tcPr>
          <w:p>
            <w:pPr>
              <w:jc w:val="right"/>
              <w:ind w:right="24"/>
              <w:spacing w:after="0"/>
              <w:rPr>
                <w:sz w:val="20"/>
                <w:szCs w:val="20"/>
                <w:color w:val="auto"/>
              </w:rPr>
            </w:pPr>
            <w:r>
              <w:rPr>
                <w:rFonts w:ascii="Arial" w:cs="Arial" w:eastAsia="Arial" w:hAnsi="Arial"/>
                <w:sz w:val="15"/>
                <w:szCs w:val="15"/>
                <w:color w:val="auto"/>
              </w:rPr>
              <w:t>(2,635)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ind w:right="44"/>
              <w:spacing w:after="0"/>
              <w:rPr>
                <w:sz w:val="20"/>
                <w:szCs w:val="20"/>
                <w:color w:val="auto"/>
              </w:rPr>
            </w:pPr>
            <w:r>
              <w:rPr>
                <w:rFonts w:ascii="Arial" w:cs="Arial" w:eastAsia="Arial" w:hAnsi="Arial"/>
                <w:sz w:val="15"/>
                <w:szCs w:val="15"/>
                <w:color w:val="auto"/>
              </w:rPr>
              <w:t>(4,919)</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right"/>
              <w:ind w:right="24"/>
              <w:spacing w:after="0"/>
              <w:rPr>
                <w:sz w:val="20"/>
                <w:szCs w:val="20"/>
                <w:color w:val="auto"/>
              </w:rPr>
            </w:pPr>
            <w:r>
              <w:rPr>
                <w:rFonts w:ascii="Arial" w:cs="Arial" w:eastAsia="Arial" w:hAnsi="Arial"/>
                <w:sz w:val="15"/>
                <w:szCs w:val="15"/>
                <w:color w:val="auto"/>
              </w:rPr>
              <w:t>(4,985)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ind w:right="24"/>
              <w:spacing w:after="0"/>
              <w:rPr>
                <w:sz w:val="20"/>
                <w:szCs w:val="20"/>
                <w:color w:val="auto"/>
              </w:rPr>
            </w:pPr>
            <w:r>
              <w:rPr>
                <w:rFonts w:ascii="Arial" w:cs="Arial" w:eastAsia="Arial" w:hAnsi="Arial"/>
                <w:sz w:val="15"/>
                <w:szCs w:val="15"/>
                <w:color w:val="auto"/>
              </w:rPr>
              <w:t>(9,719)</w:t>
            </w:r>
          </w:p>
        </w:tc>
      </w:tr>
      <w:tr>
        <w:trPr>
          <w:trHeight w:val="220"/>
        </w:trPr>
        <w:tc>
          <w:tcPr>
            <w:tcW w:w="5340" w:type="dxa"/>
            <w:vAlign w:val="bottom"/>
            <w:shd w:val="clear" w:color="auto" w:fill="CCEEFF"/>
          </w:tcPr>
          <w:p>
            <w:pPr>
              <w:ind w:left="220"/>
              <w:spacing w:after="0"/>
              <w:rPr>
                <w:sz w:val="20"/>
                <w:szCs w:val="20"/>
                <w:color w:val="auto"/>
              </w:rPr>
            </w:pPr>
            <w:r>
              <w:rPr>
                <w:rFonts w:ascii="Arial" w:cs="Arial" w:eastAsia="Arial" w:hAnsi="Arial"/>
                <w:sz w:val="15"/>
                <w:szCs w:val="15"/>
                <w:color w:val="auto"/>
              </w:rPr>
              <w:t>Brokerage commissions and other revenues, net</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(3,274)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(2,508)</w:t>
            </w: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(7,187)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(6,188)</w:t>
            </w:r>
          </w:p>
        </w:tc>
      </w:tr>
      <w:tr>
        <w:trPr>
          <w:trHeight w:val="212"/>
        </w:trPr>
        <w:tc>
          <w:tcPr>
            <w:tcW w:w="5340" w:type="dxa"/>
            <w:vAlign w:val="bottom"/>
          </w:tcPr>
          <w:p>
            <w:pPr>
              <w:ind w:left="220"/>
              <w:spacing w:after="0"/>
              <w:rPr>
                <w:sz w:val="20"/>
                <w:szCs w:val="20"/>
                <w:color w:val="auto"/>
              </w:rPr>
            </w:pPr>
            <w:r>
              <w:rPr>
                <w:rFonts w:ascii="Arial" w:cs="Arial" w:eastAsia="Arial" w:hAnsi="Arial"/>
                <w:sz w:val="15"/>
                <w:szCs w:val="15"/>
                <w:color w:val="auto"/>
              </w:rPr>
              <w:t>Home selling expenses</w:t>
            </w:r>
          </w:p>
        </w:tc>
        <w:tc>
          <w:tcPr>
            <w:tcW w:w="160" w:type="dxa"/>
            <w:vAlign w:val="bottom"/>
          </w:tcPr>
          <w:p>
            <w:pPr>
              <w:spacing w:after="0"/>
              <w:rPr>
                <w:sz w:val="18"/>
                <w:szCs w:val="18"/>
                <w:color w:val="auto"/>
              </w:rPr>
            </w:pPr>
          </w:p>
        </w:tc>
        <w:tc>
          <w:tcPr>
            <w:tcW w:w="1200" w:type="dxa"/>
            <w:vAlign w:val="bottom"/>
          </w:tcPr>
          <w:p>
            <w:pPr>
              <w:jc w:val="right"/>
              <w:ind w:right="64"/>
              <w:spacing w:after="0"/>
              <w:rPr>
                <w:sz w:val="20"/>
                <w:szCs w:val="20"/>
                <w:color w:val="auto"/>
              </w:rPr>
            </w:pPr>
            <w:r>
              <w:rPr>
                <w:rFonts w:ascii="Arial" w:cs="Arial" w:eastAsia="Arial" w:hAnsi="Arial"/>
                <w:sz w:val="15"/>
                <w:szCs w:val="15"/>
                <w:color w:val="auto"/>
              </w:rPr>
              <w:t>2,864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ind w:right="84"/>
              <w:spacing w:after="0"/>
              <w:rPr>
                <w:sz w:val="20"/>
                <w:szCs w:val="20"/>
                <w:color w:val="auto"/>
              </w:rPr>
            </w:pPr>
            <w:r>
              <w:rPr>
                <w:rFonts w:ascii="Arial" w:cs="Arial" w:eastAsia="Arial" w:hAnsi="Arial"/>
                <w:sz w:val="15"/>
                <w:szCs w:val="15"/>
                <w:color w:val="auto"/>
              </w:rPr>
              <w:t>3,626</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right"/>
              <w:ind w:right="64"/>
              <w:spacing w:after="0"/>
              <w:rPr>
                <w:sz w:val="20"/>
                <w:szCs w:val="20"/>
                <w:color w:val="auto"/>
              </w:rPr>
            </w:pPr>
            <w:r>
              <w:rPr>
                <w:rFonts w:ascii="Arial" w:cs="Arial" w:eastAsia="Arial" w:hAnsi="Arial"/>
                <w:sz w:val="15"/>
                <w:szCs w:val="15"/>
                <w:color w:val="auto"/>
              </w:rPr>
              <w:t>6,856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ind w:right="64"/>
              <w:spacing w:after="0"/>
              <w:rPr>
                <w:sz w:val="20"/>
                <w:szCs w:val="20"/>
                <w:color w:val="auto"/>
              </w:rPr>
            </w:pPr>
            <w:r>
              <w:rPr>
                <w:rFonts w:ascii="Arial" w:cs="Arial" w:eastAsia="Arial" w:hAnsi="Arial"/>
                <w:sz w:val="15"/>
                <w:szCs w:val="15"/>
                <w:color w:val="auto"/>
              </w:rPr>
              <w:t>6,950</w:t>
            </w:r>
          </w:p>
        </w:tc>
      </w:tr>
      <w:tr>
        <w:trPr>
          <w:trHeight w:val="220"/>
        </w:trPr>
        <w:tc>
          <w:tcPr>
            <w:tcW w:w="5340" w:type="dxa"/>
            <w:vAlign w:val="bottom"/>
            <w:shd w:val="clear" w:color="auto" w:fill="CCEEFF"/>
          </w:tcPr>
          <w:p>
            <w:pPr>
              <w:ind w:left="220"/>
              <w:spacing w:after="0"/>
              <w:rPr>
                <w:sz w:val="20"/>
                <w:szCs w:val="20"/>
                <w:color w:val="auto"/>
              </w:rPr>
            </w:pPr>
            <w:r>
              <w:rPr>
                <w:rFonts w:ascii="Arial" w:cs="Arial" w:eastAsia="Arial" w:hAnsi="Arial"/>
                <w:sz w:val="15"/>
                <w:szCs w:val="15"/>
                <w:color w:val="auto"/>
              </w:rPr>
              <w:t>General and administrative expenses</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26,733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rPr>
              <w:t>23,697</w:t>
            </w: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52,250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45,584</w:t>
            </w:r>
          </w:p>
        </w:tc>
      </w:tr>
      <w:tr>
        <w:trPr>
          <w:trHeight w:val="212"/>
        </w:trPr>
        <w:tc>
          <w:tcPr>
            <w:tcW w:w="5340" w:type="dxa"/>
            <w:vAlign w:val="bottom"/>
          </w:tcPr>
          <w:p>
            <w:pPr>
              <w:ind w:left="220"/>
              <w:spacing w:after="0"/>
              <w:rPr>
                <w:sz w:val="20"/>
                <w:szCs w:val="20"/>
                <w:color w:val="auto"/>
              </w:rPr>
            </w:pPr>
            <w:r>
              <w:rPr>
                <w:rFonts w:ascii="Arial" w:cs="Arial" w:eastAsia="Arial" w:hAnsi="Arial"/>
                <w:sz w:val="15"/>
                <w:szCs w:val="15"/>
                <w:color w:val="auto"/>
              </w:rPr>
              <w:t>Catastrophic weather-related charges, net</w:t>
            </w:r>
          </w:p>
        </w:tc>
        <w:tc>
          <w:tcPr>
            <w:tcW w:w="160" w:type="dxa"/>
            <w:vAlign w:val="bottom"/>
          </w:tcPr>
          <w:p>
            <w:pPr>
              <w:spacing w:after="0"/>
              <w:rPr>
                <w:sz w:val="18"/>
                <w:szCs w:val="18"/>
                <w:color w:val="auto"/>
              </w:rPr>
            </w:pPr>
          </w:p>
        </w:tc>
        <w:tc>
          <w:tcPr>
            <w:tcW w:w="1200" w:type="dxa"/>
            <w:vAlign w:val="bottom"/>
          </w:tcPr>
          <w:p>
            <w:pPr>
              <w:jc w:val="right"/>
              <w:ind w:right="24"/>
              <w:spacing w:after="0"/>
              <w:rPr>
                <w:sz w:val="20"/>
                <w:szCs w:val="20"/>
                <w:color w:val="auto"/>
              </w:rPr>
            </w:pPr>
            <w:r>
              <w:rPr>
                <w:rFonts w:ascii="Arial" w:cs="Arial" w:eastAsia="Arial" w:hAnsi="Arial"/>
                <w:sz w:val="15"/>
                <w:szCs w:val="15"/>
                <w:color w:val="auto"/>
              </w:rPr>
              <w:t>(566)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ind w:right="84"/>
              <w:spacing w:after="0"/>
              <w:rPr>
                <w:sz w:val="20"/>
                <w:szCs w:val="20"/>
                <w:color w:val="auto"/>
              </w:rPr>
            </w:pPr>
            <w:r>
              <w:rPr>
                <w:rFonts w:ascii="Arial" w:cs="Arial" w:eastAsia="Arial" w:hAnsi="Arial"/>
                <w:sz w:val="15"/>
                <w:szCs w:val="15"/>
                <w:color w:val="auto"/>
              </w:rPr>
              <w:t>179</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right"/>
              <w:ind w:right="64"/>
              <w:spacing w:after="0"/>
              <w:rPr>
                <w:sz w:val="20"/>
                <w:szCs w:val="20"/>
                <w:color w:val="auto"/>
              </w:rPr>
            </w:pPr>
            <w:r>
              <w:rPr>
                <w:rFonts w:ascii="Arial" w:cs="Arial" w:eastAsia="Arial" w:hAnsi="Arial"/>
                <w:sz w:val="15"/>
                <w:szCs w:val="15"/>
                <w:color w:val="auto"/>
              </w:rPr>
              <w:t>40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ind w:right="64"/>
              <w:spacing w:after="0"/>
              <w:rPr>
                <w:sz w:val="20"/>
                <w:szCs w:val="20"/>
                <w:color w:val="auto"/>
              </w:rPr>
            </w:pPr>
            <w:r>
              <w:rPr>
                <w:rFonts w:ascii="Arial" w:cs="Arial" w:eastAsia="Arial" w:hAnsi="Arial"/>
                <w:sz w:val="15"/>
                <w:szCs w:val="15"/>
                <w:color w:val="auto"/>
              </w:rPr>
              <w:t>961</w:t>
            </w:r>
          </w:p>
        </w:tc>
      </w:tr>
      <w:tr>
        <w:trPr>
          <w:trHeight w:val="220"/>
        </w:trPr>
        <w:tc>
          <w:tcPr>
            <w:tcW w:w="5340" w:type="dxa"/>
            <w:vAlign w:val="bottom"/>
            <w:shd w:val="clear" w:color="auto" w:fill="CCEEFF"/>
          </w:tcPr>
          <w:p>
            <w:pPr>
              <w:ind w:left="220"/>
              <w:spacing w:after="0"/>
              <w:rPr>
                <w:sz w:val="20"/>
                <w:szCs w:val="20"/>
                <w:color w:val="auto"/>
              </w:rPr>
            </w:pPr>
            <w:r>
              <w:rPr>
                <w:rFonts w:ascii="Arial" w:cs="Arial" w:eastAsia="Arial" w:hAnsi="Arial"/>
                <w:sz w:val="15"/>
                <w:szCs w:val="15"/>
                <w:color w:val="auto"/>
              </w:rPr>
              <w:t>Depreciation and amortization</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87,265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rPr>
              <w:t>76,153</w:t>
            </w: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170,954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152,709</w:t>
            </w:r>
          </w:p>
        </w:tc>
      </w:tr>
      <w:tr>
        <w:trPr>
          <w:trHeight w:val="212"/>
        </w:trPr>
        <w:tc>
          <w:tcPr>
            <w:tcW w:w="5340" w:type="dxa"/>
            <w:vAlign w:val="bottom"/>
          </w:tcPr>
          <w:p>
            <w:pPr>
              <w:ind w:left="220"/>
              <w:spacing w:after="0"/>
              <w:rPr>
                <w:sz w:val="20"/>
                <w:szCs w:val="20"/>
                <w:color w:val="auto"/>
              </w:rPr>
            </w:pPr>
            <w:r>
              <w:rPr>
                <w:rFonts w:ascii="Arial" w:cs="Arial" w:eastAsia="Arial" w:hAnsi="Arial"/>
                <w:sz w:val="15"/>
                <w:szCs w:val="15"/>
                <w:color w:val="auto"/>
              </w:rPr>
              <w:t>Loss on extinguishment of debt (see Note 8)</w:t>
            </w:r>
          </w:p>
        </w:tc>
        <w:tc>
          <w:tcPr>
            <w:tcW w:w="160" w:type="dxa"/>
            <w:vAlign w:val="bottom"/>
          </w:tcPr>
          <w:p>
            <w:pPr>
              <w:spacing w:after="0"/>
              <w:rPr>
                <w:sz w:val="18"/>
                <w:szCs w:val="18"/>
                <w:color w:val="auto"/>
              </w:rPr>
            </w:pPr>
          </w:p>
        </w:tc>
        <w:tc>
          <w:tcPr>
            <w:tcW w:w="1200" w:type="dxa"/>
            <w:vAlign w:val="bottom"/>
          </w:tcPr>
          <w:p>
            <w:pPr>
              <w:jc w:val="right"/>
              <w:ind w:right="64"/>
              <w:spacing w:after="0"/>
              <w:rPr>
                <w:sz w:val="20"/>
                <w:szCs w:val="20"/>
                <w:color w:val="auto"/>
              </w:rPr>
            </w:pPr>
            <w:r>
              <w:rPr>
                <w:rFonts w:ascii="Arial" w:cs="Arial" w:eastAsia="Arial" w:hAnsi="Arial"/>
                <w:sz w:val="15"/>
                <w:szCs w:val="15"/>
                <w:color w:val="auto"/>
              </w:rPr>
              <w:t>1,930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ind w:right="84"/>
              <w:spacing w:after="0"/>
              <w:rPr>
                <w:sz w:val="20"/>
                <w:szCs w:val="20"/>
                <w:color w:val="auto"/>
              </w:rPr>
            </w:pPr>
            <w:r>
              <w:rPr>
                <w:rFonts w:ascii="Arial" w:cs="Arial" w:eastAsia="Arial" w:hAnsi="Arial"/>
                <w:sz w:val="15"/>
                <w:szCs w:val="15"/>
                <w:color w:val="auto"/>
              </w:rPr>
              <w:t>70</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right"/>
              <w:ind w:right="64"/>
              <w:spacing w:after="0"/>
              <w:rPr>
                <w:sz w:val="20"/>
                <w:szCs w:val="20"/>
                <w:color w:val="auto"/>
              </w:rPr>
            </w:pPr>
            <w:r>
              <w:rPr>
                <w:rFonts w:ascii="Arial" w:cs="Arial" w:eastAsia="Arial" w:hAnsi="Arial"/>
                <w:sz w:val="15"/>
                <w:szCs w:val="15"/>
                <w:color w:val="auto"/>
              </w:rPr>
              <w:t>5,209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ind w:right="64"/>
              <w:spacing w:after="0"/>
              <w:rPr>
                <w:sz w:val="20"/>
                <w:szCs w:val="20"/>
                <w:color w:val="auto"/>
              </w:rPr>
            </w:pPr>
            <w:r>
              <w:rPr>
                <w:rFonts w:ascii="Arial" w:cs="Arial" w:eastAsia="Arial" w:hAnsi="Arial"/>
                <w:sz w:val="15"/>
                <w:szCs w:val="15"/>
                <w:color w:val="auto"/>
              </w:rPr>
              <w:t>723</w:t>
            </w:r>
          </w:p>
        </w:tc>
      </w:tr>
      <w:tr>
        <w:trPr>
          <w:trHeight w:val="220"/>
        </w:trPr>
        <w:tc>
          <w:tcPr>
            <w:tcW w:w="5340" w:type="dxa"/>
            <w:vAlign w:val="bottom"/>
            <w:shd w:val="clear" w:color="auto" w:fill="CCEEFF"/>
          </w:tcPr>
          <w:p>
            <w:pPr>
              <w:ind w:left="220"/>
              <w:spacing w:after="0"/>
              <w:rPr>
                <w:sz w:val="20"/>
                <w:szCs w:val="20"/>
                <w:color w:val="auto"/>
              </w:rPr>
            </w:pPr>
            <w:r>
              <w:rPr>
                <w:rFonts w:ascii="Arial" w:cs="Arial" w:eastAsia="Arial" w:hAnsi="Arial"/>
                <w:sz w:val="15"/>
                <w:szCs w:val="15"/>
                <w:color w:val="auto"/>
              </w:rPr>
              <w:t>Interest expense</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31,428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rPr>
              <w:t>33,661</w:t>
            </w: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63,844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67,675</w:t>
            </w:r>
          </w:p>
        </w:tc>
      </w:tr>
      <w:tr>
        <w:trPr>
          <w:trHeight w:val="212"/>
        </w:trPr>
        <w:tc>
          <w:tcPr>
            <w:tcW w:w="5340" w:type="dxa"/>
            <w:vAlign w:val="bottom"/>
          </w:tcPr>
          <w:p>
            <w:pPr>
              <w:ind w:left="220"/>
              <w:spacing w:after="0"/>
              <w:rPr>
                <w:sz w:val="20"/>
                <w:szCs w:val="20"/>
                <w:color w:val="auto"/>
              </w:rPr>
            </w:pPr>
            <w:r>
              <w:rPr>
                <w:rFonts w:ascii="Arial" w:cs="Arial" w:eastAsia="Arial" w:hAnsi="Arial"/>
                <w:sz w:val="15"/>
                <w:szCs w:val="15"/>
                <w:color w:val="auto"/>
              </w:rPr>
              <w:t>Interest on mandatorily redeemable preferred OP units / equity</w:t>
            </w:r>
          </w:p>
        </w:tc>
        <w:tc>
          <w:tcPr>
            <w:tcW w:w="160" w:type="dxa"/>
            <w:vAlign w:val="bottom"/>
          </w:tcPr>
          <w:p>
            <w:pPr>
              <w:spacing w:after="0"/>
              <w:rPr>
                <w:sz w:val="18"/>
                <w:szCs w:val="18"/>
                <w:color w:val="auto"/>
              </w:rPr>
            </w:pPr>
          </w:p>
        </w:tc>
        <w:tc>
          <w:tcPr>
            <w:tcW w:w="1200" w:type="dxa"/>
            <w:vAlign w:val="bottom"/>
          </w:tcPr>
          <w:p>
            <w:pPr>
              <w:jc w:val="right"/>
              <w:ind w:right="64"/>
              <w:spacing w:after="0"/>
              <w:rPr>
                <w:sz w:val="20"/>
                <w:szCs w:val="20"/>
                <w:color w:val="auto"/>
              </w:rPr>
            </w:pPr>
            <w:r>
              <w:rPr>
                <w:rFonts w:ascii="Arial" w:cs="Arial" w:eastAsia="Arial" w:hAnsi="Arial"/>
                <w:sz w:val="15"/>
                <w:szCs w:val="15"/>
                <w:color w:val="auto"/>
              </w:rPr>
              <w:t>1,042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ind w:right="84"/>
              <w:spacing w:after="0"/>
              <w:rPr>
                <w:sz w:val="20"/>
                <w:szCs w:val="20"/>
                <w:color w:val="auto"/>
              </w:rPr>
            </w:pPr>
            <w:r>
              <w:rPr>
                <w:rFonts w:ascii="Arial" w:cs="Arial" w:eastAsia="Arial" w:hAnsi="Arial"/>
                <w:sz w:val="15"/>
                <w:szCs w:val="15"/>
                <w:color w:val="auto"/>
              </w:rPr>
              <w:t>1,181</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right"/>
              <w:ind w:right="64"/>
              <w:spacing w:after="0"/>
              <w:rPr>
                <w:sz w:val="20"/>
                <w:szCs w:val="20"/>
                <w:color w:val="auto"/>
              </w:rPr>
            </w:pPr>
            <w:r>
              <w:rPr>
                <w:rFonts w:ascii="Arial" w:cs="Arial" w:eastAsia="Arial" w:hAnsi="Arial"/>
                <w:sz w:val="15"/>
                <w:szCs w:val="15"/>
                <w:color w:val="auto"/>
              </w:rPr>
              <w:t>2,083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ind w:right="64"/>
              <w:spacing w:after="0"/>
              <w:rPr>
                <w:sz w:val="20"/>
                <w:szCs w:val="20"/>
                <w:color w:val="auto"/>
              </w:rPr>
            </w:pPr>
            <w:r>
              <w:rPr>
                <w:rFonts w:ascii="Arial" w:cs="Arial" w:eastAsia="Arial" w:hAnsi="Arial"/>
                <w:sz w:val="15"/>
                <w:szCs w:val="15"/>
                <w:color w:val="auto"/>
              </w:rPr>
              <w:t>2,275</w:t>
            </w:r>
          </w:p>
        </w:tc>
      </w:tr>
      <w:tr>
        <w:trPr>
          <w:trHeight w:val="220"/>
        </w:trPr>
        <w:tc>
          <w:tcPr>
            <w:tcW w:w="5340" w:type="dxa"/>
            <w:vAlign w:val="bottom"/>
            <w:shd w:val="clear" w:color="auto" w:fill="CCEEFF"/>
          </w:tcPr>
          <w:p>
            <w:pPr>
              <w:ind w:left="220"/>
              <w:spacing w:after="0"/>
              <w:rPr>
                <w:sz w:val="20"/>
                <w:szCs w:val="20"/>
                <w:color w:val="auto"/>
              </w:rPr>
            </w:pPr>
            <w:r>
              <w:rPr>
                <w:rFonts w:ascii="Arial" w:cs="Arial" w:eastAsia="Arial" w:hAnsi="Arial"/>
                <w:sz w:val="15"/>
                <w:szCs w:val="15"/>
                <w:color w:val="auto"/>
              </w:rPr>
              <w:t>Gain / (loss) on remeasurement of marketable securities (see Note 14)</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(24,519)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(3,620)</w:t>
            </w: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4,128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(3,887)</w:t>
            </w:r>
          </w:p>
        </w:tc>
      </w:tr>
      <w:tr>
        <w:trPr>
          <w:trHeight w:val="212"/>
        </w:trPr>
        <w:tc>
          <w:tcPr>
            <w:tcW w:w="5340" w:type="dxa"/>
            <w:vAlign w:val="bottom"/>
          </w:tcPr>
          <w:p>
            <w:pPr>
              <w:ind w:left="220"/>
              <w:spacing w:after="0"/>
              <w:rPr>
                <w:sz w:val="20"/>
                <w:szCs w:val="20"/>
                <w:color w:val="auto"/>
              </w:rPr>
            </w:pPr>
            <w:r>
              <w:rPr>
                <w:rFonts w:ascii="Arial" w:cs="Arial" w:eastAsia="Arial" w:hAnsi="Arial"/>
                <w:sz w:val="15"/>
                <w:szCs w:val="15"/>
                <w:color w:val="auto"/>
              </w:rPr>
              <w:t>(Gain) / loss on foreign currency translation</w:t>
            </w:r>
          </w:p>
        </w:tc>
        <w:tc>
          <w:tcPr>
            <w:tcW w:w="160" w:type="dxa"/>
            <w:vAlign w:val="bottom"/>
          </w:tcPr>
          <w:p>
            <w:pPr>
              <w:spacing w:after="0"/>
              <w:rPr>
                <w:sz w:val="18"/>
                <w:szCs w:val="18"/>
                <w:color w:val="auto"/>
              </w:rPr>
            </w:pPr>
          </w:p>
        </w:tc>
        <w:tc>
          <w:tcPr>
            <w:tcW w:w="1200" w:type="dxa"/>
            <w:vAlign w:val="bottom"/>
          </w:tcPr>
          <w:p>
            <w:pPr>
              <w:jc w:val="right"/>
              <w:ind w:right="24"/>
              <w:spacing w:after="0"/>
              <w:rPr>
                <w:sz w:val="20"/>
                <w:szCs w:val="20"/>
                <w:color w:val="auto"/>
              </w:rPr>
            </w:pPr>
            <w:r>
              <w:rPr>
                <w:rFonts w:ascii="Arial" w:cs="Arial" w:eastAsia="Arial" w:hAnsi="Arial"/>
                <w:sz w:val="15"/>
                <w:szCs w:val="15"/>
                <w:color w:val="auto"/>
              </w:rPr>
              <w:t>(10,374)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ind w:right="44"/>
              <w:spacing w:after="0"/>
              <w:rPr>
                <w:sz w:val="20"/>
                <w:szCs w:val="20"/>
                <w:color w:val="auto"/>
              </w:rPr>
            </w:pPr>
            <w:r>
              <w:rPr>
                <w:rFonts w:ascii="Arial" w:cs="Arial" w:eastAsia="Arial" w:hAnsi="Arial"/>
                <w:sz w:val="15"/>
                <w:szCs w:val="15"/>
                <w:color w:val="auto"/>
              </w:rPr>
              <w:t>(1,116)</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right"/>
              <w:ind w:right="64"/>
              <w:spacing w:after="0"/>
              <w:rPr>
                <w:sz w:val="20"/>
                <w:szCs w:val="20"/>
                <w:color w:val="auto"/>
              </w:rPr>
            </w:pPr>
            <w:r>
              <w:rPr>
                <w:rFonts w:ascii="Arial" w:cs="Arial" w:eastAsia="Arial" w:hAnsi="Arial"/>
                <w:sz w:val="15"/>
                <w:szCs w:val="15"/>
                <w:color w:val="auto"/>
              </w:rPr>
              <w:t>7,105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ind w:right="24"/>
              <w:spacing w:after="0"/>
              <w:rPr>
                <w:sz w:val="20"/>
                <w:szCs w:val="20"/>
                <w:color w:val="auto"/>
              </w:rPr>
            </w:pPr>
            <w:r>
              <w:rPr>
                <w:rFonts w:ascii="Arial" w:cs="Arial" w:eastAsia="Arial" w:hAnsi="Arial"/>
                <w:sz w:val="15"/>
                <w:szCs w:val="15"/>
                <w:color w:val="auto"/>
              </w:rPr>
              <w:t>(3,081)</w:t>
            </w:r>
          </w:p>
        </w:tc>
      </w:tr>
      <w:tr>
        <w:trPr>
          <w:trHeight w:val="220"/>
        </w:trPr>
        <w:tc>
          <w:tcPr>
            <w:tcW w:w="5340" w:type="dxa"/>
            <w:vAlign w:val="bottom"/>
            <w:shd w:val="clear" w:color="auto" w:fill="CCEEFF"/>
          </w:tcPr>
          <w:p>
            <w:pPr>
              <w:ind w:left="220"/>
              <w:spacing w:after="0"/>
              <w:rPr>
                <w:sz w:val="20"/>
                <w:szCs w:val="20"/>
                <w:color w:val="auto"/>
              </w:rPr>
            </w:pPr>
            <w:r>
              <w:rPr>
                <w:rFonts w:ascii="Arial" w:cs="Arial" w:eastAsia="Arial" w:hAnsi="Arial"/>
                <w:sz w:val="15"/>
                <w:szCs w:val="15"/>
                <w:color w:val="auto"/>
              </w:rPr>
              <w:t>Other expense, net</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552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rPr>
              <w:t>95</w:t>
            </w: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854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162</w:t>
            </w:r>
          </w:p>
        </w:tc>
      </w:tr>
      <w:tr>
        <w:trPr>
          <w:trHeight w:val="212"/>
        </w:trPr>
        <w:tc>
          <w:tcPr>
            <w:tcW w:w="5340" w:type="dxa"/>
            <w:vAlign w:val="bottom"/>
          </w:tcPr>
          <w:p>
            <w:pPr>
              <w:ind w:left="220"/>
              <w:spacing w:after="0"/>
              <w:rPr>
                <w:sz w:val="20"/>
                <w:szCs w:val="20"/>
                <w:color w:val="auto"/>
              </w:rPr>
            </w:pPr>
            <w:r>
              <w:rPr>
                <w:rFonts w:ascii="Arial" w:cs="Arial" w:eastAsia="Arial" w:hAnsi="Arial"/>
                <w:sz w:val="15"/>
                <w:szCs w:val="15"/>
                <w:color w:val="auto"/>
              </w:rPr>
              <w:t>(Gain) / loss on remeasurement of notes receivable (see Note 4)</w:t>
            </w:r>
          </w:p>
        </w:tc>
        <w:tc>
          <w:tcPr>
            <w:tcW w:w="160" w:type="dxa"/>
            <w:vAlign w:val="bottom"/>
          </w:tcPr>
          <w:p>
            <w:pPr>
              <w:spacing w:after="0"/>
              <w:rPr>
                <w:sz w:val="18"/>
                <w:szCs w:val="18"/>
                <w:color w:val="auto"/>
              </w:rPr>
            </w:pPr>
          </w:p>
        </w:tc>
        <w:tc>
          <w:tcPr>
            <w:tcW w:w="1200" w:type="dxa"/>
            <w:vAlign w:val="bottom"/>
          </w:tcPr>
          <w:p>
            <w:pPr>
              <w:jc w:val="right"/>
              <w:ind w:right="24"/>
              <w:spacing w:after="0"/>
              <w:rPr>
                <w:sz w:val="20"/>
                <w:szCs w:val="20"/>
                <w:color w:val="auto"/>
              </w:rPr>
            </w:pPr>
            <w:r>
              <w:rPr>
                <w:rFonts w:ascii="Arial" w:cs="Arial" w:eastAsia="Arial" w:hAnsi="Arial"/>
                <w:sz w:val="15"/>
                <w:szCs w:val="15"/>
                <w:color w:val="auto"/>
              </w:rPr>
              <w:t>(246)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38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8"/>
                <w:szCs w:val="18"/>
                <w:color w:val="auto"/>
              </w:rPr>
            </w:pPr>
          </w:p>
        </w:tc>
        <w:tc>
          <w:tcPr>
            <w:tcW w:w="1180" w:type="dxa"/>
            <w:vAlign w:val="bottom"/>
          </w:tcPr>
          <w:p>
            <w:pPr>
              <w:jc w:val="right"/>
              <w:ind w:right="64"/>
              <w:spacing w:after="0"/>
              <w:rPr>
                <w:sz w:val="20"/>
                <w:szCs w:val="20"/>
                <w:color w:val="auto"/>
              </w:rPr>
            </w:pPr>
            <w:r>
              <w:rPr>
                <w:rFonts w:ascii="Arial" w:cs="Arial" w:eastAsia="Arial" w:hAnsi="Arial"/>
                <w:sz w:val="15"/>
                <w:szCs w:val="15"/>
                <w:color w:val="auto"/>
              </w:rPr>
              <w:t>1,866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ind w:right="64"/>
              <w:spacing w:after="0"/>
              <w:rPr>
                <w:sz w:val="20"/>
                <w:szCs w:val="20"/>
                <w:color w:val="auto"/>
              </w:rPr>
            </w:pPr>
            <w:r>
              <w:rPr>
                <w:rFonts w:ascii="Arial" w:cs="Arial" w:eastAsia="Arial" w:hAnsi="Arial"/>
                <w:sz w:val="15"/>
                <w:szCs w:val="15"/>
                <w:color w:val="auto"/>
              </w:rPr>
              <w:t>—</w:t>
            </w:r>
          </w:p>
        </w:tc>
      </w:tr>
      <w:tr>
        <w:trPr>
          <w:trHeight w:val="220"/>
        </w:trPr>
        <w:tc>
          <w:tcPr>
            <w:tcW w:w="5340" w:type="dxa"/>
            <w:vAlign w:val="bottom"/>
            <w:shd w:val="clear" w:color="auto" w:fill="CCEEFF"/>
          </w:tcPr>
          <w:p>
            <w:pPr>
              <w:ind w:left="220"/>
              <w:spacing w:after="0"/>
              <w:rPr>
                <w:sz w:val="20"/>
                <w:szCs w:val="20"/>
                <w:color w:val="auto"/>
              </w:rPr>
            </w:pPr>
            <w:r>
              <w:rPr>
                <w:rFonts w:ascii="Arial" w:cs="Arial" w:eastAsia="Arial" w:hAnsi="Arial"/>
                <w:sz w:val="15"/>
                <w:szCs w:val="15"/>
                <w:color w:val="auto"/>
              </w:rPr>
              <w:t>Income from nonconsolidated affiliates (see Note 6)</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(92)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(479)</w:t>
            </w: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(144)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(867)</w:t>
            </w:r>
          </w:p>
        </w:tc>
      </w:tr>
      <w:tr>
        <w:trPr>
          <w:trHeight w:val="176"/>
        </w:trPr>
        <w:tc>
          <w:tcPr>
            <w:tcW w:w="5340" w:type="dxa"/>
            <w:vAlign w:val="bottom"/>
          </w:tcPr>
          <w:p>
            <w:pPr>
              <w:ind w:left="220"/>
              <w:spacing w:after="0"/>
              <w:rPr>
                <w:sz w:val="20"/>
                <w:szCs w:val="20"/>
                <w:color w:val="auto"/>
              </w:rPr>
            </w:pPr>
            <w:r>
              <w:rPr>
                <w:rFonts w:ascii="Arial" w:cs="Arial" w:eastAsia="Arial" w:hAnsi="Arial"/>
                <w:sz w:val="15"/>
                <w:szCs w:val="15"/>
                <w:color w:val="auto"/>
                <w:w w:val="96"/>
              </w:rPr>
              <w:t>(Gain) / loss on remeasurement of investment in nonconsolidated affiliates (see</w:t>
            </w:r>
          </w:p>
        </w:tc>
        <w:tc>
          <w:tcPr>
            <w:tcW w:w="1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198"/>
        </w:trPr>
        <w:tc>
          <w:tcPr>
            <w:tcW w:w="5340" w:type="dxa"/>
            <w:vAlign w:val="bottom"/>
          </w:tcPr>
          <w:p>
            <w:pPr>
              <w:ind w:left="220"/>
              <w:spacing w:after="0"/>
              <w:rPr>
                <w:sz w:val="20"/>
                <w:szCs w:val="20"/>
                <w:color w:val="auto"/>
              </w:rPr>
            </w:pPr>
            <w:r>
              <w:rPr>
                <w:rFonts w:ascii="Arial" w:cs="Arial" w:eastAsia="Arial" w:hAnsi="Arial"/>
                <w:sz w:val="15"/>
                <w:szCs w:val="15"/>
                <w:color w:val="auto"/>
              </w:rPr>
              <w:t>Note 6)</w:t>
            </w:r>
          </w:p>
        </w:tc>
        <w:tc>
          <w:tcPr>
            <w:tcW w:w="160" w:type="dxa"/>
            <w:vAlign w:val="bottom"/>
          </w:tcPr>
          <w:p>
            <w:pPr>
              <w:spacing w:after="0"/>
              <w:rPr>
                <w:sz w:val="17"/>
                <w:szCs w:val="17"/>
                <w:color w:val="auto"/>
              </w:rPr>
            </w:pPr>
          </w:p>
        </w:tc>
        <w:tc>
          <w:tcPr>
            <w:tcW w:w="1200" w:type="dxa"/>
            <w:vAlign w:val="bottom"/>
          </w:tcPr>
          <w:p>
            <w:pPr>
              <w:jc w:val="right"/>
              <w:ind w:right="24"/>
              <w:spacing w:after="0"/>
              <w:rPr>
                <w:sz w:val="20"/>
                <w:szCs w:val="20"/>
                <w:color w:val="auto"/>
              </w:rPr>
            </w:pPr>
            <w:r>
              <w:rPr>
                <w:rFonts w:ascii="Arial" w:cs="Arial" w:eastAsia="Arial" w:hAnsi="Arial"/>
                <w:sz w:val="15"/>
                <w:szCs w:val="15"/>
                <w:color w:val="auto"/>
              </w:rPr>
              <w:t>(1,132)</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gridSpan w:val="2"/>
          </w:tcPr>
          <w:p>
            <w:pPr>
              <w:jc w:val="right"/>
              <w:ind w:right="38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7"/>
                <w:szCs w:val="17"/>
                <w:color w:val="auto"/>
              </w:rPr>
            </w:pPr>
          </w:p>
        </w:tc>
        <w:tc>
          <w:tcPr>
            <w:tcW w:w="1180" w:type="dxa"/>
            <w:vAlign w:val="bottom"/>
          </w:tcPr>
          <w:p>
            <w:pPr>
              <w:jc w:val="right"/>
              <w:ind w:right="64"/>
              <w:spacing w:after="0"/>
              <w:rPr>
                <w:sz w:val="20"/>
                <w:szCs w:val="20"/>
                <w:color w:val="auto"/>
              </w:rPr>
            </w:pPr>
            <w:r>
              <w:rPr>
                <w:rFonts w:ascii="Arial" w:cs="Arial" w:eastAsia="Arial" w:hAnsi="Arial"/>
                <w:sz w:val="15"/>
                <w:szCs w:val="15"/>
                <w:color w:val="auto"/>
              </w:rPr>
              <w:t>1,059</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jc w:val="right"/>
              <w:ind w:right="64"/>
              <w:spacing w:after="0"/>
              <w:rPr>
                <w:sz w:val="20"/>
                <w:szCs w:val="20"/>
                <w:color w:val="auto"/>
              </w:rPr>
            </w:pPr>
            <w:r>
              <w:rPr>
                <w:rFonts w:ascii="Arial" w:cs="Arial" w:eastAsia="Arial" w:hAnsi="Arial"/>
                <w:sz w:val="15"/>
                <w:szCs w:val="15"/>
                <w:color w:val="auto"/>
              </w:rPr>
              <w:t>—</w:t>
            </w:r>
          </w:p>
        </w:tc>
      </w:tr>
      <w:tr>
        <w:trPr>
          <w:trHeight w:val="220"/>
        </w:trPr>
        <w:tc>
          <w:tcPr>
            <w:tcW w:w="5340" w:type="dxa"/>
            <w:vAlign w:val="bottom"/>
            <w:shd w:val="clear" w:color="auto" w:fill="CCEEFF"/>
          </w:tcPr>
          <w:p>
            <w:pPr>
              <w:ind w:left="220"/>
              <w:spacing w:after="0"/>
              <w:rPr>
                <w:sz w:val="20"/>
                <w:szCs w:val="20"/>
                <w:color w:val="auto"/>
              </w:rPr>
            </w:pPr>
            <w:r>
              <w:rPr>
                <w:rFonts w:ascii="Arial" w:cs="Arial" w:eastAsia="Arial" w:hAnsi="Arial"/>
                <w:sz w:val="15"/>
                <w:szCs w:val="15"/>
                <w:color w:val="auto"/>
              </w:rPr>
              <w:t>Current tax expense (see Note 12)</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119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rPr>
              <w:t>272</w:t>
            </w: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569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486</w:t>
            </w:r>
          </w:p>
        </w:tc>
      </w:tr>
      <w:tr>
        <w:trPr>
          <w:trHeight w:val="212"/>
        </w:trPr>
        <w:tc>
          <w:tcPr>
            <w:tcW w:w="5340" w:type="dxa"/>
            <w:vAlign w:val="bottom"/>
          </w:tcPr>
          <w:p>
            <w:pPr>
              <w:ind w:left="220"/>
              <w:spacing w:after="0"/>
              <w:rPr>
                <w:sz w:val="20"/>
                <w:szCs w:val="20"/>
                <w:color w:val="auto"/>
              </w:rPr>
            </w:pPr>
            <w:r>
              <w:rPr>
                <w:rFonts w:ascii="Arial" w:cs="Arial" w:eastAsia="Arial" w:hAnsi="Arial"/>
                <w:sz w:val="15"/>
                <w:szCs w:val="15"/>
                <w:color w:val="auto"/>
              </w:rPr>
              <w:t>Deferred tax benefit (see Note 12)</w:t>
            </w:r>
          </w:p>
        </w:tc>
        <w:tc>
          <w:tcPr>
            <w:tcW w:w="160" w:type="dxa"/>
            <w:vAlign w:val="bottom"/>
          </w:tcPr>
          <w:p>
            <w:pPr>
              <w:spacing w:after="0"/>
              <w:rPr>
                <w:sz w:val="18"/>
                <w:szCs w:val="18"/>
                <w:color w:val="auto"/>
              </w:rPr>
            </w:pPr>
          </w:p>
        </w:tc>
        <w:tc>
          <w:tcPr>
            <w:tcW w:w="1200" w:type="dxa"/>
            <w:vAlign w:val="bottom"/>
          </w:tcPr>
          <w:p>
            <w:pPr>
              <w:jc w:val="right"/>
              <w:ind w:right="24"/>
              <w:spacing w:after="0"/>
              <w:rPr>
                <w:sz w:val="20"/>
                <w:szCs w:val="20"/>
                <w:color w:val="auto"/>
              </w:rPr>
            </w:pPr>
            <w:r>
              <w:rPr>
                <w:rFonts w:ascii="Arial" w:cs="Arial" w:eastAsia="Arial" w:hAnsi="Arial"/>
                <w:sz w:val="15"/>
                <w:szCs w:val="15"/>
                <w:color w:val="auto"/>
              </w:rPr>
              <w:t>(112)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ind w:right="44"/>
              <w:spacing w:after="0"/>
              <w:rPr>
                <w:sz w:val="20"/>
                <w:szCs w:val="20"/>
                <w:color w:val="auto"/>
              </w:rPr>
            </w:pPr>
            <w:r>
              <w:rPr>
                <w:rFonts w:ascii="Arial" w:cs="Arial" w:eastAsia="Arial" w:hAnsi="Arial"/>
                <w:sz w:val="15"/>
                <w:szCs w:val="15"/>
                <w:color w:val="auto"/>
              </w:rPr>
              <w:t>(96)</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right"/>
              <w:ind w:right="24"/>
              <w:spacing w:after="0"/>
              <w:rPr>
                <w:sz w:val="20"/>
                <w:szCs w:val="20"/>
                <w:color w:val="auto"/>
              </w:rPr>
            </w:pPr>
            <w:r>
              <w:rPr>
                <w:rFonts w:ascii="Arial" w:cs="Arial" w:eastAsia="Arial" w:hAnsi="Arial"/>
                <w:sz w:val="15"/>
                <w:szCs w:val="15"/>
                <w:color w:val="auto"/>
              </w:rPr>
              <w:t>(242)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ind w:right="24"/>
              <w:spacing w:after="0"/>
              <w:rPr>
                <w:sz w:val="20"/>
                <w:szCs w:val="20"/>
                <w:color w:val="auto"/>
              </w:rPr>
            </w:pPr>
            <w:r>
              <w:rPr>
                <w:rFonts w:ascii="Arial" w:cs="Arial" w:eastAsia="Arial" w:hAnsi="Arial"/>
                <w:sz w:val="15"/>
                <w:szCs w:val="15"/>
                <w:color w:val="auto"/>
              </w:rPr>
              <w:t>(313)</w:t>
            </w:r>
          </w:p>
        </w:tc>
      </w:tr>
      <w:tr>
        <w:trPr>
          <w:trHeight w:val="220"/>
        </w:trPr>
        <w:tc>
          <w:tcPr>
            <w:tcW w:w="5340" w:type="dxa"/>
            <w:vAlign w:val="bottom"/>
            <w:shd w:val="clear" w:color="auto" w:fill="CCEEFF"/>
          </w:tcPr>
          <w:p>
            <w:pPr>
              <w:ind w:left="220"/>
              <w:spacing w:after="0"/>
              <w:rPr>
                <w:sz w:val="20"/>
                <w:szCs w:val="20"/>
                <w:color w:val="auto"/>
              </w:rPr>
            </w:pPr>
            <w:r>
              <w:rPr>
                <w:rFonts w:ascii="Arial" w:cs="Arial" w:eastAsia="Arial" w:hAnsi="Arial"/>
                <w:sz w:val="15"/>
                <w:szCs w:val="15"/>
                <w:color w:val="auto"/>
              </w:rPr>
              <w:t>Preferred return to preferred OP units / equity</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1,584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rPr>
              <w:t>1,718</w:t>
            </w: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3,154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3,041</w:t>
            </w:r>
          </w:p>
        </w:tc>
      </w:tr>
      <w:tr>
        <w:trPr>
          <w:trHeight w:val="212"/>
        </w:trPr>
        <w:tc>
          <w:tcPr>
            <w:tcW w:w="5340" w:type="dxa"/>
            <w:vAlign w:val="bottom"/>
          </w:tcPr>
          <w:p>
            <w:pPr>
              <w:ind w:left="220"/>
              <w:spacing w:after="0"/>
              <w:rPr>
                <w:sz w:val="20"/>
                <w:szCs w:val="20"/>
                <w:color w:val="auto"/>
              </w:rPr>
            </w:pPr>
            <w:r>
              <w:rPr>
                <w:rFonts w:ascii="Arial" w:cs="Arial" w:eastAsia="Arial" w:hAnsi="Arial"/>
                <w:sz w:val="15"/>
                <w:szCs w:val="15"/>
                <w:color w:val="auto"/>
              </w:rPr>
              <w:t>Income attributable to noncontrolling interests</w:t>
            </w:r>
          </w:p>
        </w:tc>
        <w:tc>
          <w:tcPr>
            <w:tcW w:w="160" w:type="dxa"/>
            <w:vAlign w:val="bottom"/>
          </w:tcPr>
          <w:p>
            <w:pPr>
              <w:spacing w:after="0"/>
              <w:rPr>
                <w:sz w:val="18"/>
                <w:szCs w:val="18"/>
                <w:color w:val="auto"/>
              </w:rPr>
            </w:pPr>
          </w:p>
        </w:tc>
        <w:tc>
          <w:tcPr>
            <w:tcW w:w="1200" w:type="dxa"/>
            <w:vAlign w:val="bottom"/>
          </w:tcPr>
          <w:p>
            <w:pPr>
              <w:jc w:val="right"/>
              <w:ind w:right="64"/>
              <w:spacing w:after="0"/>
              <w:rPr>
                <w:sz w:val="20"/>
                <w:szCs w:val="20"/>
                <w:color w:val="auto"/>
              </w:rPr>
            </w:pPr>
            <w:r>
              <w:rPr>
                <w:rFonts w:ascii="Arial" w:cs="Arial" w:eastAsia="Arial" w:hAnsi="Arial"/>
                <w:sz w:val="15"/>
                <w:szCs w:val="15"/>
                <w:color w:val="auto"/>
              </w:rPr>
              <w:t>2,861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ind w:right="84"/>
              <w:spacing w:after="0"/>
              <w:rPr>
                <w:sz w:val="20"/>
                <w:szCs w:val="20"/>
                <w:color w:val="auto"/>
              </w:rPr>
            </w:pPr>
            <w:r>
              <w:rPr>
                <w:rFonts w:ascii="Arial" w:cs="Arial" w:eastAsia="Arial" w:hAnsi="Arial"/>
                <w:sz w:val="15"/>
                <w:szCs w:val="15"/>
                <w:color w:val="auto"/>
              </w:rPr>
              <w:t>2,585</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right"/>
              <w:ind w:right="64"/>
              <w:spacing w:after="0"/>
              <w:rPr>
                <w:sz w:val="20"/>
                <w:szCs w:val="20"/>
                <w:color w:val="auto"/>
              </w:rPr>
            </w:pPr>
            <w:r>
              <w:rPr>
                <w:rFonts w:ascii="Arial" w:cs="Arial" w:eastAsia="Arial" w:hAnsi="Arial"/>
                <w:sz w:val="15"/>
                <w:szCs w:val="15"/>
                <w:color w:val="auto"/>
              </w:rPr>
              <w:t>1,899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ind w:right="64"/>
              <w:spacing w:after="0"/>
              <w:rPr>
                <w:sz w:val="20"/>
                <w:szCs w:val="20"/>
                <w:color w:val="auto"/>
              </w:rPr>
            </w:pPr>
            <w:r>
              <w:rPr>
                <w:rFonts w:ascii="Arial" w:cs="Arial" w:eastAsia="Arial" w:hAnsi="Arial"/>
                <w:sz w:val="15"/>
                <w:szCs w:val="15"/>
                <w:color w:val="auto"/>
              </w:rPr>
              <w:t>3,626</w:t>
            </w:r>
          </w:p>
        </w:tc>
      </w:tr>
      <w:tr>
        <w:trPr>
          <w:trHeight w:val="216"/>
        </w:trPr>
        <w:tc>
          <w:tcPr>
            <w:tcW w:w="5340" w:type="dxa"/>
            <w:vAlign w:val="bottom"/>
            <w:shd w:val="clear" w:color="auto" w:fill="CCEEFF"/>
          </w:tcPr>
          <w:p>
            <w:pPr>
              <w:ind w:left="220"/>
              <w:spacing w:after="0"/>
              <w:rPr>
                <w:sz w:val="20"/>
                <w:szCs w:val="20"/>
                <w:color w:val="auto"/>
              </w:rPr>
            </w:pPr>
            <w:r>
              <w:rPr>
                <w:rFonts w:ascii="Arial" w:cs="Arial" w:eastAsia="Arial" w:hAnsi="Arial"/>
                <w:sz w:val="15"/>
                <w:szCs w:val="15"/>
                <w:color w:val="auto"/>
              </w:rPr>
              <w:t>Preferred stock distribution</w:t>
            </w: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rPr>
              <w:t>428</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860</w:t>
            </w:r>
          </w:p>
        </w:tc>
      </w:tr>
      <w:tr>
        <w:trPr>
          <w:trHeight w:val="214"/>
        </w:trPr>
        <w:tc>
          <w:tcPr>
            <w:tcW w:w="5340" w:type="dxa"/>
            <w:vAlign w:val="bottom"/>
          </w:tcPr>
          <w:p>
            <w:pPr>
              <w:ind w:left="220"/>
              <w:spacing w:after="0"/>
              <w:rPr>
                <w:sz w:val="20"/>
                <w:szCs w:val="20"/>
                <w:color w:val="auto"/>
              </w:rPr>
            </w:pPr>
            <w:r>
              <w:rPr>
                <w:rFonts w:ascii="Arial" w:cs="Arial" w:eastAsia="Arial" w:hAnsi="Arial"/>
                <w:sz w:val="15"/>
                <w:szCs w:val="15"/>
                <w:b w:val="1"/>
                <w:bCs w:val="1"/>
                <w:color w:val="auto"/>
              </w:rPr>
              <w:t>NOI / Gross Profit</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200" w:type="dxa"/>
            <w:vAlign w:val="bottom"/>
            <w:tcBorders>
              <w:top w:val="single" w:sz="8" w:color="auto"/>
              <w:bottom w:val="single" w:sz="8" w:color="auto"/>
            </w:tcBorders>
          </w:tcPr>
          <w:p>
            <w:pPr>
              <w:jc w:val="right"/>
              <w:ind w:right="64"/>
              <w:spacing w:after="0"/>
              <w:rPr>
                <w:sz w:val="20"/>
                <w:szCs w:val="20"/>
                <w:color w:val="auto"/>
              </w:rPr>
            </w:pPr>
            <w:r>
              <w:rPr>
                <w:rFonts w:ascii="Arial" w:cs="Arial" w:eastAsia="Arial" w:hAnsi="Arial"/>
                <w:sz w:val="15"/>
                <w:szCs w:val="15"/>
                <w:color w:val="auto"/>
              </w:rPr>
              <w:t>172,338</w:t>
            </w:r>
          </w:p>
        </w:tc>
        <w:tc>
          <w:tcPr>
            <w:tcW w:w="12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ind w:right="4"/>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bottom w:val="single" w:sz="8" w:color="auto"/>
            </w:tcBorders>
          </w:tcPr>
          <w:p>
            <w:pPr>
              <w:jc w:val="right"/>
              <w:ind w:right="84"/>
              <w:spacing w:after="0"/>
              <w:rPr>
                <w:sz w:val="20"/>
                <w:szCs w:val="20"/>
                <w:color w:val="auto"/>
              </w:rPr>
            </w:pPr>
            <w:r>
              <w:rPr>
                <w:rFonts w:ascii="Arial" w:cs="Arial" w:eastAsia="Arial" w:hAnsi="Arial"/>
                <w:sz w:val="15"/>
                <w:szCs w:val="15"/>
                <w:color w:val="auto"/>
              </w:rPr>
              <w:t>171,312</w:t>
            </w:r>
          </w:p>
        </w:tc>
        <w:tc>
          <w:tcPr>
            <w:tcW w:w="22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4"/>
              <w:spacing w:after="0"/>
              <w:rPr>
                <w:sz w:val="20"/>
                <w:szCs w:val="20"/>
                <w:color w:val="auto"/>
              </w:rPr>
            </w:pPr>
            <w:r>
              <w:rPr>
                <w:rFonts w:ascii="Arial" w:cs="Arial" w:eastAsia="Arial" w:hAnsi="Arial"/>
                <w:sz w:val="15"/>
                <w:szCs w:val="15"/>
                <w:color w:val="auto"/>
                <w:w w:val="95"/>
              </w:rPr>
              <w:t>$</w:t>
            </w:r>
          </w:p>
        </w:tc>
        <w:tc>
          <w:tcPr>
            <w:tcW w:w="1180" w:type="dxa"/>
            <w:vAlign w:val="bottom"/>
            <w:tcBorders>
              <w:top w:val="single" w:sz="8" w:color="auto"/>
              <w:bottom w:val="single" w:sz="8" w:color="auto"/>
            </w:tcBorders>
          </w:tcPr>
          <w:p>
            <w:pPr>
              <w:jc w:val="right"/>
              <w:ind w:right="64"/>
              <w:spacing w:after="0"/>
              <w:rPr>
                <w:sz w:val="20"/>
                <w:szCs w:val="20"/>
                <w:color w:val="auto"/>
              </w:rPr>
            </w:pPr>
            <w:r>
              <w:rPr>
                <w:rFonts w:ascii="Arial" w:cs="Arial" w:eastAsia="Arial" w:hAnsi="Arial"/>
                <w:sz w:val="15"/>
                <w:szCs w:val="15"/>
                <w:color w:val="auto"/>
              </w:rPr>
              <w:t>352,136</w:t>
            </w:r>
          </w:p>
        </w:tc>
        <w:tc>
          <w:tcPr>
            <w:tcW w:w="12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200" w:type="dxa"/>
            <w:vAlign w:val="bottom"/>
            <w:tcBorders>
              <w:top w:val="single" w:sz="8" w:color="auto"/>
              <w:bottom w:val="single" w:sz="8" w:color="auto"/>
            </w:tcBorders>
          </w:tcPr>
          <w:p>
            <w:pPr>
              <w:jc w:val="right"/>
              <w:ind w:right="64"/>
              <w:spacing w:after="0"/>
              <w:rPr>
                <w:sz w:val="20"/>
                <w:szCs w:val="20"/>
                <w:color w:val="auto"/>
              </w:rPr>
            </w:pPr>
            <w:r>
              <w:rPr>
                <w:rFonts w:ascii="Arial" w:cs="Arial" w:eastAsia="Arial" w:hAnsi="Arial"/>
                <w:sz w:val="15"/>
                <w:szCs w:val="15"/>
                <w:color w:val="auto"/>
              </w:rPr>
              <w:t>335,713</w:t>
            </w:r>
          </w:p>
        </w:tc>
      </w:tr>
      <w:tr>
        <w:trPr>
          <w:trHeight w:val="20"/>
        </w:trPr>
        <w:tc>
          <w:tcPr>
            <w:tcW w:w="5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534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680" w:type="dxa"/>
            <w:vAlign w:val="bottom"/>
            <w:tcBorders>
              <w:bottom w:val="single" w:sz="8" w:color="auto"/>
            </w:tcBorders>
            <w:gridSpan w:val="4"/>
          </w:tcPr>
          <w:p>
            <w:pPr>
              <w:jc w:val="right"/>
              <w:ind w:right="644"/>
              <w:spacing w:after="0"/>
              <w:rPr>
                <w:sz w:val="20"/>
                <w:szCs w:val="20"/>
                <w:color w:val="auto"/>
              </w:rPr>
            </w:pPr>
            <w:r>
              <w:rPr>
                <w:rFonts w:ascii="Arial" w:cs="Arial" w:eastAsia="Arial" w:hAnsi="Arial"/>
                <w:sz w:val="15"/>
                <w:szCs w:val="15"/>
                <w:b w:val="1"/>
                <w:bCs w:val="1"/>
                <w:color w:val="auto"/>
              </w:rPr>
              <w:t>Three Months Ended</w:t>
            </w:r>
          </w:p>
        </w:tc>
        <w:tc>
          <w:tcPr>
            <w:tcW w:w="2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660" w:type="dxa"/>
            <w:vAlign w:val="bottom"/>
            <w:tcBorders>
              <w:bottom w:val="single" w:sz="8" w:color="auto"/>
            </w:tcBorders>
            <w:gridSpan w:val="4"/>
          </w:tcPr>
          <w:p>
            <w:pPr>
              <w:jc w:val="right"/>
              <w:ind w:right="744"/>
              <w:spacing w:after="0"/>
              <w:rPr>
                <w:sz w:val="20"/>
                <w:szCs w:val="20"/>
                <w:color w:val="auto"/>
              </w:rPr>
            </w:pPr>
            <w:r>
              <w:rPr>
                <w:rFonts w:ascii="Arial" w:cs="Arial" w:eastAsia="Arial" w:hAnsi="Arial"/>
                <w:sz w:val="15"/>
                <w:szCs w:val="15"/>
                <w:b w:val="1"/>
                <w:bCs w:val="1"/>
                <w:color w:val="auto"/>
              </w:rPr>
              <w:t>Six Months Ended</w:t>
            </w:r>
          </w:p>
        </w:tc>
      </w:tr>
      <w:tr>
        <w:trPr>
          <w:trHeight w:val="210"/>
        </w:trPr>
        <w:tc>
          <w:tcPr>
            <w:tcW w:w="5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ind w:left="80"/>
              <w:spacing w:after="0"/>
              <w:rPr>
                <w:sz w:val="20"/>
                <w:szCs w:val="20"/>
                <w:color w:val="auto"/>
              </w:rPr>
            </w:pPr>
            <w:r>
              <w:rPr>
                <w:rFonts w:ascii="Arial" w:cs="Arial" w:eastAsia="Arial" w:hAnsi="Arial"/>
                <w:sz w:val="15"/>
                <w:szCs w:val="15"/>
                <w:b w:val="1"/>
                <w:bCs w:val="1"/>
                <w:color w:val="auto"/>
              </w:rPr>
              <w:t>June 30, 2020</w:t>
            </w:r>
          </w:p>
        </w:tc>
        <w:tc>
          <w:tcPr>
            <w:tcW w:w="160" w:type="dxa"/>
            <w:vAlign w:val="bottom"/>
          </w:tcPr>
          <w:p>
            <w:pPr>
              <w:spacing w:after="0"/>
              <w:rPr>
                <w:sz w:val="18"/>
                <w:szCs w:val="18"/>
                <w:color w:val="auto"/>
              </w:rPr>
            </w:pPr>
          </w:p>
        </w:tc>
        <w:tc>
          <w:tcPr>
            <w:tcW w:w="1420" w:type="dxa"/>
            <w:vAlign w:val="bottom"/>
            <w:gridSpan w:val="2"/>
          </w:tcPr>
          <w:p>
            <w:pPr>
              <w:ind w:left="60"/>
              <w:spacing w:after="0"/>
              <w:rPr>
                <w:sz w:val="20"/>
                <w:szCs w:val="20"/>
                <w:color w:val="auto"/>
              </w:rPr>
            </w:pPr>
            <w:r>
              <w:rPr>
                <w:rFonts w:ascii="Arial" w:cs="Arial" w:eastAsia="Arial" w:hAnsi="Arial"/>
                <w:sz w:val="15"/>
                <w:szCs w:val="15"/>
                <w:b w:val="1"/>
                <w:bCs w:val="1"/>
                <w:color w:val="auto"/>
              </w:rPr>
              <w:t>June 30, 2019</w:t>
            </w:r>
          </w:p>
        </w:tc>
        <w:tc>
          <w:tcPr>
            <w:tcW w:w="180" w:type="dxa"/>
            <w:vAlign w:val="bottom"/>
          </w:tcPr>
          <w:p>
            <w:pPr>
              <w:spacing w:after="0"/>
              <w:rPr>
                <w:sz w:val="18"/>
                <w:szCs w:val="18"/>
                <w:color w:val="auto"/>
              </w:rPr>
            </w:pPr>
          </w:p>
        </w:tc>
        <w:tc>
          <w:tcPr>
            <w:tcW w:w="1300" w:type="dxa"/>
            <w:vAlign w:val="bottom"/>
            <w:gridSpan w:val="2"/>
          </w:tcPr>
          <w:p>
            <w:pPr>
              <w:ind w:left="60"/>
              <w:spacing w:after="0"/>
              <w:rPr>
                <w:sz w:val="20"/>
                <w:szCs w:val="20"/>
                <w:color w:val="auto"/>
              </w:rPr>
            </w:pPr>
            <w:r>
              <w:rPr>
                <w:rFonts w:ascii="Arial" w:cs="Arial" w:eastAsia="Arial" w:hAnsi="Arial"/>
                <w:sz w:val="15"/>
                <w:szCs w:val="15"/>
                <w:b w:val="1"/>
                <w:bCs w:val="1"/>
                <w:color w:val="auto"/>
              </w:rPr>
              <w:t>June 30, 2020</w:t>
            </w:r>
          </w:p>
        </w:tc>
        <w:tc>
          <w:tcPr>
            <w:tcW w:w="160" w:type="dxa"/>
            <w:vAlign w:val="bottom"/>
          </w:tcPr>
          <w:p>
            <w:pPr>
              <w:spacing w:after="0"/>
              <w:rPr>
                <w:sz w:val="18"/>
                <w:szCs w:val="18"/>
                <w:color w:val="auto"/>
              </w:rPr>
            </w:pPr>
          </w:p>
        </w:tc>
        <w:tc>
          <w:tcPr>
            <w:tcW w:w="1200" w:type="dxa"/>
            <w:vAlign w:val="bottom"/>
          </w:tcPr>
          <w:p>
            <w:pPr>
              <w:jc w:val="right"/>
              <w:ind w:right="164"/>
              <w:spacing w:after="0"/>
              <w:rPr>
                <w:sz w:val="20"/>
                <w:szCs w:val="20"/>
                <w:color w:val="auto"/>
              </w:rPr>
            </w:pPr>
            <w:r>
              <w:rPr>
                <w:rFonts w:ascii="Arial" w:cs="Arial" w:eastAsia="Arial" w:hAnsi="Arial"/>
                <w:sz w:val="15"/>
                <w:szCs w:val="15"/>
                <w:b w:val="1"/>
                <w:bCs w:val="1"/>
                <w:color w:val="auto"/>
                <w:w w:val="96"/>
              </w:rPr>
              <w:t>June 30, 2019</w:t>
            </w:r>
          </w:p>
        </w:tc>
      </w:tr>
      <w:tr>
        <w:trPr>
          <w:trHeight w:val="213"/>
        </w:trPr>
        <w:tc>
          <w:tcPr>
            <w:tcW w:w="53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Real Property NOI</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200" w:type="dxa"/>
            <w:vAlign w:val="bottom"/>
            <w:tcBorders>
              <w:top w:val="single" w:sz="8" w:color="auto"/>
            </w:tcBorders>
            <w:shd w:val="clear" w:color="auto" w:fill="CCEEFF"/>
          </w:tcPr>
          <w:p>
            <w:pPr>
              <w:jc w:val="right"/>
              <w:ind w:right="64"/>
              <w:spacing w:after="0"/>
              <w:rPr>
                <w:sz w:val="20"/>
                <w:szCs w:val="20"/>
                <w:color w:val="auto"/>
              </w:rPr>
            </w:pPr>
            <w:r>
              <w:rPr>
                <w:rFonts w:ascii="Arial" w:cs="Arial" w:eastAsia="Arial" w:hAnsi="Arial"/>
                <w:sz w:val="15"/>
                <w:szCs w:val="15"/>
                <w:color w:val="auto"/>
              </w:rPr>
              <w:t>148,557</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tcBorders>
            <w:shd w:val="clear" w:color="auto" w:fill="CCEEFF"/>
          </w:tcPr>
          <w:p>
            <w:pPr>
              <w:jc w:val="right"/>
              <w:ind w:right="84"/>
              <w:spacing w:after="0"/>
              <w:rPr>
                <w:sz w:val="20"/>
                <w:szCs w:val="20"/>
                <w:color w:val="auto"/>
              </w:rPr>
            </w:pPr>
            <w:r>
              <w:rPr>
                <w:rFonts w:ascii="Arial" w:cs="Arial" w:eastAsia="Arial" w:hAnsi="Arial"/>
                <w:sz w:val="15"/>
                <w:szCs w:val="15"/>
                <w:color w:val="auto"/>
              </w:rPr>
              <w:t>142,030</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w w:val="95"/>
              </w:rPr>
              <w:t>$</w:t>
            </w:r>
          </w:p>
        </w:tc>
        <w:tc>
          <w:tcPr>
            <w:tcW w:w="1180" w:type="dxa"/>
            <w:vAlign w:val="bottom"/>
            <w:tcBorders>
              <w:top w:val="single" w:sz="8" w:color="auto"/>
            </w:tcBorders>
            <w:shd w:val="clear" w:color="auto" w:fill="CCEEFF"/>
          </w:tcPr>
          <w:p>
            <w:pPr>
              <w:jc w:val="right"/>
              <w:ind w:right="64"/>
              <w:spacing w:after="0"/>
              <w:rPr>
                <w:sz w:val="20"/>
                <w:szCs w:val="20"/>
                <w:color w:val="auto"/>
              </w:rPr>
            </w:pPr>
            <w:r>
              <w:rPr>
                <w:rFonts w:ascii="Arial" w:cs="Arial" w:eastAsia="Arial" w:hAnsi="Arial"/>
                <w:sz w:val="15"/>
                <w:szCs w:val="15"/>
                <w:color w:val="auto"/>
              </w:rPr>
              <w:t>305,109</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200" w:type="dxa"/>
            <w:vAlign w:val="bottom"/>
            <w:tcBorders>
              <w:top w:val="single" w:sz="8" w:color="auto"/>
            </w:tcBorders>
            <w:shd w:val="clear" w:color="auto" w:fill="CCEEFF"/>
          </w:tcPr>
          <w:p>
            <w:pPr>
              <w:jc w:val="right"/>
              <w:ind w:right="64"/>
              <w:spacing w:after="0"/>
              <w:rPr>
                <w:sz w:val="20"/>
                <w:szCs w:val="20"/>
                <w:color w:val="auto"/>
              </w:rPr>
            </w:pPr>
            <w:r>
              <w:rPr>
                <w:rFonts w:ascii="Arial" w:cs="Arial" w:eastAsia="Arial" w:hAnsi="Arial"/>
                <w:sz w:val="15"/>
                <w:szCs w:val="15"/>
                <w:color w:val="auto"/>
              </w:rPr>
              <w:t>283,874</w:t>
            </w:r>
          </w:p>
        </w:tc>
      </w:tr>
      <w:tr>
        <w:trPr>
          <w:trHeight w:val="212"/>
        </w:trPr>
        <w:tc>
          <w:tcPr>
            <w:tcW w:w="5340" w:type="dxa"/>
            <w:vAlign w:val="bottom"/>
          </w:tcPr>
          <w:p>
            <w:pPr>
              <w:ind w:left="20"/>
              <w:spacing w:after="0"/>
              <w:rPr>
                <w:sz w:val="20"/>
                <w:szCs w:val="20"/>
                <w:color w:val="auto"/>
              </w:rPr>
            </w:pPr>
            <w:r>
              <w:rPr>
                <w:rFonts w:ascii="Arial" w:cs="Arial" w:eastAsia="Arial" w:hAnsi="Arial"/>
                <w:sz w:val="15"/>
                <w:szCs w:val="15"/>
                <w:color w:val="auto"/>
              </w:rPr>
              <w:t>Home Sales NOI / Gross Profit</w:t>
            </w:r>
          </w:p>
        </w:tc>
        <w:tc>
          <w:tcPr>
            <w:tcW w:w="160" w:type="dxa"/>
            <w:vAlign w:val="bottom"/>
          </w:tcPr>
          <w:p>
            <w:pPr>
              <w:spacing w:after="0"/>
              <w:rPr>
                <w:sz w:val="18"/>
                <w:szCs w:val="18"/>
                <w:color w:val="auto"/>
              </w:rPr>
            </w:pPr>
          </w:p>
        </w:tc>
        <w:tc>
          <w:tcPr>
            <w:tcW w:w="1200" w:type="dxa"/>
            <w:vAlign w:val="bottom"/>
          </w:tcPr>
          <w:p>
            <w:pPr>
              <w:jc w:val="right"/>
              <w:ind w:right="64"/>
              <w:spacing w:after="0"/>
              <w:rPr>
                <w:sz w:val="20"/>
                <w:szCs w:val="20"/>
                <w:color w:val="auto"/>
              </w:rPr>
            </w:pPr>
            <w:r>
              <w:rPr>
                <w:rFonts w:ascii="Arial" w:cs="Arial" w:eastAsia="Arial" w:hAnsi="Arial"/>
                <w:sz w:val="15"/>
                <w:szCs w:val="15"/>
                <w:color w:val="auto"/>
              </w:rPr>
              <w:t>9,349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ind w:right="84"/>
              <w:spacing w:after="0"/>
              <w:rPr>
                <w:sz w:val="20"/>
                <w:szCs w:val="20"/>
                <w:color w:val="auto"/>
              </w:rPr>
            </w:pPr>
            <w:r>
              <w:rPr>
                <w:rFonts w:ascii="Arial" w:cs="Arial" w:eastAsia="Arial" w:hAnsi="Arial"/>
                <w:sz w:val="15"/>
                <w:szCs w:val="15"/>
                <w:color w:val="auto"/>
              </w:rPr>
              <w:t>12,807</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right"/>
              <w:ind w:right="64"/>
              <w:spacing w:after="0"/>
              <w:rPr>
                <w:sz w:val="20"/>
                <w:szCs w:val="20"/>
                <w:color w:val="auto"/>
              </w:rPr>
            </w:pPr>
            <w:r>
              <w:rPr>
                <w:rFonts w:ascii="Arial" w:cs="Arial" w:eastAsia="Arial" w:hAnsi="Arial"/>
                <w:sz w:val="15"/>
                <w:szCs w:val="15"/>
                <w:color w:val="auto"/>
              </w:rPr>
              <w:t>19,904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ind w:right="64"/>
              <w:spacing w:after="0"/>
              <w:rPr>
                <w:sz w:val="20"/>
                <w:szCs w:val="20"/>
                <w:color w:val="auto"/>
              </w:rPr>
            </w:pPr>
            <w:r>
              <w:rPr>
                <w:rFonts w:ascii="Arial" w:cs="Arial" w:eastAsia="Arial" w:hAnsi="Arial"/>
                <w:sz w:val="15"/>
                <w:szCs w:val="15"/>
                <w:color w:val="auto"/>
              </w:rPr>
              <w:t>23,148</w:t>
            </w:r>
          </w:p>
        </w:tc>
      </w:tr>
      <w:tr>
        <w:trPr>
          <w:trHeight w:val="220"/>
        </w:trPr>
        <w:tc>
          <w:tcPr>
            <w:tcW w:w="5340" w:type="dxa"/>
            <w:vAlign w:val="bottom"/>
            <w:shd w:val="clear" w:color="auto" w:fill="CCEEFF"/>
          </w:tcPr>
          <w:p>
            <w:pPr>
              <w:ind w:left="20"/>
              <w:spacing w:after="0"/>
              <w:rPr>
                <w:sz w:val="20"/>
                <w:szCs w:val="20"/>
                <w:color w:val="auto"/>
              </w:rPr>
            </w:pPr>
            <w:r>
              <w:rPr>
                <w:rFonts w:ascii="Arial" w:cs="Arial" w:eastAsia="Arial" w:hAnsi="Arial"/>
                <w:sz w:val="15"/>
                <w:szCs w:val="15"/>
                <w:color w:val="auto"/>
              </w:rPr>
              <w:t>Rental Program NOI</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28,874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rPr>
              <w:t>26,413</w:t>
            </w: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56,859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52,430</w:t>
            </w:r>
          </w:p>
        </w:tc>
      </w:tr>
      <w:tr>
        <w:trPr>
          <w:trHeight w:val="212"/>
        </w:trPr>
        <w:tc>
          <w:tcPr>
            <w:tcW w:w="5340" w:type="dxa"/>
            <w:vAlign w:val="bottom"/>
          </w:tcPr>
          <w:p>
            <w:pPr>
              <w:ind w:left="20"/>
              <w:spacing w:after="0"/>
              <w:rPr>
                <w:sz w:val="20"/>
                <w:szCs w:val="20"/>
                <w:color w:val="auto"/>
              </w:rPr>
            </w:pPr>
            <w:r>
              <w:rPr>
                <w:rFonts w:ascii="Arial" w:cs="Arial" w:eastAsia="Arial" w:hAnsi="Arial"/>
                <w:sz w:val="15"/>
                <w:szCs w:val="15"/>
                <w:color w:val="auto"/>
              </w:rPr>
              <w:t>Ancillary NOI / Gross Profit</w:t>
            </w:r>
          </w:p>
        </w:tc>
        <w:tc>
          <w:tcPr>
            <w:tcW w:w="160" w:type="dxa"/>
            <w:vAlign w:val="bottom"/>
          </w:tcPr>
          <w:p>
            <w:pPr>
              <w:spacing w:after="0"/>
              <w:rPr>
                <w:sz w:val="18"/>
                <w:szCs w:val="18"/>
                <w:color w:val="auto"/>
              </w:rPr>
            </w:pPr>
          </w:p>
        </w:tc>
        <w:tc>
          <w:tcPr>
            <w:tcW w:w="1200" w:type="dxa"/>
            <w:vAlign w:val="bottom"/>
          </w:tcPr>
          <w:p>
            <w:pPr>
              <w:jc w:val="right"/>
              <w:ind w:right="64"/>
              <w:spacing w:after="0"/>
              <w:rPr>
                <w:sz w:val="20"/>
                <w:szCs w:val="20"/>
                <w:color w:val="auto"/>
              </w:rPr>
            </w:pPr>
            <w:r>
              <w:rPr>
                <w:rFonts w:ascii="Arial" w:cs="Arial" w:eastAsia="Arial" w:hAnsi="Arial"/>
                <w:sz w:val="15"/>
                <w:szCs w:val="15"/>
                <w:color w:val="auto"/>
              </w:rPr>
              <w:t>4,149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ind w:right="84"/>
              <w:spacing w:after="0"/>
              <w:rPr>
                <w:sz w:val="20"/>
                <w:szCs w:val="20"/>
                <w:color w:val="auto"/>
              </w:rPr>
            </w:pPr>
            <w:r>
              <w:rPr>
                <w:rFonts w:ascii="Arial" w:cs="Arial" w:eastAsia="Arial" w:hAnsi="Arial"/>
                <w:sz w:val="15"/>
                <w:szCs w:val="15"/>
                <w:color w:val="auto"/>
              </w:rPr>
              <w:t>7,240</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right"/>
              <w:ind w:right="64"/>
              <w:spacing w:after="0"/>
              <w:rPr>
                <w:sz w:val="20"/>
                <w:szCs w:val="20"/>
                <w:color w:val="auto"/>
              </w:rPr>
            </w:pPr>
            <w:r>
              <w:rPr>
                <w:rFonts w:ascii="Arial" w:cs="Arial" w:eastAsia="Arial" w:hAnsi="Arial"/>
                <w:sz w:val="15"/>
                <w:szCs w:val="15"/>
                <w:color w:val="auto"/>
              </w:rPr>
              <w:t>6,862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ind w:right="64"/>
              <w:spacing w:after="0"/>
              <w:rPr>
                <w:sz w:val="20"/>
                <w:szCs w:val="20"/>
                <w:color w:val="auto"/>
              </w:rPr>
            </w:pPr>
            <w:r>
              <w:rPr>
                <w:rFonts w:ascii="Arial" w:cs="Arial" w:eastAsia="Arial" w:hAnsi="Arial"/>
                <w:sz w:val="15"/>
                <w:szCs w:val="15"/>
                <w:color w:val="auto"/>
              </w:rPr>
              <w:t>10,317</w:t>
            </w:r>
          </w:p>
        </w:tc>
      </w:tr>
      <w:tr>
        <w:trPr>
          <w:trHeight w:val="216"/>
        </w:trPr>
        <w:tc>
          <w:tcPr>
            <w:tcW w:w="5340" w:type="dxa"/>
            <w:vAlign w:val="bottom"/>
            <w:shd w:val="clear" w:color="auto" w:fill="CCEEFF"/>
          </w:tcPr>
          <w:p>
            <w:pPr>
              <w:ind w:left="20"/>
              <w:spacing w:after="0"/>
              <w:rPr>
                <w:sz w:val="20"/>
                <w:szCs w:val="20"/>
                <w:color w:val="auto"/>
              </w:rPr>
            </w:pPr>
            <w:r>
              <w:rPr>
                <w:rFonts w:ascii="Arial" w:cs="Arial" w:eastAsia="Arial" w:hAnsi="Arial"/>
                <w:sz w:val="15"/>
                <w:szCs w:val="15"/>
                <w:color w:val="auto"/>
              </w:rPr>
              <w:t xml:space="preserve">Site rent from Rental Program (included in Real Property NOI) </w:t>
            </w:r>
            <w:r>
              <w:rPr>
                <w:rFonts w:ascii="Arial" w:cs="Arial" w:eastAsia="Arial" w:hAnsi="Arial"/>
                <w:sz w:val="9"/>
                <w:szCs w:val="9"/>
                <w:color w:val="auto"/>
              </w:rPr>
              <w:t>(1)</w:t>
            </w:r>
          </w:p>
        </w:tc>
        <w:tc>
          <w:tcPr>
            <w:tcW w:w="1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rPr>
              <w:t>(18,591)</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rPr>
              <w:t>(17,178)</w:t>
            </w:r>
          </w:p>
        </w:tc>
        <w:tc>
          <w:tcPr>
            <w:tcW w:w="2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rPr>
              <w:t>(36,598)</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rPr>
              <w:t>(34,056)</w:t>
            </w:r>
          </w:p>
        </w:tc>
      </w:tr>
      <w:tr>
        <w:trPr>
          <w:trHeight w:val="213"/>
        </w:trPr>
        <w:tc>
          <w:tcPr>
            <w:tcW w:w="5340" w:type="dxa"/>
            <w:vAlign w:val="bottom"/>
          </w:tcPr>
          <w:p>
            <w:pPr>
              <w:ind w:left="20"/>
              <w:spacing w:after="0"/>
              <w:rPr>
                <w:sz w:val="20"/>
                <w:szCs w:val="20"/>
                <w:color w:val="auto"/>
              </w:rPr>
            </w:pPr>
            <w:r>
              <w:rPr>
                <w:rFonts w:ascii="Arial" w:cs="Arial" w:eastAsia="Arial" w:hAnsi="Arial"/>
                <w:sz w:val="15"/>
                <w:szCs w:val="15"/>
                <w:b w:val="1"/>
                <w:bCs w:val="1"/>
                <w:color w:val="auto"/>
              </w:rPr>
              <w:t>NOI / Gross Profit</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20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color w:val="auto"/>
              </w:rPr>
              <w:t>172,338</w:t>
            </w:r>
          </w:p>
        </w:tc>
        <w:tc>
          <w:tcPr>
            <w:tcW w:w="120" w:type="dxa"/>
            <w:vAlign w:val="bottom"/>
          </w:tcPr>
          <w:p>
            <w:pPr>
              <w:spacing w:after="0"/>
              <w:rPr>
                <w:sz w:val="18"/>
                <w:szCs w:val="18"/>
                <w:color w:val="auto"/>
              </w:rPr>
            </w:pPr>
          </w:p>
        </w:tc>
        <w:tc>
          <w:tcPr>
            <w:tcW w:w="16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color w:val="auto"/>
              </w:rPr>
              <w:t>171,312</w:t>
            </w:r>
          </w:p>
        </w:tc>
        <w:tc>
          <w:tcPr>
            <w:tcW w:w="220" w:type="dxa"/>
            <w:vAlign w:val="bottom"/>
          </w:tcPr>
          <w:p>
            <w:pPr>
              <w:spacing w:after="0"/>
              <w:rPr>
                <w:sz w:val="18"/>
                <w:szCs w:val="18"/>
                <w:color w:val="auto"/>
              </w:rPr>
            </w:pPr>
          </w:p>
        </w:tc>
        <w:tc>
          <w:tcPr>
            <w:tcW w:w="18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w w:val="95"/>
              </w:rPr>
              <w:t>$</w:t>
            </w:r>
          </w:p>
        </w:tc>
        <w:tc>
          <w:tcPr>
            <w:tcW w:w="118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color w:val="auto"/>
              </w:rPr>
              <w:t>352,136</w:t>
            </w:r>
          </w:p>
        </w:tc>
        <w:tc>
          <w:tcPr>
            <w:tcW w:w="1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20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color w:val="auto"/>
              </w:rPr>
              <w:t>335,713</w:t>
            </w:r>
          </w:p>
        </w:tc>
      </w:tr>
      <w:tr>
        <w:trPr>
          <w:trHeight w:val="21"/>
        </w:trPr>
        <w:tc>
          <w:tcPr>
            <w:tcW w:w="5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95" w:lineRule="exact"/>
        <w:rPr>
          <w:sz w:val="20"/>
          <w:szCs w:val="20"/>
          <w:color w:val="auto"/>
        </w:rPr>
      </w:pPr>
    </w:p>
    <w:p>
      <w:pPr>
        <w:jc w:val="both"/>
        <w:ind w:firstLine="8"/>
        <w:spacing w:after="0" w:line="266" w:lineRule="auto"/>
        <w:tabs>
          <w:tab w:leader="none" w:pos="162" w:val="left"/>
        </w:tabs>
        <w:numPr>
          <w:ilvl w:val="0"/>
          <w:numId w:val="23"/>
        </w:numPr>
        <w:rPr>
          <w:rFonts w:ascii="Arial" w:cs="Arial" w:eastAsia="Arial" w:hAnsi="Arial"/>
          <w:sz w:val="18"/>
          <w:szCs w:val="18"/>
          <w:color w:val="auto"/>
          <w:vertAlign w:val="superscript"/>
        </w:rPr>
      </w:pPr>
      <w:r>
        <w:rPr>
          <w:rFonts w:ascii="Arial" w:cs="Arial" w:eastAsia="Arial" w:hAnsi="Arial"/>
          <w:sz w:val="13"/>
          <w:szCs w:val="13"/>
          <w:color w:val="auto"/>
        </w:rPr>
        <w:t>The renter’s monthly payment includes the site rent and an amount attributable to the home lease. The site rent is reflected in Real Property Operations’ segment revenue. For purposes of management analysis, site rent is included in Rental Program revenue to evaluate the incremental revenue gains associated with the implementation of the Rental Program, and to assess the overall growth and performance of the Rental Program and financial impact on our operations.</w:t>
      </w:r>
    </w:p>
    <w:p>
      <w:pPr>
        <w:sectPr>
          <w:pgSz w:w="11900" w:h="16838" w:orient="portrait"/>
          <w:cols w:equalWidth="0" w:num="1">
            <w:col w:w="11240"/>
          </w:cols>
          <w:pgMar w:left="320" w:top="364" w:right="339" w:bottom="1440" w:gutter="0" w:footer="0" w:header="0"/>
        </w:sectPr>
      </w:pP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type w:val="continuous"/>
        </w:sectPr>
      </w:pPr>
    </w:p>
    <w:bookmarkStart w:id="37" w:name="page38"/>
    <w:bookmarkEnd w:id="37"/>
    <w:p>
      <w:pPr>
        <w:jc w:val="center"/>
        <w:spacing w:after="0"/>
        <w:rPr>
          <w:sz w:val="20"/>
          <w:szCs w:val="20"/>
          <w:color w:val="auto"/>
        </w:rPr>
      </w:pPr>
      <w:r>
        <w:rPr>
          <w:rFonts w:ascii="Arial" w:cs="Arial" w:eastAsia="Arial" w:hAnsi="Arial"/>
          <w:sz w:val="18"/>
          <w:szCs w:val="18"/>
          <w:b w:val="1"/>
          <w:bCs w:val="1"/>
          <w:color w:val="auto"/>
        </w:rPr>
        <w:t>SUN COMMUNITIES, INC.</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Comparison of the Three and Six Months Ended June 30, 2020 and 2019</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Real Property Operations - Total Portfolio</w:t>
      </w:r>
    </w:p>
    <w:p>
      <w:pPr>
        <w:spacing w:after="0" w:line="252"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following tables reflect certain financial and other information for our Total Portfolio as of and for the three and six months ended June 30, 2020 and 2019:</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30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840" w:type="dxa"/>
            <w:vAlign w:val="bottom"/>
            <w:tcBorders>
              <w:bottom w:val="single" w:sz="8" w:color="auto"/>
            </w:tcBorders>
            <w:gridSpan w:val="4"/>
          </w:tcPr>
          <w:p>
            <w:pPr>
              <w:ind w:left="160"/>
              <w:spacing w:after="0"/>
              <w:rPr>
                <w:sz w:val="20"/>
                <w:szCs w:val="20"/>
                <w:color w:val="auto"/>
              </w:rPr>
            </w:pPr>
            <w:r>
              <w:rPr>
                <w:rFonts w:ascii="Arial" w:cs="Arial" w:eastAsia="Arial" w:hAnsi="Arial"/>
                <w:sz w:val="15"/>
                <w:szCs w:val="15"/>
                <w:b w:val="1"/>
                <w:bCs w:val="1"/>
                <w:color w:val="auto"/>
              </w:rPr>
              <w:t>Three Months Ended</w:t>
            </w:r>
          </w:p>
        </w:tc>
        <w:tc>
          <w:tcPr>
            <w:tcW w:w="1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860" w:type="dxa"/>
            <w:vAlign w:val="bottom"/>
            <w:tcBorders>
              <w:bottom w:val="single" w:sz="8" w:color="auto"/>
            </w:tcBorders>
            <w:gridSpan w:val="4"/>
          </w:tcPr>
          <w:p>
            <w:pPr>
              <w:jc w:val="right"/>
              <w:ind w:right="304"/>
              <w:spacing w:after="0"/>
              <w:rPr>
                <w:sz w:val="20"/>
                <w:szCs w:val="20"/>
                <w:color w:val="auto"/>
              </w:rPr>
            </w:pPr>
            <w:r>
              <w:rPr>
                <w:rFonts w:ascii="Arial" w:cs="Arial" w:eastAsia="Arial" w:hAnsi="Arial"/>
                <w:sz w:val="15"/>
                <w:szCs w:val="15"/>
                <w:b w:val="1"/>
                <w:bCs w:val="1"/>
                <w:color w:val="auto"/>
              </w:rPr>
              <w:t>Six Months Ended</w:t>
            </w:r>
          </w:p>
        </w:tc>
        <w:tc>
          <w:tcPr>
            <w:tcW w:w="1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r>
      <w:tr>
        <w:trPr>
          <w:trHeight w:val="169"/>
        </w:trPr>
        <w:tc>
          <w:tcPr>
            <w:tcW w:w="3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ind w:left="60"/>
              <w:spacing w:after="0" w:line="169" w:lineRule="exact"/>
              <w:rPr>
                <w:sz w:val="20"/>
                <w:szCs w:val="20"/>
                <w:color w:val="auto"/>
              </w:rPr>
            </w:pPr>
            <w:r>
              <w:rPr>
                <w:rFonts w:ascii="Arial" w:cs="Arial" w:eastAsia="Arial" w:hAnsi="Arial"/>
                <w:sz w:val="15"/>
                <w:szCs w:val="15"/>
                <w:b w:val="1"/>
                <w:bCs w:val="1"/>
                <w:color w:val="auto"/>
              </w:rPr>
              <w:t>June 30,</w:t>
            </w:r>
          </w:p>
        </w:tc>
        <w:tc>
          <w:tcPr>
            <w:tcW w:w="140" w:type="dxa"/>
            <w:vAlign w:val="bottom"/>
          </w:tcPr>
          <w:p>
            <w:pPr>
              <w:spacing w:after="0"/>
              <w:rPr>
                <w:sz w:val="14"/>
                <w:szCs w:val="14"/>
                <w:color w:val="auto"/>
              </w:rPr>
            </w:pPr>
          </w:p>
        </w:tc>
        <w:tc>
          <w:tcPr>
            <w:tcW w:w="860" w:type="dxa"/>
            <w:vAlign w:val="bottom"/>
            <w:gridSpan w:val="2"/>
          </w:tcPr>
          <w:p>
            <w:pPr>
              <w:ind w:left="40"/>
              <w:spacing w:after="0" w:line="169" w:lineRule="exact"/>
              <w:rPr>
                <w:sz w:val="20"/>
                <w:szCs w:val="20"/>
                <w:color w:val="auto"/>
              </w:rPr>
            </w:pPr>
            <w:r>
              <w:rPr>
                <w:rFonts w:ascii="Arial" w:cs="Arial" w:eastAsia="Arial" w:hAnsi="Arial"/>
                <w:sz w:val="15"/>
                <w:szCs w:val="15"/>
                <w:b w:val="1"/>
                <w:bCs w:val="1"/>
                <w:color w:val="auto"/>
              </w:rPr>
              <w:t>June 30,</w:t>
            </w: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2"/>
          </w:tcPr>
          <w:p>
            <w:pPr>
              <w:ind w:left="40"/>
              <w:spacing w:after="0" w:line="169" w:lineRule="exact"/>
              <w:rPr>
                <w:sz w:val="20"/>
                <w:szCs w:val="20"/>
                <w:color w:val="auto"/>
              </w:rPr>
            </w:pPr>
            <w:r>
              <w:rPr>
                <w:rFonts w:ascii="Arial" w:cs="Arial" w:eastAsia="Arial" w:hAnsi="Arial"/>
                <w:sz w:val="15"/>
                <w:szCs w:val="15"/>
                <w:b w:val="1"/>
                <w:bCs w:val="1"/>
                <w:color w:val="auto"/>
              </w:rPr>
              <w:t>June 30,</w:t>
            </w:r>
          </w:p>
        </w:tc>
        <w:tc>
          <w:tcPr>
            <w:tcW w:w="140" w:type="dxa"/>
            <w:vAlign w:val="bottom"/>
          </w:tcPr>
          <w:p>
            <w:pPr>
              <w:spacing w:after="0"/>
              <w:rPr>
                <w:sz w:val="14"/>
                <w:szCs w:val="14"/>
                <w:color w:val="auto"/>
              </w:rPr>
            </w:pPr>
          </w:p>
        </w:tc>
        <w:tc>
          <w:tcPr>
            <w:tcW w:w="880" w:type="dxa"/>
            <w:vAlign w:val="bottom"/>
            <w:gridSpan w:val="2"/>
          </w:tcPr>
          <w:p>
            <w:pPr>
              <w:ind w:left="40"/>
              <w:spacing w:after="0" w:line="169" w:lineRule="exact"/>
              <w:rPr>
                <w:sz w:val="20"/>
                <w:szCs w:val="20"/>
                <w:color w:val="auto"/>
              </w:rPr>
            </w:pPr>
            <w:r>
              <w:rPr>
                <w:rFonts w:ascii="Arial" w:cs="Arial" w:eastAsia="Arial" w:hAnsi="Arial"/>
                <w:sz w:val="15"/>
                <w:szCs w:val="15"/>
                <w:b w:val="1"/>
                <w:bCs w:val="1"/>
                <w:color w:val="auto"/>
              </w:rPr>
              <w:t>June 30,</w:t>
            </w: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200"/>
        </w:trPr>
        <w:tc>
          <w:tcPr>
            <w:tcW w:w="3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ind w:right="224"/>
              <w:spacing w:after="0"/>
              <w:rPr>
                <w:sz w:val="20"/>
                <w:szCs w:val="20"/>
                <w:color w:val="auto"/>
              </w:rPr>
            </w:pPr>
            <w:r>
              <w:rPr>
                <w:rFonts w:ascii="Arial" w:cs="Arial" w:eastAsia="Arial" w:hAnsi="Arial"/>
                <w:sz w:val="15"/>
                <w:szCs w:val="15"/>
                <w:b w:val="1"/>
                <w:bCs w:val="1"/>
                <w:color w:val="auto"/>
              </w:rPr>
              <w:t>2020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ind w:left="160"/>
              <w:spacing w:after="0"/>
              <w:rPr>
                <w:sz w:val="20"/>
                <w:szCs w:val="20"/>
                <w:color w:val="auto"/>
              </w:rPr>
            </w:pPr>
            <w:r>
              <w:rPr>
                <w:rFonts w:ascii="Arial" w:cs="Arial" w:eastAsia="Arial" w:hAnsi="Arial"/>
                <w:sz w:val="15"/>
                <w:szCs w:val="15"/>
                <w:b w:val="1"/>
                <w:bCs w:val="1"/>
                <w:color w:val="auto"/>
              </w:rPr>
              <w:t>2019</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jc w:val="right"/>
              <w:ind w:right="164"/>
              <w:spacing w:after="0"/>
              <w:rPr>
                <w:sz w:val="20"/>
                <w:szCs w:val="20"/>
                <w:color w:val="auto"/>
              </w:rPr>
            </w:pPr>
            <w:r>
              <w:rPr>
                <w:rFonts w:ascii="Arial" w:cs="Arial" w:eastAsia="Arial" w:hAnsi="Arial"/>
                <w:sz w:val="15"/>
                <w:szCs w:val="15"/>
                <w:b w:val="1"/>
                <w:bCs w:val="1"/>
                <w:color w:val="auto"/>
                <w:w w:val="98"/>
              </w:rPr>
              <w:t>Change</w:t>
            </w:r>
          </w:p>
        </w:tc>
        <w:tc>
          <w:tcPr>
            <w:tcW w:w="120" w:type="dxa"/>
            <w:vAlign w:val="bottom"/>
          </w:tcPr>
          <w:p>
            <w:pPr>
              <w:spacing w:after="0"/>
              <w:rPr>
                <w:sz w:val="17"/>
                <w:szCs w:val="17"/>
                <w:color w:val="auto"/>
              </w:rPr>
            </w:pPr>
          </w:p>
        </w:tc>
        <w:tc>
          <w:tcPr>
            <w:tcW w:w="1120" w:type="dxa"/>
            <w:vAlign w:val="bottom"/>
            <w:gridSpan w:val="3"/>
          </w:tcPr>
          <w:p>
            <w:pPr>
              <w:ind w:left="100"/>
              <w:spacing w:after="0"/>
              <w:rPr>
                <w:sz w:val="20"/>
                <w:szCs w:val="20"/>
                <w:color w:val="auto"/>
              </w:rPr>
            </w:pPr>
            <w:r>
              <w:rPr>
                <w:rFonts w:ascii="Arial" w:cs="Arial" w:eastAsia="Arial" w:hAnsi="Arial"/>
                <w:sz w:val="15"/>
                <w:szCs w:val="15"/>
                <w:b w:val="1"/>
                <w:bCs w:val="1"/>
                <w:color w:val="auto"/>
              </w:rPr>
              <w:t>% Change</w:t>
            </w:r>
          </w:p>
        </w:tc>
        <w:tc>
          <w:tcPr>
            <w:tcW w:w="140" w:type="dxa"/>
            <w:vAlign w:val="bottom"/>
          </w:tcPr>
          <w:p>
            <w:pPr>
              <w:spacing w:after="0"/>
              <w:rPr>
                <w:sz w:val="17"/>
                <w:szCs w:val="17"/>
                <w:color w:val="auto"/>
              </w:rPr>
            </w:pPr>
          </w:p>
        </w:tc>
        <w:tc>
          <w:tcPr>
            <w:tcW w:w="760" w:type="dxa"/>
            <w:vAlign w:val="bottom"/>
          </w:tcPr>
          <w:p>
            <w:pPr>
              <w:jc w:val="right"/>
              <w:ind w:right="224"/>
              <w:spacing w:after="0"/>
              <w:rPr>
                <w:sz w:val="20"/>
                <w:szCs w:val="20"/>
                <w:color w:val="auto"/>
              </w:rPr>
            </w:pPr>
            <w:r>
              <w:rPr>
                <w:rFonts w:ascii="Arial" w:cs="Arial" w:eastAsia="Arial" w:hAnsi="Arial"/>
                <w:sz w:val="15"/>
                <w:szCs w:val="15"/>
                <w:b w:val="1"/>
                <w:bCs w:val="1"/>
                <w:color w:val="auto"/>
              </w:rPr>
              <w:t>2020</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ind w:right="224"/>
              <w:spacing w:after="0"/>
              <w:rPr>
                <w:sz w:val="20"/>
                <w:szCs w:val="20"/>
                <w:color w:val="auto"/>
              </w:rPr>
            </w:pPr>
            <w:r>
              <w:rPr>
                <w:rFonts w:ascii="Arial" w:cs="Arial" w:eastAsia="Arial" w:hAnsi="Arial"/>
                <w:sz w:val="15"/>
                <w:szCs w:val="15"/>
                <w:b w:val="1"/>
                <w:bCs w:val="1"/>
                <w:color w:val="auto"/>
              </w:rPr>
              <w:t>2019</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jc w:val="right"/>
              <w:ind w:right="164"/>
              <w:spacing w:after="0"/>
              <w:rPr>
                <w:sz w:val="20"/>
                <w:szCs w:val="20"/>
                <w:color w:val="auto"/>
              </w:rPr>
            </w:pPr>
            <w:r>
              <w:rPr>
                <w:rFonts w:ascii="Arial" w:cs="Arial" w:eastAsia="Arial" w:hAnsi="Arial"/>
                <w:sz w:val="15"/>
                <w:szCs w:val="15"/>
                <w:b w:val="1"/>
                <w:bCs w:val="1"/>
                <w:color w:val="auto"/>
              </w:rPr>
              <w:t>Change</w:t>
            </w:r>
          </w:p>
        </w:tc>
        <w:tc>
          <w:tcPr>
            <w:tcW w:w="100" w:type="dxa"/>
            <w:vAlign w:val="bottom"/>
          </w:tcPr>
          <w:p>
            <w:pPr>
              <w:spacing w:after="0"/>
              <w:rPr>
                <w:sz w:val="17"/>
                <w:szCs w:val="17"/>
                <w:color w:val="auto"/>
              </w:rPr>
            </w:pPr>
          </w:p>
        </w:tc>
        <w:tc>
          <w:tcPr>
            <w:tcW w:w="900" w:type="dxa"/>
            <w:vAlign w:val="bottom"/>
            <w:gridSpan w:val="2"/>
          </w:tcPr>
          <w:p>
            <w:pPr>
              <w:jc w:val="right"/>
              <w:ind w:right="24"/>
              <w:spacing w:after="0"/>
              <w:rPr>
                <w:sz w:val="20"/>
                <w:szCs w:val="20"/>
                <w:color w:val="auto"/>
              </w:rPr>
            </w:pPr>
            <w:r>
              <w:rPr>
                <w:rFonts w:ascii="Arial" w:cs="Arial" w:eastAsia="Arial" w:hAnsi="Arial"/>
                <w:sz w:val="15"/>
                <w:szCs w:val="15"/>
                <w:b w:val="1"/>
                <w:bCs w:val="1"/>
                <w:color w:val="auto"/>
              </w:rPr>
              <w:t>% Change</w:t>
            </w:r>
          </w:p>
        </w:tc>
      </w:tr>
      <w:tr>
        <w:trPr>
          <w:trHeight w:val="199"/>
        </w:trPr>
        <w:tc>
          <w:tcPr>
            <w:tcW w:w="3040" w:type="dxa"/>
            <w:vAlign w:val="bottom"/>
          </w:tcPr>
          <w:p>
            <w:pPr>
              <w:ind w:left="20"/>
              <w:spacing w:after="0"/>
              <w:rPr>
                <w:sz w:val="20"/>
                <w:szCs w:val="20"/>
                <w:color w:val="auto"/>
              </w:rPr>
            </w:pPr>
            <w:r>
              <w:rPr>
                <w:rFonts w:ascii="Arial" w:cs="Arial" w:eastAsia="Arial" w:hAnsi="Arial"/>
                <w:sz w:val="15"/>
                <w:szCs w:val="15"/>
                <w:b w:val="1"/>
                <w:bCs w:val="1"/>
                <w:color w:val="auto"/>
              </w:rPr>
              <w:t>Financial Information (in thousands)</w:t>
            </w:r>
          </w:p>
        </w:tc>
        <w:tc>
          <w:tcPr>
            <w:tcW w:w="12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r>
      <w:tr>
        <w:trPr>
          <w:trHeight w:val="220"/>
        </w:trPr>
        <w:tc>
          <w:tcPr>
            <w:tcW w:w="3040" w:type="dxa"/>
            <w:vAlign w:val="bottom"/>
            <w:shd w:val="clear" w:color="auto" w:fill="CCEEFF"/>
          </w:tcPr>
          <w:p>
            <w:pPr>
              <w:ind w:left="120"/>
              <w:spacing w:after="0"/>
              <w:rPr>
                <w:sz w:val="20"/>
                <w:szCs w:val="20"/>
                <w:color w:val="auto"/>
              </w:rPr>
            </w:pPr>
            <w:r>
              <w:rPr>
                <w:rFonts w:ascii="Arial" w:cs="Arial" w:eastAsia="Arial" w:hAnsi="Arial"/>
                <w:sz w:val="15"/>
                <w:szCs w:val="15"/>
                <w:color w:val="auto"/>
              </w:rPr>
              <w:t>Income from real property</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231,484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76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rPr>
              <w:t>223,644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95"/>
              </w:rPr>
              <w:t>$</w:t>
            </w:r>
          </w:p>
        </w:tc>
        <w:tc>
          <w:tcPr>
            <w:tcW w:w="80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7,840</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3.5</w:t>
            </w: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76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469,269</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76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438,727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82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30,542</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7.0</w:t>
            </w:r>
          </w:p>
        </w:tc>
        <w:tc>
          <w:tcPr>
            <w:tcW w:w="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r>
      <w:tr>
        <w:trPr>
          <w:trHeight w:val="212"/>
        </w:trPr>
        <w:tc>
          <w:tcPr>
            <w:tcW w:w="3040" w:type="dxa"/>
            <w:vAlign w:val="bottom"/>
          </w:tcPr>
          <w:p>
            <w:pPr>
              <w:ind w:left="120"/>
              <w:spacing w:after="0"/>
              <w:rPr>
                <w:sz w:val="20"/>
                <w:szCs w:val="20"/>
                <w:color w:val="auto"/>
              </w:rPr>
            </w:pPr>
            <w:r>
              <w:rPr>
                <w:rFonts w:ascii="Arial" w:cs="Arial" w:eastAsia="Arial" w:hAnsi="Arial"/>
                <w:sz w:val="15"/>
                <w:szCs w:val="15"/>
                <w:color w:val="auto"/>
              </w:rPr>
              <w:t>Property operating expenses</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20"/>
        </w:trPr>
        <w:tc>
          <w:tcPr>
            <w:tcW w:w="3040" w:type="dxa"/>
            <w:vAlign w:val="bottom"/>
            <w:shd w:val="clear" w:color="auto" w:fill="CCEEFF"/>
          </w:tcPr>
          <w:p>
            <w:pPr>
              <w:ind w:left="320"/>
              <w:spacing w:after="0"/>
              <w:rPr>
                <w:sz w:val="20"/>
                <w:szCs w:val="20"/>
                <w:color w:val="auto"/>
              </w:rPr>
            </w:pPr>
            <w:r>
              <w:rPr>
                <w:rFonts w:ascii="Arial" w:cs="Arial" w:eastAsia="Arial" w:hAnsi="Arial"/>
                <w:sz w:val="15"/>
                <w:szCs w:val="15"/>
                <w:color w:val="auto"/>
              </w:rPr>
              <w:t>Payroll and benefits</w:t>
            </w: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20,723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rPr>
              <w:t>22,097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(1,374)</w:t>
            </w: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(6.2)%</w:t>
            </w:r>
          </w:p>
        </w:tc>
        <w:tc>
          <w:tcPr>
            <w:tcW w:w="2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42,053</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40,968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1,085</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2.6</w:t>
            </w:r>
          </w:p>
        </w:tc>
        <w:tc>
          <w:tcPr>
            <w:tcW w:w="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r>
      <w:tr>
        <w:trPr>
          <w:trHeight w:val="212"/>
        </w:trPr>
        <w:tc>
          <w:tcPr>
            <w:tcW w:w="3040" w:type="dxa"/>
            <w:vAlign w:val="bottom"/>
          </w:tcPr>
          <w:p>
            <w:pPr>
              <w:ind w:left="320"/>
              <w:spacing w:after="0"/>
              <w:rPr>
                <w:sz w:val="20"/>
                <w:szCs w:val="20"/>
                <w:color w:val="auto"/>
              </w:rPr>
            </w:pPr>
            <w:r>
              <w:rPr>
                <w:rFonts w:ascii="Arial" w:cs="Arial" w:eastAsia="Arial" w:hAnsi="Arial"/>
                <w:sz w:val="15"/>
                <w:szCs w:val="15"/>
                <w:color w:val="auto"/>
              </w:rPr>
              <w:t>Legal, taxes, and insurance</w:t>
            </w:r>
          </w:p>
        </w:tc>
        <w:tc>
          <w:tcPr>
            <w:tcW w:w="120" w:type="dxa"/>
            <w:vAlign w:val="bottom"/>
          </w:tcPr>
          <w:p>
            <w:pPr>
              <w:spacing w:after="0"/>
              <w:rPr>
                <w:sz w:val="18"/>
                <w:szCs w:val="18"/>
                <w:color w:val="auto"/>
              </w:rPr>
            </w:pPr>
          </w:p>
        </w:tc>
        <w:tc>
          <w:tcPr>
            <w:tcW w:w="780" w:type="dxa"/>
            <w:vAlign w:val="bottom"/>
          </w:tcPr>
          <w:p>
            <w:pPr>
              <w:jc w:val="right"/>
              <w:ind w:right="64"/>
              <w:spacing w:after="0"/>
              <w:rPr>
                <w:sz w:val="20"/>
                <w:szCs w:val="20"/>
                <w:color w:val="auto"/>
              </w:rPr>
            </w:pPr>
            <w:r>
              <w:rPr>
                <w:rFonts w:ascii="Arial" w:cs="Arial" w:eastAsia="Arial" w:hAnsi="Arial"/>
                <w:sz w:val="15"/>
                <w:szCs w:val="15"/>
                <w:color w:val="auto"/>
              </w:rPr>
              <w:t>2,706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ind w:right="84"/>
              <w:spacing w:after="0"/>
              <w:rPr>
                <w:sz w:val="20"/>
                <w:szCs w:val="20"/>
                <w:color w:val="auto"/>
              </w:rPr>
            </w:pPr>
            <w:r>
              <w:rPr>
                <w:rFonts w:ascii="Arial" w:cs="Arial" w:eastAsia="Arial" w:hAnsi="Arial"/>
                <w:sz w:val="15"/>
                <w:szCs w:val="15"/>
                <w:color w:val="auto"/>
              </w:rPr>
              <w:t>2,364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ind w:right="64"/>
              <w:spacing w:after="0"/>
              <w:rPr>
                <w:sz w:val="20"/>
                <w:szCs w:val="20"/>
                <w:color w:val="auto"/>
              </w:rPr>
            </w:pPr>
            <w:r>
              <w:rPr>
                <w:rFonts w:ascii="Arial" w:cs="Arial" w:eastAsia="Arial" w:hAnsi="Arial"/>
                <w:sz w:val="15"/>
                <w:szCs w:val="15"/>
                <w:color w:val="auto"/>
              </w:rPr>
              <w:t>342</w:t>
            </w:r>
          </w:p>
        </w:tc>
        <w:tc>
          <w:tcPr>
            <w:tcW w:w="840" w:type="dxa"/>
            <w:vAlign w:val="bottom"/>
            <w:gridSpan w:val="2"/>
          </w:tcPr>
          <w:p>
            <w:pPr>
              <w:jc w:val="right"/>
              <w:spacing w:after="0"/>
              <w:rPr>
                <w:sz w:val="20"/>
                <w:szCs w:val="20"/>
                <w:color w:val="auto"/>
              </w:rPr>
            </w:pPr>
            <w:r>
              <w:rPr>
                <w:rFonts w:ascii="Arial" w:cs="Arial" w:eastAsia="Arial" w:hAnsi="Arial"/>
                <w:sz w:val="15"/>
                <w:szCs w:val="15"/>
                <w:color w:val="auto"/>
              </w:rPr>
              <w:t>14.5</w:t>
            </w:r>
          </w:p>
        </w:tc>
        <w:tc>
          <w:tcPr>
            <w:tcW w:w="160" w:type="dxa"/>
            <w:vAlign w:val="bottom"/>
          </w:tcPr>
          <w:p>
            <w:pPr>
              <w:jc w:val="right"/>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ind w:right="64"/>
              <w:spacing w:after="0"/>
              <w:rPr>
                <w:sz w:val="20"/>
                <w:szCs w:val="20"/>
                <w:color w:val="auto"/>
              </w:rPr>
            </w:pPr>
            <w:r>
              <w:rPr>
                <w:rFonts w:ascii="Arial" w:cs="Arial" w:eastAsia="Arial" w:hAnsi="Arial"/>
                <w:sz w:val="15"/>
                <w:szCs w:val="15"/>
                <w:color w:val="auto"/>
              </w:rPr>
              <w:t>5,839</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ind w:right="64"/>
              <w:spacing w:after="0"/>
              <w:rPr>
                <w:sz w:val="20"/>
                <w:szCs w:val="20"/>
                <w:color w:val="auto"/>
              </w:rPr>
            </w:pPr>
            <w:r>
              <w:rPr>
                <w:rFonts w:ascii="Arial" w:cs="Arial" w:eastAsia="Arial" w:hAnsi="Arial"/>
                <w:sz w:val="15"/>
                <w:szCs w:val="15"/>
                <w:color w:val="auto"/>
              </w:rPr>
              <w:t>4,748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ind w:right="64"/>
              <w:spacing w:after="0"/>
              <w:rPr>
                <w:sz w:val="20"/>
                <w:szCs w:val="20"/>
                <w:color w:val="auto"/>
              </w:rPr>
            </w:pPr>
            <w:r>
              <w:rPr>
                <w:rFonts w:ascii="Arial" w:cs="Arial" w:eastAsia="Arial" w:hAnsi="Arial"/>
                <w:sz w:val="15"/>
                <w:szCs w:val="15"/>
                <w:color w:val="auto"/>
              </w:rPr>
              <w:t>1,091</w:t>
            </w:r>
          </w:p>
        </w:tc>
        <w:tc>
          <w:tcPr>
            <w:tcW w:w="820" w:type="dxa"/>
            <w:vAlign w:val="bottom"/>
            <w:gridSpan w:val="2"/>
          </w:tcPr>
          <w:p>
            <w:pPr>
              <w:jc w:val="right"/>
              <w:spacing w:after="0"/>
              <w:rPr>
                <w:sz w:val="20"/>
                <w:szCs w:val="20"/>
                <w:color w:val="auto"/>
              </w:rPr>
            </w:pPr>
            <w:r>
              <w:rPr>
                <w:rFonts w:ascii="Arial" w:cs="Arial" w:eastAsia="Arial" w:hAnsi="Arial"/>
                <w:sz w:val="15"/>
                <w:szCs w:val="15"/>
                <w:color w:val="auto"/>
              </w:rPr>
              <w:t>23.0</w:t>
            </w:r>
          </w:p>
        </w:tc>
        <w:tc>
          <w:tcPr>
            <w:tcW w:w="18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20"/>
        </w:trPr>
        <w:tc>
          <w:tcPr>
            <w:tcW w:w="3040" w:type="dxa"/>
            <w:vAlign w:val="bottom"/>
            <w:shd w:val="clear" w:color="auto" w:fill="CCEEFF"/>
          </w:tcPr>
          <w:p>
            <w:pPr>
              <w:ind w:left="320"/>
              <w:spacing w:after="0"/>
              <w:rPr>
                <w:sz w:val="20"/>
                <w:szCs w:val="20"/>
                <w:color w:val="auto"/>
              </w:rPr>
            </w:pPr>
            <w:r>
              <w:rPr>
                <w:rFonts w:ascii="Arial" w:cs="Arial" w:eastAsia="Arial" w:hAnsi="Arial"/>
                <w:sz w:val="15"/>
                <w:szCs w:val="15"/>
                <w:color w:val="auto"/>
              </w:rPr>
              <w:t>Utilities</w:t>
            </w: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24,533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rPr>
              <w:t>23,650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883</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3.7</w:t>
            </w: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50,307</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48,078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2,229</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4.6</w:t>
            </w:r>
          </w:p>
        </w:tc>
        <w:tc>
          <w:tcPr>
            <w:tcW w:w="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r>
      <w:tr>
        <w:trPr>
          <w:trHeight w:val="212"/>
        </w:trPr>
        <w:tc>
          <w:tcPr>
            <w:tcW w:w="3040" w:type="dxa"/>
            <w:vAlign w:val="bottom"/>
          </w:tcPr>
          <w:p>
            <w:pPr>
              <w:ind w:left="320"/>
              <w:spacing w:after="0"/>
              <w:rPr>
                <w:sz w:val="20"/>
                <w:szCs w:val="20"/>
                <w:color w:val="auto"/>
              </w:rPr>
            </w:pPr>
            <w:r>
              <w:rPr>
                <w:rFonts w:ascii="Arial" w:cs="Arial" w:eastAsia="Arial" w:hAnsi="Arial"/>
                <w:sz w:val="15"/>
                <w:szCs w:val="15"/>
                <w:color w:val="auto"/>
              </w:rPr>
              <w:t>Supplies and repairs</w:t>
            </w:r>
          </w:p>
        </w:tc>
        <w:tc>
          <w:tcPr>
            <w:tcW w:w="120" w:type="dxa"/>
            <w:vAlign w:val="bottom"/>
          </w:tcPr>
          <w:p>
            <w:pPr>
              <w:spacing w:after="0"/>
              <w:rPr>
                <w:sz w:val="18"/>
                <w:szCs w:val="18"/>
                <w:color w:val="auto"/>
              </w:rPr>
            </w:pPr>
          </w:p>
        </w:tc>
        <w:tc>
          <w:tcPr>
            <w:tcW w:w="780" w:type="dxa"/>
            <w:vAlign w:val="bottom"/>
          </w:tcPr>
          <w:p>
            <w:pPr>
              <w:jc w:val="right"/>
              <w:ind w:right="64"/>
              <w:spacing w:after="0"/>
              <w:rPr>
                <w:sz w:val="20"/>
                <w:szCs w:val="20"/>
                <w:color w:val="auto"/>
              </w:rPr>
            </w:pPr>
            <w:r>
              <w:rPr>
                <w:rFonts w:ascii="Arial" w:cs="Arial" w:eastAsia="Arial" w:hAnsi="Arial"/>
                <w:sz w:val="15"/>
                <w:szCs w:val="15"/>
                <w:color w:val="auto"/>
              </w:rPr>
              <w:t>9,574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ind w:right="84"/>
              <w:spacing w:after="0"/>
              <w:rPr>
                <w:sz w:val="20"/>
                <w:szCs w:val="20"/>
                <w:color w:val="auto"/>
              </w:rPr>
            </w:pPr>
            <w:r>
              <w:rPr>
                <w:rFonts w:ascii="Arial" w:cs="Arial" w:eastAsia="Arial" w:hAnsi="Arial"/>
                <w:sz w:val="15"/>
                <w:szCs w:val="15"/>
                <w:color w:val="auto"/>
              </w:rPr>
              <w:t>9,729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ind w:right="24"/>
              <w:spacing w:after="0"/>
              <w:rPr>
                <w:sz w:val="20"/>
                <w:szCs w:val="20"/>
                <w:color w:val="auto"/>
              </w:rPr>
            </w:pPr>
            <w:r>
              <w:rPr>
                <w:rFonts w:ascii="Arial" w:cs="Arial" w:eastAsia="Arial" w:hAnsi="Arial"/>
                <w:sz w:val="15"/>
                <w:szCs w:val="15"/>
                <w:color w:val="auto"/>
              </w:rPr>
              <w:t>(155)</w:t>
            </w:r>
          </w:p>
        </w:tc>
        <w:tc>
          <w:tcPr>
            <w:tcW w:w="1000" w:type="dxa"/>
            <w:vAlign w:val="bottom"/>
            <w:gridSpan w:val="3"/>
          </w:tcPr>
          <w:p>
            <w:pPr>
              <w:jc w:val="right"/>
              <w:spacing w:after="0"/>
              <w:rPr>
                <w:sz w:val="20"/>
                <w:szCs w:val="20"/>
                <w:color w:val="auto"/>
              </w:rPr>
            </w:pPr>
            <w:r>
              <w:rPr>
                <w:rFonts w:ascii="Arial" w:cs="Arial" w:eastAsia="Arial" w:hAnsi="Arial"/>
                <w:sz w:val="15"/>
                <w:szCs w:val="15"/>
                <w:color w:val="auto"/>
              </w:rPr>
              <w:t>(1.6)%</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ind w:right="64"/>
              <w:spacing w:after="0"/>
              <w:rPr>
                <w:sz w:val="20"/>
                <w:szCs w:val="20"/>
                <w:color w:val="auto"/>
              </w:rPr>
            </w:pPr>
            <w:r>
              <w:rPr>
                <w:rFonts w:ascii="Arial" w:cs="Arial" w:eastAsia="Arial" w:hAnsi="Arial"/>
                <w:sz w:val="15"/>
                <w:szCs w:val="15"/>
                <w:color w:val="auto"/>
              </w:rPr>
              <w:t>16,604</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ind w:right="64"/>
              <w:spacing w:after="0"/>
              <w:rPr>
                <w:sz w:val="20"/>
                <w:szCs w:val="20"/>
                <w:color w:val="auto"/>
              </w:rPr>
            </w:pPr>
            <w:r>
              <w:rPr>
                <w:rFonts w:ascii="Arial" w:cs="Arial" w:eastAsia="Arial" w:hAnsi="Arial"/>
                <w:sz w:val="15"/>
                <w:szCs w:val="15"/>
                <w:color w:val="auto"/>
              </w:rPr>
              <w:t>16,083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ind w:right="64"/>
              <w:spacing w:after="0"/>
              <w:rPr>
                <w:sz w:val="20"/>
                <w:szCs w:val="20"/>
                <w:color w:val="auto"/>
              </w:rPr>
            </w:pPr>
            <w:r>
              <w:rPr>
                <w:rFonts w:ascii="Arial" w:cs="Arial" w:eastAsia="Arial" w:hAnsi="Arial"/>
                <w:sz w:val="15"/>
                <w:szCs w:val="15"/>
                <w:color w:val="auto"/>
              </w:rPr>
              <w:t>521</w:t>
            </w:r>
          </w:p>
        </w:tc>
        <w:tc>
          <w:tcPr>
            <w:tcW w:w="820" w:type="dxa"/>
            <w:vAlign w:val="bottom"/>
            <w:gridSpan w:val="2"/>
          </w:tcPr>
          <w:p>
            <w:pPr>
              <w:jc w:val="right"/>
              <w:spacing w:after="0"/>
              <w:rPr>
                <w:sz w:val="20"/>
                <w:szCs w:val="20"/>
                <w:color w:val="auto"/>
              </w:rPr>
            </w:pPr>
            <w:r>
              <w:rPr>
                <w:rFonts w:ascii="Arial" w:cs="Arial" w:eastAsia="Arial" w:hAnsi="Arial"/>
                <w:sz w:val="15"/>
                <w:szCs w:val="15"/>
                <w:color w:val="auto"/>
              </w:rPr>
              <w:t>3.2</w:t>
            </w:r>
          </w:p>
        </w:tc>
        <w:tc>
          <w:tcPr>
            <w:tcW w:w="18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20"/>
        </w:trPr>
        <w:tc>
          <w:tcPr>
            <w:tcW w:w="3040" w:type="dxa"/>
            <w:vAlign w:val="bottom"/>
            <w:shd w:val="clear" w:color="auto" w:fill="CCEEFF"/>
          </w:tcPr>
          <w:p>
            <w:pPr>
              <w:ind w:left="340"/>
              <w:spacing w:after="0"/>
              <w:rPr>
                <w:sz w:val="20"/>
                <w:szCs w:val="20"/>
                <w:color w:val="auto"/>
              </w:rPr>
            </w:pPr>
            <w:r>
              <w:rPr>
                <w:rFonts w:ascii="Arial" w:cs="Arial" w:eastAsia="Arial" w:hAnsi="Arial"/>
                <w:sz w:val="15"/>
                <w:szCs w:val="15"/>
                <w:color w:val="auto"/>
              </w:rPr>
              <w:t>Other</w:t>
            </w:r>
            <w:r>
              <w:rPr>
                <w:rFonts w:ascii="Arial" w:cs="Arial" w:eastAsia="Arial" w:hAnsi="Arial"/>
                <w:sz w:val="9"/>
                <w:szCs w:val="9"/>
                <w:color w:val="auto"/>
              </w:rPr>
              <w:t>(1)</w:t>
            </w: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7,668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rPr>
              <w:t>8,048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(380)</w:t>
            </w: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(4.7)%</w:t>
            </w:r>
          </w:p>
        </w:tc>
        <w:tc>
          <w:tcPr>
            <w:tcW w:w="2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14,458</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13,920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538</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3.9</w:t>
            </w:r>
          </w:p>
        </w:tc>
        <w:tc>
          <w:tcPr>
            <w:tcW w:w="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r>
      <w:tr>
        <w:trPr>
          <w:trHeight w:val="212"/>
        </w:trPr>
        <w:tc>
          <w:tcPr>
            <w:tcW w:w="3040" w:type="dxa"/>
            <w:vAlign w:val="bottom"/>
            <w:tcBorders>
              <w:bottom w:val="single" w:sz="8" w:color="CCEEFF"/>
            </w:tcBorders>
          </w:tcPr>
          <w:p>
            <w:pPr>
              <w:ind w:left="320"/>
              <w:spacing w:after="0"/>
              <w:rPr>
                <w:sz w:val="20"/>
                <w:szCs w:val="20"/>
                <w:color w:val="auto"/>
              </w:rPr>
            </w:pPr>
            <w:r>
              <w:rPr>
                <w:rFonts w:ascii="Arial" w:cs="Arial" w:eastAsia="Arial" w:hAnsi="Arial"/>
                <w:sz w:val="15"/>
                <w:szCs w:val="15"/>
                <w:color w:val="auto"/>
              </w:rPr>
              <w:t>Real estate taxes</w:t>
            </w:r>
          </w:p>
        </w:tc>
        <w:tc>
          <w:tcPr>
            <w:tcW w:w="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color w:val="auto"/>
              </w:rPr>
              <w:t>17,723</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color w:val="auto"/>
              </w:rPr>
              <w:t>15,726</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color w:val="auto"/>
              </w:rPr>
              <w:t>1,997</w:t>
            </w:r>
          </w:p>
        </w:tc>
        <w:tc>
          <w:tcPr>
            <w:tcW w:w="840" w:type="dxa"/>
            <w:vAlign w:val="bottom"/>
            <w:tcBorders>
              <w:bottom w:val="single" w:sz="8" w:color="CCEEFF"/>
            </w:tcBorders>
            <w:gridSpan w:val="2"/>
          </w:tcPr>
          <w:p>
            <w:pPr>
              <w:jc w:val="right"/>
              <w:spacing w:after="0"/>
              <w:rPr>
                <w:sz w:val="20"/>
                <w:szCs w:val="20"/>
                <w:color w:val="auto"/>
              </w:rPr>
            </w:pPr>
            <w:r>
              <w:rPr>
                <w:rFonts w:ascii="Arial" w:cs="Arial" w:eastAsia="Arial" w:hAnsi="Arial"/>
                <w:sz w:val="15"/>
                <w:szCs w:val="15"/>
                <w:color w:val="auto"/>
              </w:rPr>
              <w:t>12.7</w:t>
            </w:r>
          </w:p>
        </w:tc>
        <w:tc>
          <w:tcPr>
            <w:tcW w:w="160" w:type="dxa"/>
            <w:vAlign w:val="bottom"/>
            <w:tcBorders>
              <w:bottom w:val="single" w:sz="8" w:color="CCEEFF"/>
            </w:tcBorders>
          </w:tcPr>
          <w:p>
            <w:pPr>
              <w:jc w:val="right"/>
              <w:spacing w:after="0"/>
              <w:rPr>
                <w:sz w:val="20"/>
                <w:szCs w:val="20"/>
                <w:color w:val="auto"/>
              </w:rPr>
            </w:pPr>
            <w:r>
              <w:rPr>
                <w:rFonts w:ascii="Arial" w:cs="Arial" w:eastAsia="Arial" w:hAnsi="Arial"/>
                <w:sz w:val="15"/>
                <w:szCs w:val="15"/>
                <w:color w:val="auto"/>
              </w:rPr>
              <w:t>%</w:t>
            </w:r>
          </w:p>
        </w:tc>
        <w:tc>
          <w:tcPr>
            <w:tcW w:w="2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color w:val="auto"/>
              </w:rPr>
              <w:t>34,899</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color w:val="auto"/>
              </w:rPr>
              <w:t>31,056</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color w:val="auto"/>
              </w:rPr>
              <w:t>3,843</w:t>
            </w:r>
          </w:p>
        </w:tc>
        <w:tc>
          <w:tcPr>
            <w:tcW w:w="820" w:type="dxa"/>
            <w:vAlign w:val="bottom"/>
            <w:tcBorders>
              <w:bottom w:val="single" w:sz="8" w:color="CCEEFF"/>
            </w:tcBorders>
            <w:gridSpan w:val="2"/>
          </w:tcPr>
          <w:p>
            <w:pPr>
              <w:jc w:val="right"/>
              <w:spacing w:after="0"/>
              <w:rPr>
                <w:sz w:val="20"/>
                <w:szCs w:val="20"/>
                <w:color w:val="auto"/>
              </w:rPr>
            </w:pPr>
            <w:r>
              <w:rPr>
                <w:rFonts w:ascii="Arial" w:cs="Arial" w:eastAsia="Arial" w:hAnsi="Arial"/>
                <w:sz w:val="15"/>
                <w:szCs w:val="15"/>
                <w:color w:val="auto"/>
              </w:rPr>
              <w:t>12.4</w:t>
            </w:r>
          </w:p>
        </w:tc>
        <w:tc>
          <w:tcPr>
            <w:tcW w:w="180" w:type="dxa"/>
            <w:vAlign w:val="bottom"/>
            <w:tcBorders>
              <w:bottom w:val="single" w:sz="8" w:color="CCEEFF"/>
            </w:tcBorders>
          </w:tcPr>
          <w:p>
            <w:pPr>
              <w:jc w:val="right"/>
              <w:spacing w:after="0"/>
              <w:rPr>
                <w:sz w:val="20"/>
                <w:szCs w:val="20"/>
                <w:color w:val="auto"/>
              </w:rPr>
            </w:pPr>
            <w:r>
              <w:rPr>
                <w:rFonts w:ascii="Arial" w:cs="Arial" w:eastAsia="Arial" w:hAnsi="Arial"/>
                <w:sz w:val="15"/>
                <w:szCs w:val="15"/>
                <w:color w:val="auto"/>
              </w:rPr>
              <w:t>%</w:t>
            </w:r>
          </w:p>
        </w:tc>
      </w:tr>
      <w:tr>
        <w:trPr>
          <w:trHeight w:val="209"/>
        </w:trPr>
        <w:tc>
          <w:tcPr>
            <w:tcW w:w="3040" w:type="dxa"/>
            <w:vAlign w:val="bottom"/>
            <w:shd w:val="clear" w:color="auto" w:fill="CCEEFF"/>
          </w:tcPr>
          <w:p>
            <w:pPr>
              <w:ind w:left="320"/>
              <w:spacing w:after="0"/>
              <w:rPr>
                <w:sz w:val="20"/>
                <w:szCs w:val="20"/>
                <w:color w:val="auto"/>
              </w:rPr>
            </w:pPr>
            <w:r>
              <w:rPr>
                <w:rFonts w:ascii="Arial" w:cs="Arial" w:eastAsia="Arial" w:hAnsi="Arial"/>
                <w:sz w:val="15"/>
                <w:szCs w:val="15"/>
                <w:color w:val="auto"/>
              </w:rPr>
              <w:t>Property operating expenses</w:t>
            </w:r>
          </w:p>
        </w:tc>
        <w:tc>
          <w:tcPr>
            <w:tcW w:w="1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64"/>
              <w:spacing w:after="0"/>
              <w:rPr>
                <w:sz w:val="20"/>
                <w:szCs w:val="20"/>
                <w:color w:val="auto"/>
              </w:rPr>
            </w:pPr>
            <w:r>
              <w:rPr>
                <w:rFonts w:ascii="Arial" w:cs="Arial" w:eastAsia="Arial" w:hAnsi="Arial"/>
                <w:sz w:val="15"/>
                <w:szCs w:val="15"/>
                <w:color w:val="auto"/>
              </w:rPr>
              <w:t>82,927</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84"/>
              <w:spacing w:after="0"/>
              <w:rPr>
                <w:sz w:val="20"/>
                <w:szCs w:val="20"/>
                <w:color w:val="auto"/>
              </w:rPr>
            </w:pPr>
            <w:r>
              <w:rPr>
                <w:rFonts w:ascii="Arial" w:cs="Arial" w:eastAsia="Arial" w:hAnsi="Arial"/>
                <w:sz w:val="15"/>
                <w:szCs w:val="15"/>
                <w:color w:val="auto"/>
              </w:rPr>
              <w:t>81,614</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64"/>
              <w:spacing w:after="0"/>
              <w:rPr>
                <w:sz w:val="20"/>
                <w:szCs w:val="20"/>
                <w:color w:val="auto"/>
              </w:rPr>
            </w:pPr>
            <w:r>
              <w:rPr>
                <w:rFonts w:ascii="Arial" w:cs="Arial" w:eastAsia="Arial" w:hAnsi="Arial"/>
                <w:sz w:val="15"/>
                <w:szCs w:val="15"/>
                <w:color w:val="auto"/>
              </w:rPr>
              <w:t>1,313</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1.6</w:t>
            </w: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64"/>
              <w:spacing w:after="0"/>
              <w:rPr>
                <w:sz w:val="20"/>
                <w:szCs w:val="20"/>
                <w:color w:val="auto"/>
              </w:rPr>
            </w:pPr>
            <w:r>
              <w:rPr>
                <w:rFonts w:ascii="Arial" w:cs="Arial" w:eastAsia="Arial" w:hAnsi="Arial"/>
                <w:sz w:val="15"/>
                <w:szCs w:val="15"/>
                <w:color w:val="auto"/>
              </w:rPr>
              <w:t>164,160</w:t>
            </w: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64"/>
              <w:spacing w:after="0"/>
              <w:rPr>
                <w:sz w:val="20"/>
                <w:szCs w:val="20"/>
                <w:color w:val="auto"/>
              </w:rPr>
            </w:pPr>
            <w:r>
              <w:rPr>
                <w:rFonts w:ascii="Arial" w:cs="Arial" w:eastAsia="Arial" w:hAnsi="Arial"/>
                <w:sz w:val="15"/>
                <w:szCs w:val="15"/>
                <w:color w:val="auto"/>
              </w:rPr>
              <w:t>154,853</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64"/>
              <w:spacing w:after="0"/>
              <w:rPr>
                <w:sz w:val="20"/>
                <w:szCs w:val="20"/>
                <w:color w:val="auto"/>
              </w:rPr>
            </w:pPr>
            <w:r>
              <w:rPr>
                <w:rFonts w:ascii="Arial" w:cs="Arial" w:eastAsia="Arial" w:hAnsi="Arial"/>
                <w:sz w:val="15"/>
                <w:szCs w:val="15"/>
                <w:color w:val="auto"/>
              </w:rPr>
              <w:t>9,307</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6.0</w:t>
            </w:r>
          </w:p>
        </w:tc>
        <w:tc>
          <w:tcPr>
            <w:tcW w:w="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r>
      <w:tr>
        <w:trPr>
          <w:trHeight w:val="214"/>
        </w:trPr>
        <w:tc>
          <w:tcPr>
            <w:tcW w:w="3040" w:type="dxa"/>
            <w:vAlign w:val="bottom"/>
          </w:tcPr>
          <w:p>
            <w:pPr>
              <w:ind w:left="120"/>
              <w:spacing w:after="0"/>
              <w:rPr>
                <w:sz w:val="20"/>
                <w:szCs w:val="20"/>
                <w:color w:val="auto"/>
              </w:rPr>
            </w:pPr>
            <w:r>
              <w:rPr>
                <w:rFonts w:ascii="Arial" w:cs="Arial" w:eastAsia="Arial" w:hAnsi="Arial"/>
                <w:sz w:val="15"/>
                <w:szCs w:val="15"/>
                <w:color w:val="auto"/>
              </w:rPr>
              <w:t>Real Property NOI</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color w:val="auto"/>
              </w:rPr>
              <w:t>148,557</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76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color w:val="auto"/>
              </w:rPr>
              <w:t>142,030</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w w:val="95"/>
              </w:rPr>
              <w:t>$</w:t>
            </w:r>
          </w:p>
        </w:tc>
        <w:tc>
          <w:tcPr>
            <w:tcW w:w="80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color w:val="auto"/>
              </w:rPr>
              <w:t>6,527</w:t>
            </w:r>
          </w:p>
        </w:tc>
        <w:tc>
          <w:tcPr>
            <w:tcW w:w="840" w:type="dxa"/>
            <w:vAlign w:val="bottom"/>
            <w:gridSpan w:val="2"/>
          </w:tcPr>
          <w:p>
            <w:pPr>
              <w:jc w:val="right"/>
              <w:spacing w:after="0"/>
              <w:rPr>
                <w:sz w:val="20"/>
                <w:szCs w:val="20"/>
                <w:color w:val="auto"/>
              </w:rPr>
            </w:pPr>
            <w:r>
              <w:rPr>
                <w:rFonts w:ascii="Arial" w:cs="Arial" w:eastAsia="Arial" w:hAnsi="Arial"/>
                <w:sz w:val="15"/>
                <w:szCs w:val="15"/>
                <w:color w:val="auto"/>
              </w:rPr>
              <w:t>4.6</w:t>
            </w:r>
          </w:p>
        </w:tc>
        <w:tc>
          <w:tcPr>
            <w:tcW w:w="160" w:type="dxa"/>
            <w:vAlign w:val="bottom"/>
          </w:tcPr>
          <w:p>
            <w:pPr>
              <w:jc w:val="right"/>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76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color w:val="auto"/>
              </w:rPr>
              <w:t>305,109</w:t>
            </w:r>
          </w:p>
        </w:tc>
        <w:tc>
          <w:tcPr>
            <w:tcW w:w="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76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color w:val="auto"/>
              </w:rPr>
              <w:t>283,874</w:t>
            </w:r>
          </w:p>
        </w:tc>
        <w:tc>
          <w:tcPr>
            <w:tcW w:w="1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82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color w:val="auto"/>
              </w:rPr>
              <w:t>21,235</w:t>
            </w:r>
          </w:p>
        </w:tc>
        <w:tc>
          <w:tcPr>
            <w:tcW w:w="820" w:type="dxa"/>
            <w:vAlign w:val="bottom"/>
            <w:gridSpan w:val="2"/>
          </w:tcPr>
          <w:p>
            <w:pPr>
              <w:jc w:val="right"/>
              <w:spacing w:after="0"/>
              <w:rPr>
                <w:sz w:val="20"/>
                <w:szCs w:val="20"/>
                <w:color w:val="auto"/>
              </w:rPr>
            </w:pPr>
            <w:r>
              <w:rPr>
                <w:rFonts w:ascii="Arial" w:cs="Arial" w:eastAsia="Arial" w:hAnsi="Arial"/>
                <w:sz w:val="15"/>
                <w:szCs w:val="15"/>
                <w:color w:val="auto"/>
              </w:rPr>
              <w:t>7.5</w:t>
            </w:r>
          </w:p>
        </w:tc>
        <w:tc>
          <w:tcPr>
            <w:tcW w:w="18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0"/>
        </w:trPr>
        <w:tc>
          <w:tcPr>
            <w:tcW w:w="30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82" w:lineRule="exact"/>
        <w:rPr>
          <w:sz w:val="20"/>
          <w:szCs w:val="20"/>
          <w:color w:val="auto"/>
        </w:rPr>
      </w:pPr>
    </w:p>
    <w:p>
      <w:pPr>
        <w:ind w:left="160" w:hanging="152"/>
        <w:spacing w:after="0"/>
        <w:tabs>
          <w:tab w:leader="none" w:pos="160" w:val="left"/>
        </w:tabs>
        <w:numPr>
          <w:ilvl w:val="0"/>
          <w:numId w:val="24"/>
        </w:numPr>
        <w:rPr>
          <w:rFonts w:ascii="Arial" w:cs="Arial" w:eastAsia="Arial" w:hAnsi="Arial"/>
          <w:sz w:val="18"/>
          <w:szCs w:val="18"/>
          <w:color w:val="auto"/>
          <w:vertAlign w:val="superscript"/>
        </w:rPr>
      </w:pPr>
      <w:r>
        <w:rPr>
          <w:rFonts w:ascii="Arial" w:cs="Arial" w:eastAsia="Arial" w:hAnsi="Arial"/>
          <w:sz w:val="14"/>
          <w:szCs w:val="14"/>
          <w:color w:val="auto"/>
        </w:rPr>
        <w:t>Includes COVID-19 personal protective equipment expense of $1,094 for the six months ended June 30, 2020.</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626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5"/>
                <w:szCs w:val="15"/>
                <w:b w:val="1"/>
                <w:bCs w:val="1"/>
                <w:color w:val="auto"/>
                <w:w w:val="85"/>
              </w:rPr>
              <w:t>As of</w:t>
            </w:r>
          </w:p>
        </w:tc>
        <w:tc>
          <w:tcPr>
            <w:tcW w:w="1260" w:type="dxa"/>
            <w:vAlign w:val="bottom"/>
            <w:tcBorders>
              <w:bottom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7"/>
        </w:trPr>
        <w:tc>
          <w:tcPr>
            <w:tcW w:w="62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204"/>
              <w:spacing w:after="0"/>
              <w:rPr>
                <w:sz w:val="20"/>
                <w:szCs w:val="20"/>
                <w:color w:val="auto"/>
              </w:rPr>
            </w:pPr>
            <w:r>
              <w:rPr>
                <w:rFonts w:ascii="Arial" w:cs="Arial" w:eastAsia="Arial" w:hAnsi="Arial"/>
                <w:sz w:val="15"/>
                <w:szCs w:val="15"/>
                <w:b w:val="1"/>
                <w:bCs w:val="1"/>
                <w:color w:val="auto"/>
                <w:w w:val="98"/>
              </w:rPr>
              <w:t>June 30, 2020</w:t>
            </w:r>
          </w:p>
        </w:tc>
        <w:tc>
          <w:tcPr>
            <w:tcW w:w="3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204"/>
              <w:spacing w:after="0"/>
              <w:rPr>
                <w:sz w:val="20"/>
                <w:szCs w:val="20"/>
                <w:color w:val="auto"/>
              </w:rPr>
            </w:pPr>
            <w:r>
              <w:rPr>
                <w:rFonts w:ascii="Arial" w:cs="Arial" w:eastAsia="Arial" w:hAnsi="Arial"/>
                <w:sz w:val="15"/>
                <w:szCs w:val="15"/>
                <w:b w:val="1"/>
                <w:bCs w:val="1"/>
                <w:color w:val="auto"/>
                <w:w w:val="98"/>
              </w:rPr>
              <w:t>June 30, 2019</w:t>
            </w:r>
          </w:p>
        </w:tc>
        <w:tc>
          <w:tcPr>
            <w:tcW w:w="3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04"/>
              <w:spacing w:after="0"/>
              <w:rPr>
                <w:sz w:val="20"/>
                <w:szCs w:val="20"/>
                <w:color w:val="auto"/>
              </w:rPr>
            </w:pPr>
            <w:r>
              <w:rPr>
                <w:rFonts w:ascii="Arial" w:cs="Arial" w:eastAsia="Arial" w:hAnsi="Arial"/>
                <w:sz w:val="15"/>
                <w:szCs w:val="15"/>
                <w:b w:val="1"/>
                <w:bCs w:val="1"/>
                <w:color w:val="auto"/>
              </w:rPr>
              <w:t>Change</w:t>
            </w:r>
          </w:p>
        </w:tc>
      </w:tr>
      <w:tr>
        <w:trPr>
          <w:trHeight w:val="198"/>
        </w:trPr>
        <w:tc>
          <w:tcPr>
            <w:tcW w:w="6260" w:type="dxa"/>
            <w:vAlign w:val="bottom"/>
          </w:tcPr>
          <w:p>
            <w:pPr>
              <w:ind w:left="20"/>
              <w:spacing w:after="0"/>
              <w:rPr>
                <w:sz w:val="20"/>
                <w:szCs w:val="20"/>
                <w:color w:val="auto"/>
              </w:rPr>
            </w:pPr>
            <w:r>
              <w:rPr>
                <w:rFonts w:ascii="Arial" w:cs="Arial" w:eastAsia="Arial" w:hAnsi="Arial"/>
                <w:sz w:val="15"/>
                <w:szCs w:val="15"/>
                <w:b w:val="1"/>
                <w:bCs w:val="1"/>
                <w:color w:val="auto"/>
              </w:rPr>
              <w:t>Other Information</w:t>
            </w: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20"/>
        </w:trPr>
        <w:tc>
          <w:tcPr>
            <w:tcW w:w="6260" w:type="dxa"/>
            <w:vAlign w:val="bottom"/>
            <w:shd w:val="clear" w:color="auto" w:fill="CCEEFF"/>
          </w:tcPr>
          <w:p>
            <w:pPr>
              <w:ind w:left="120"/>
              <w:spacing w:after="0"/>
              <w:rPr>
                <w:sz w:val="20"/>
                <w:szCs w:val="20"/>
                <w:color w:val="auto"/>
              </w:rPr>
            </w:pPr>
            <w:r>
              <w:rPr>
                <w:rFonts w:ascii="Arial" w:cs="Arial" w:eastAsia="Arial" w:hAnsi="Arial"/>
                <w:sz w:val="15"/>
                <w:szCs w:val="15"/>
                <w:color w:val="auto"/>
              </w:rPr>
              <w:t>Number of properties</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rPr>
              <w:t>426</w:t>
            </w:r>
          </w:p>
        </w:tc>
        <w:tc>
          <w:tcPr>
            <w:tcW w:w="3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rPr>
              <w:t>382</w:t>
            </w:r>
          </w:p>
        </w:tc>
        <w:tc>
          <w:tcPr>
            <w:tcW w:w="3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rPr>
              <w:t>44</w:t>
            </w:r>
          </w:p>
        </w:tc>
      </w:tr>
      <w:tr>
        <w:trPr>
          <w:trHeight w:val="256"/>
        </w:trPr>
        <w:tc>
          <w:tcPr>
            <w:tcW w:w="62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60" w:type="dxa"/>
            <w:vAlign w:val="bottom"/>
          </w:tcPr>
          <w:p>
            <w:pPr>
              <w:spacing w:after="0"/>
              <w:rPr>
                <w:sz w:val="22"/>
                <w:szCs w:val="22"/>
                <w:color w:val="auto"/>
              </w:rPr>
            </w:pPr>
          </w:p>
        </w:tc>
      </w:tr>
      <w:tr>
        <w:trPr>
          <w:trHeight w:val="216"/>
        </w:trPr>
        <w:tc>
          <w:tcPr>
            <w:tcW w:w="6260" w:type="dxa"/>
            <w:vAlign w:val="bottom"/>
            <w:shd w:val="clear" w:color="auto" w:fill="CCEEFF"/>
          </w:tcPr>
          <w:p>
            <w:pPr>
              <w:ind w:left="120"/>
              <w:spacing w:after="0"/>
              <w:rPr>
                <w:sz w:val="20"/>
                <w:szCs w:val="20"/>
                <w:color w:val="auto"/>
              </w:rPr>
            </w:pPr>
            <w:r>
              <w:rPr>
                <w:rFonts w:ascii="Arial" w:cs="Arial" w:eastAsia="Arial" w:hAnsi="Arial"/>
                <w:sz w:val="15"/>
                <w:szCs w:val="15"/>
                <w:color w:val="auto"/>
              </w:rPr>
              <w:t>MH occupancy</w:t>
            </w: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96.5 %</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212"/>
        </w:trPr>
        <w:tc>
          <w:tcPr>
            <w:tcW w:w="6260" w:type="dxa"/>
            <w:vAlign w:val="bottom"/>
          </w:tcPr>
          <w:p>
            <w:pPr>
              <w:ind w:left="120"/>
              <w:spacing w:after="0"/>
              <w:rPr>
                <w:sz w:val="20"/>
                <w:szCs w:val="20"/>
                <w:color w:val="auto"/>
              </w:rPr>
            </w:pPr>
            <w:r>
              <w:rPr>
                <w:rFonts w:ascii="Arial" w:cs="Arial" w:eastAsia="Arial" w:hAnsi="Arial"/>
                <w:sz w:val="15"/>
                <w:szCs w:val="15"/>
                <w:color w:val="auto"/>
              </w:rPr>
              <w:t>RV occupancy</w:t>
            </w: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5"/>
                <w:szCs w:val="15"/>
                <w:color w:val="auto"/>
              </w:rPr>
              <w:t>100.0 %</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20"/>
        </w:trPr>
        <w:tc>
          <w:tcPr>
            <w:tcW w:w="6260" w:type="dxa"/>
            <w:vAlign w:val="bottom"/>
            <w:shd w:val="clear" w:color="auto" w:fill="CCEEFF"/>
          </w:tcPr>
          <w:p>
            <w:pPr>
              <w:ind w:left="140"/>
              <w:spacing w:after="0"/>
              <w:rPr>
                <w:sz w:val="20"/>
                <w:szCs w:val="20"/>
                <w:color w:val="auto"/>
              </w:rPr>
            </w:pPr>
            <w:r>
              <w:rPr>
                <w:rFonts w:ascii="Arial" w:cs="Arial" w:eastAsia="Arial" w:hAnsi="Arial"/>
                <w:sz w:val="15"/>
                <w:szCs w:val="15"/>
                <w:color w:val="auto"/>
              </w:rPr>
              <w:t xml:space="preserve">MH &amp; RV blended occupancy </w:t>
            </w:r>
            <w:r>
              <w:rPr>
                <w:rFonts w:ascii="Arial" w:cs="Arial" w:eastAsia="Arial" w:hAnsi="Arial"/>
                <w:sz w:val="9"/>
                <w:szCs w:val="9"/>
                <w:color w:val="auto"/>
              </w:rPr>
              <w:t>(1)</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97.3 %</w:t>
            </w:r>
          </w:p>
        </w:tc>
        <w:tc>
          <w:tcPr>
            <w:tcW w:w="3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96.6 %</w:t>
            </w:r>
          </w:p>
        </w:tc>
        <w:tc>
          <w:tcPr>
            <w:tcW w:w="3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0.7 %</w:t>
            </w:r>
          </w:p>
        </w:tc>
      </w:tr>
      <w:tr>
        <w:trPr>
          <w:trHeight w:val="256"/>
        </w:trPr>
        <w:tc>
          <w:tcPr>
            <w:tcW w:w="62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60" w:type="dxa"/>
            <w:vAlign w:val="bottom"/>
          </w:tcPr>
          <w:p>
            <w:pPr>
              <w:spacing w:after="0"/>
              <w:rPr>
                <w:sz w:val="22"/>
                <w:szCs w:val="22"/>
                <w:color w:val="auto"/>
              </w:rPr>
            </w:pPr>
          </w:p>
        </w:tc>
      </w:tr>
      <w:tr>
        <w:trPr>
          <w:trHeight w:val="216"/>
        </w:trPr>
        <w:tc>
          <w:tcPr>
            <w:tcW w:w="6260" w:type="dxa"/>
            <w:vAlign w:val="bottom"/>
            <w:shd w:val="clear" w:color="auto" w:fill="CCEEFF"/>
          </w:tcPr>
          <w:p>
            <w:pPr>
              <w:ind w:left="120"/>
              <w:spacing w:after="0"/>
              <w:rPr>
                <w:sz w:val="20"/>
                <w:szCs w:val="20"/>
                <w:color w:val="auto"/>
              </w:rPr>
            </w:pPr>
            <w:r>
              <w:rPr>
                <w:rFonts w:ascii="Arial" w:cs="Arial" w:eastAsia="Arial" w:hAnsi="Arial"/>
                <w:sz w:val="15"/>
                <w:szCs w:val="15"/>
                <w:color w:val="auto"/>
              </w:rPr>
              <w:t>Sites available for development</w:t>
            </w: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rPr>
              <w:t>9,742</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rPr>
              <w:t>10,754</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rPr>
              <w:t>(1,012)</w:t>
            </w:r>
          </w:p>
        </w:tc>
      </w:tr>
      <w:tr>
        <w:trPr>
          <w:trHeight w:val="257"/>
        </w:trPr>
        <w:tc>
          <w:tcPr>
            <w:tcW w:w="62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60" w:type="dxa"/>
            <w:vAlign w:val="bottom"/>
          </w:tcPr>
          <w:p>
            <w:pPr>
              <w:spacing w:after="0"/>
              <w:rPr>
                <w:sz w:val="22"/>
                <w:szCs w:val="22"/>
                <w:color w:val="auto"/>
              </w:rPr>
            </w:pPr>
          </w:p>
        </w:tc>
      </w:tr>
      <w:tr>
        <w:trPr>
          <w:trHeight w:val="216"/>
        </w:trPr>
        <w:tc>
          <w:tcPr>
            <w:tcW w:w="6260" w:type="dxa"/>
            <w:vAlign w:val="bottom"/>
            <w:shd w:val="clear" w:color="auto" w:fill="CCEEFF"/>
          </w:tcPr>
          <w:p>
            <w:pPr>
              <w:ind w:left="120"/>
              <w:spacing w:after="0"/>
              <w:rPr>
                <w:sz w:val="20"/>
                <w:szCs w:val="20"/>
                <w:color w:val="auto"/>
              </w:rPr>
            </w:pPr>
            <w:r>
              <w:rPr>
                <w:rFonts w:ascii="Arial" w:cs="Arial" w:eastAsia="Arial" w:hAnsi="Arial"/>
                <w:sz w:val="15"/>
                <w:szCs w:val="15"/>
                <w:color w:val="auto"/>
              </w:rPr>
              <w:t>Monthly base rent per site - MH</w:t>
            </w:r>
          </w:p>
        </w:tc>
        <w:tc>
          <w:tcPr>
            <w:tcW w:w="1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95"/>
              </w:rPr>
              <w:t>$</w:t>
            </w:r>
          </w:p>
        </w:tc>
        <w:tc>
          <w:tcPr>
            <w:tcW w:w="126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rPr>
              <w:t>584</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c>
          <w:tcPr>
            <w:tcW w:w="126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rPr>
              <w:t>568</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w w:val="95"/>
              </w:rPr>
              <w:t>$</w:t>
            </w:r>
          </w:p>
        </w:tc>
        <w:tc>
          <w:tcPr>
            <w:tcW w:w="116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rPr>
              <w:t>16</w:t>
            </w:r>
          </w:p>
        </w:tc>
      </w:tr>
      <w:tr>
        <w:trPr>
          <w:trHeight w:val="212"/>
        </w:trPr>
        <w:tc>
          <w:tcPr>
            <w:tcW w:w="6260" w:type="dxa"/>
            <w:vAlign w:val="bottom"/>
          </w:tcPr>
          <w:p>
            <w:pPr>
              <w:ind w:left="140"/>
              <w:spacing w:after="0"/>
              <w:rPr>
                <w:sz w:val="20"/>
                <w:szCs w:val="20"/>
                <w:color w:val="auto"/>
              </w:rPr>
            </w:pPr>
            <w:r>
              <w:rPr>
                <w:rFonts w:ascii="Arial" w:cs="Arial" w:eastAsia="Arial" w:hAnsi="Arial"/>
                <w:sz w:val="15"/>
                <w:szCs w:val="15"/>
                <w:color w:val="auto"/>
              </w:rPr>
              <w:t xml:space="preserve">Monthly base rent per site - RV </w:t>
            </w:r>
            <w:r>
              <w:rPr>
                <w:rFonts w:ascii="Arial" w:cs="Arial" w:eastAsia="Arial" w:hAnsi="Arial"/>
                <w:sz w:val="9"/>
                <w:szCs w:val="9"/>
                <w:color w:val="auto"/>
              </w:rPr>
              <w:t>(2)</w:t>
            </w:r>
          </w:p>
        </w:tc>
        <w:tc>
          <w:tcPr>
            <w:tcW w:w="180" w:type="dxa"/>
            <w:vAlign w:val="bottom"/>
          </w:tcPr>
          <w:p>
            <w:pPr>
              <w:jc w:val="right"/>
              <w:ind w:right="4"/>
              <w:spacing w:after="0"/>
              <w:rPr>
                <w:sz w:val="20"/>
                <w:szCs w:val="20"/>
                <w:color w:val="auto"/>
              </w:rPr>
            </w:pPr>
            <w:r>
              <w:rPr>
                <w:rFonts w:ascii="Arial" w:cs="Arial" w:eastAsia="Arial" w:hAnsi="Arial"/>
                <w:sz w:val="15"/>
                <w:szCs w:val="15"/>
                <w:color w:val="auto"/>
                <w:w w:val="95"/>
              </w:rPr>
              <w:t>$</w:t>
            </w:r>
          </w:p>
        </w:tc>
        <w:tc>
          <w:tcPr>
            <w:tcW w:w="1260" w:type="dxa"/>
            <w:vAlign w:val="bottom"/>
          </w:tcPr>
          <w:p>
            <w:pPr>
              <w:jc w:val="right"/>
              <w:ind w:right="124"/>
              <w:spacing w:after="0"/>
              <w:rPr>
                <w:sz w:val="20"/>
                <w:szCs w:val="20"/>
                <w:color w:val="auto"/>
              </w:rPr>
            </w:pPr>
            <w:r>
              <w:rPr>
                <w:rFonts w:ascii="Arial" w:cs="Arial" w:eastAsia="Arial" w:hAnsi="Arial"/>
                <w:sz w:val="15"/>
                <w:szCs w:val="15"/>
                <w:color w:val="auto"/>
              </w:rPr>
              <w:t>497</w:t>
            </w:r>
          </w:p>
        </w:tc>
        <w:tc>
          <w:tcPr>
            <w:tcW w:w="52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1260" w:type="dxa"/>
            <w:vAlign w:val="bottom"/>
          </w:tcPr>
          <w:p>
            <w:pPr>
              <w:jc w:val="right"/>
              <w:ind w:right="124"/>
              <w:spacing w:after="0"/>
              <w:rPr>
                <w:sz w:val="20"/>
                <w:szCs w:val="20"/>
                <w:color w:val="auto"/>
              </w:rPr>
            </w:pPr>
            <w:r>
              <w:rPr>
                <w:rFonts w:ascii="Arial" w:cs="Arial" w:eastAsia="Arial" w:hAnsi="Arial"/>
                <w:sz w:val="15"/>
                <w:szCs w:val="15"/>
                <w:color w:val="auto"/>
              </w:rPr>
              <w:t>472</w:t>
            </w:r>
          </w:p>
        </w:tc>
        <w:tc>
          <w:tcPr>
            <w:tcW w:w="320" w:type="dxa"/>
            <w:vAlign w:val="bottom"/>
          </w:tcPr>
          <w:p>
            <w:pPr>
              <w:jc w:val="right"/>
              <w:ind w:right="150"/>
              <w:spacing w:after="0"/>
              <w:rPr>
                <w:sz w:val="20"/>
                <w:szCs w:val="20"/>
                <w:color w:val="auto"/>
              </w:rPr>
            </w:pPr>
            <w:r>
              <w:rPr>
                <w:rFonts w:ascii="Arial" w:cs="Arial" w:eastAsia="Arial" w:hAnsi="Arial"/>
                <w:sz w:val="10"/>
                <w:szCs w:val="10"/>
                <w:color w:val="auto"/>
                <w:w w:val="81"/>
              </w:rPr>
              <w:t>(3)</w:t>
            </w:r>
          </w:p>
        </w:tc>
        <w:tc>
          <w:tcPr>
            <w:tcW w:w="280" w:type="dxa"/>
            <w:vAlign w:val="bottom"/>
          </w:tcPr>
          <w:p>
            <w:pPr>
              <w:jc w:val="right"/>
              <w:ind w:right="104"/>
              <w:spacing w:after="0"/>
              <w:rPr>
                <w:sz w:val="20"/>
                <w:szCs w:val="20"/>
                <w:color w:val="auto"/>
              </w:rPr>
            </w:pPr>
            <w:r>
              <w:rPr>
                <w:rFonts w:ascii="Arial" w:cs="Arial" w:eastAsia="Arial" w:hAnsi="Arial"/>
                <w:sz w:val="15"/>
                <w:szCs w:val="15"/>
                <w:color w:val="auto"/>
                <w:w w:val="95"/>
              </w:rPr>
              <w:t>$</w:t>
            </w:r>
          </w:p>
        </w:tc>
        <w:tc>
          <w:tcPr>
            <w:tcW w:w="1160" w:type="dxa"/>
            <w:vAlign w:val="bottom"/>
          </w:tcPr>
          <w:p>
            <w:pPr>
              <w:jc w:val="right"/>
              <w:ind w:right="124"/>
              <w:spacing w:after="0"/>
              <w:rPr>
                <w:sz w:val="20"/>
                <w:szCs w:val="20"/>
                <w:color w:val="auto"/>
              </w:rPr>
            </w:pPr>
            <w:r>
              <w:rPr>
                <w:rFonts w:ascii="Arial" w:cs="Arial" w:eastAsia="Arial" w:hAnsi="Arial"/>
                <w:sz w:val="15"/>
                <w:szCs w:val="15"/>
                <w:color w:val="auto"/>
              </w:rPr>
              <w:t>25</w:t>
            </w:r>
          </w:p>
        </w:tc>
      </w:tr>
      <w:tr>
        <w:trPr>
          <w:trHeight w:val="220"/>
        </w:trPr>
        <w:tc>
          <w:tcPr>
            <w:tcW w:w="6260" w:type="dxa"/>
            <w:vAlign w:val="bottom"/>
            <w:shd w:val="clear" w:color="auto" w:fill="CCEEFF"/>
          </w:tcPr>
          <w:p>
            <w:pPr>
              <w:ind w:left="120"/>
              <w:spacing w:after="0"/>
              <w:rPr>
                <w:sz w:val="20"/>
                <w:szCs w:val="20"/>
                <w:color w:val="auto"/>
              </w:rPr>
            </w:pPr>
            <w:r>
              <w:rPr>
                <w:rFonts w:ascii="Arial" w:cs="Arial" w:eastAsia="Arial" w:hAnsi="Arial"/>
                <w:sz w:val="15"/>
                <w:szCs w:val="15"/>
                <w:color w:val="auto"/>
              </w:rPr>
              <w:t>Monthly base rent per site - Total</w:t>
            </w:r>
          </w:p>
        </w:tc>
        <w:tc>
          <w:tcPr>
            <w:tcW w:w="1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95"/>
              </w:rPr>
              <w:t>$</w:t>
            </w:r>
          </w:p>
        </w:tc>
        <w:tc>
          <w:tcPr>
            <w:tcW w:w="126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rPr>
              <w:t>565</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c>
          <w:tcPr>
            <w:tcW w:w="126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rPr>
              <w:t>546</w:t>
            </w:r>
          </w:p>
        </w:tc>
        <w:tc>
          <w:tcPr>
            <w:tcW w:w="320" w:type="dxa"/>
            <w:vAlign w:val="bottom"/>
            <w:shd w:val="clear" w:color="auto" w:fill="CCEEFF"/>
          </w:tcPr>
          <w:p>
            <w:pPr>
              <w:jc w:val="right"/>
              <w:ind w:right="150"/>
              <w:spacing w:after="0"/>
              <w:rPr>
                <w:sz w:val="20"/>
                <w:szCs w:val="20"/>
                <w:color w:val="auto"/>
              </w:rPr>
            </w:pPr>
            <w:r>
              <w:rPr>
                <w:rFonts w:ascii="Arial" w:cs="Arial" w:eastAsia="Arial" w:hAnsi="Arial"/>
                <w:sz w:val="10"/>
                <w:szCs w:val="10"/>
                <w:color w:val="auto"/>
                <w:w w:val="81"/>
              </w:rPr>
              <w:t>(3)</w:t>
            </w:r>
          </w:p>
        </w:tc>
        <w:tc>
          <w:tcPr>
            <w:tcW w:w="28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w w:val="95"/>
              </w:rPr>
              <w:t>$</w:t>
            </w:r>
          </w:p>
        </w:tc>
        <w:tc>
          <w:tcPr>
            <w:tcW w:w="116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rPr>
              <w:t>19</w:t>
            </w:r>
          </w:p>
        </w:tc>
      </w:tr>
    </w:tbl>
    <w:p>
      <w:pPr>
        <w:spacing w:after="0" w:line="95" w:lineRule="exact"/>
        <w:rPr>
          <w:sz w:val="20"/>
          <w:szCs w:val="20"/>
          <w:color w:val="auto"/>
        </w:rPr>
      </w:pPr>
    </w:p>
    <w:p>
      <w:pPr>
        <w:ind w:left="140" w:hanging="132"/>
        <w:spacing w:after="0"/>
        <w:tabs>
          <w:tab w:leader="none" w:pos="140" w:val="left"/>
        </w:tabs>
        <w:numPr>
          <w:ilvl w:val="0"/>
          <w:numId w:val="25"/>
        </w:numPr>
        <w:rPr>
          <w:rFonts w:ascii="Arial" w:cs="Arial" w:eastAsia="Arial" w:hAnsi="Arial"/>
          <w:sz w:val="16"/>
          <w:szCs w:val="16"/>
          <w:color w:val="auto"/>
          <w:vertAlign w:val="superscript"/>
        </w:rPr>
      </w:pPr>
      <w:r>
        <w:rPr>
          <w:rFonts w:ascii="Arial" w:cs="Arial" w:eastAsia="Arial" w:hAnsi="Arial"/>
          <w:sz w:val="13"/>
          <w:szCs w:val="13"/>
          <w:color w:val="auto"/>
        </w:rPr>
        <w:t>Overall occupancy percentage includes MH and annual RV sites and excludes transient RV sites.</w:t>
      </w:r>
    </w:p>
    <w:p>
      <w:pPr>
        <w:spacing w:after="0" w:line="3" w:lineRule="exact"/>
        <w:rPr>
          <w:rFonts w:ascii="Arial" w:cs="Arial" w:eastAsia="Arial" w:hAnsi="Arial"/>
          <w:sz w:val="16"/>
          <w:szCs w:val="16"/>
          <w:color w:val="auto"/>
          <w:vertAlign w:val="superscript"/>
        </w:rPr>
      </w:pPr>
    </w:p>
    <w:p>
      <w:pPr>
        <w:ind w:left="140" w:hanging="132"/>
        <w:spacing w:after="0" w:line="228" w:lineRule="auto"/>
        <w:tabs>
          <w:tab w:leader="none" w:pos="140" w:val="left"/>
        </w:tabs>
        <w:numPr>
          <w:ilvl w:val="0"/>
          <w:numId w:val="25"/>
        </w:numPr>
        <w:rPr>
          <w:rFonts w:ascii="Arial" w:cs="Arial" w:eastAsia="Arial" w:hAnsi="Arial"/>
          <w:sz w:val="16"/>
          <w:szCs w:val="16"/>
          <w:color w:val="auto"/>
          <w:vertAlign w:val="superscript"/>
        </w:rPr>
      </w:pPr>
      <w:r>
        <w:rPr>
          <w:rFonts w:ascii="Arial" w:cs="Arial" w:eastAsia="Arial" w:hAnsi="Arial"/>
          <w:sz w:val="13"/>
          <w:szCs w:val="13"/>
          <w:color w:val="auto"/>
        </w:rPr>
        <w:t>Monthly base rent pertains to annual RV sites and excludes transient RV sites.</w:t>
      </w:r>
    </w:p>
    <w:p>
      <w:pPr>
        <w:ind w:left="140" w:hanging="132"/>
        <w:spacing w:after="0" w:line="237" w:lineRule="auto"/>
        <w:tabs>
          <w:tab w:leader="none" w:pos="140" w:val="left"/>
        </w:tabs>
        <w:numPr>
          <w:ilvl w:val="0"/>
          <w:numId w:val="25"/>
        </w:numPr>
        <w:rPr>
          <w:rFonts w:ascii="Arial" w:cs="Arial" w:eastAsia="Arial" w:hAnsi="Arial"/>
          <w:sz w:val="16"/>
          <w:szCs w:val="16"/>
          <w:color w:val="auto"/>
          <w:vertAlign w:val="superscript"/>
        </w:rPr>
      </w:pPr>
      <w:r>
        <w:rPr>
          <w:rFonts w:ascii="Arial" w:cs="Arial" w:eastAsia="Arial" w:hAnsi="Arial"/>
          <w:sz w:val="13"/>
          <w:szCs w:val="13"/>
          <w:color w:val="auto"/>
        </w:rPr>
        <w:t>Canadian currency figures included within the three and six months ended June 30,2019 have been translated at 2020 average exchange rates.</w:t>
      </w:r>
    </w:p>
    <w:p>
      <w:pPr>
        <w:spacing w:after="0" w:line="22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$6.5 million increase in Real Property NOI consists of $1.9 million from Same Communities as detailed below and $4.6 million from recently acquired properties in the three months ended June 30, 2020 as compared to the same period in 2019.</w:t>
      </w:r>
    </w:p>
    <w:p>
      <w:pPr>
        <w:spacing w:after="0" w:line="19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$21.2 million increase in Real Property NOI consists of $11.3 million from Same Communities as detailed below and $9.9 million from recently acquired properties in the six months ended June 30, 2020 as compared to the same period in 2019.</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38" w:name="page39"/>
    <w:bookmarkEnd w:id="38"/>
    <w:p>
      <w:pPr>
        <w:jc w:val="center"/>
        <w:spacing w:after="0"/>
        <w:rPr>
          <w:sz w:val="20"/>
          <w:szCs w:val="20"/>
          <w:color w:val="auto"/>
        </w:rPr>
      </w:pPr>
      <w:r>
        <w:rPr>
          <w:rFonts w:ascii="Arial" w:cs="Arial" w:eastAsia="Arial" w:hAnsi="Arial"/>
          <w:sz w:val="18"/>
          <w:szCs w:val="18"/>
          <w:b w:val="1"/>
          <w:bCs w:val="1"/>
          <w:color w:val="auto"/>
        </w:rPr>
        <w:t>SUN COMMUNITIES, INC.</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Real Property Operations - Same Communities</w:t>
      </w:r>
    </w:p>
    <w:p>
      <w:pPr>
        <w:spacing w:after="0" w:line="25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 key management tool used when evaluating performance and growth of our properties is a comparison of our Same Communities. The Same Communities data includes all properties which we have owned and operated continuously since January 1, 2019, exclusive of properties recently completed or under construction, and other properties as determined by management. The Same Community data may change from time-to-time depending on acquisitions, dispositions, management discretion, significant transactions, or unique situations. In order to evaluate the growth of the Same Communities, management has classified certain items differently than our GAAP statements. The reclassification difference between our GAAP statements and our Same Community portfolio is the reclassification of water and sewer revenues from income from real property to utilities. A significant portion of our utility charges are re-billed to our residents.</w:t>
      </w:r>
    </w:p>
    <w:p>
      <w:pPr>
        <w:spacing w:after="0" w:line="22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tables reflect certain financial and other information for our Same Communities as of and for the three and six months ended June 30, 2020 and 2019.</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326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gridSpan w:val="4"/>
          </w:tcPr>
          <w:p>
            <w:pPr>
              <w:jc w:val="right"/>
              <w:ind w:right="244"/>
              <w:spacing w:after="0"/>
              <w:rPr>
                <w:sz w:val="20"/>
                <w:szCs w:val="20"/>
                <w:color w:val="auto"/>
              </w:rPr>
            </w:pPr>
            <w:r>
              <w:rPr>
                <w:rFonts w:ascii="Arial" w:cs="Arial" w:eastAsia="Arial" w:hAnsi="Arial"/>
                <w:sz w:val="15"/>
                <w:szCs w:val="15"/>
                <w:b w:val="1"/>
                <w:bCs w:val="1"/>
                <w:color w:val="auto"/>
                <w:w w:val="94"/>
              </w:rPr>
              <w:t>Three Months Ended</w:t>
            </w:r>
          </w:p>
        </w:tc>
        <w:tc>
          <w:tcPr>
            <w:tcW w:w="1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gridSpan w:val="4"/>
          </w:tcPr>
          <w:p>
            <w:pPr>
              <w:jc w:val="right"/>
              <w:ind w:right="324"/>
              <w:spacing w:after="0"/>
              <w:rPr>
                <w:sz w:val="20"/>
                <w:szCs w:val="20"/>
                <w:color w:val="auto"/>
              </w:rPr>
            </w:pPr>
            <w:r>
              <w:rPr>
                <w:rFonts w:ascii="Arial" w:cs="Arial" w:eastAsia="Arial" w:hAnsi="Arial"/>
                <w:sz w:val="15"/>
                <w:szCs w:val="15"/>
                <w:b w:val="1"/>
                <w:bCs w:val="1"/>
                <w:color w:val="auto"/>
                <w:w w:val="98"/>
              </w:rPr>
              <w:t>Six Months Ended</w:t>
            </w:r>
          </w:p>
        </w:tc>
        <w:tc>
          <w:tcPr>
            <w:tcW w:w="1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r>
      <w:tr>
        <w:trPr>
          <w:trHeight w:val="207"/>
        </w:trPr>
        <w:tc>
          <w:tcPr>
            <w:tcW w:w="3260" w:type="dxa"/>
            <w:vAlign w:val="bottom"/>
          </w:tcPr>
          <w:p>
            <w:pPr>
              <w:spacing w:after="0"/>
              <w:rPr>
                <w:sz w:val="18"/>
                <w:szCs w:val="18"/>
                <w:color w:val="auto"/>
              </w:rPr>
            </w:pPr>
          </w:p>
        </w:tc>
        <w:tc>
          <w:tcPr>
            <w:tcW w:w="1060" w:type="dxa"/>
            <w:vAlign w:val="bottom"/>
            <w:gridSpan w:val="3"/>
          </w:tcPr>
          <w:p>
            <w:pPr>
              <w:ind w:left="40"/>
              <w:spacing w:after="0"/>
              <w:rPr>
                <w:sz w:val="20"/>
                <w:szCs w:val="20"/>
                <w:color w:val="auto"/>
              </w:rPr>
            </w:pPr>
            <w:r>
              <w:rPr>
                <w:rFonts w:ascii="Arial" w:cs="Arial" w:eastAsia="Arial" w:hAnsi="Arial"/>
                <w:sz w:val="15"/>
                <w:szCs w:val="15"/>
                <w:b w:val="1"/>
                <w:bCs w:val="1"/>
                <w:color w:val="auto"/>
              </w:rPr>
              <w:t>June 30, 2020</w:t>
            </w:r>
          </w:p>
        </w:tc>
        <w:tc>
          <w:tcPr>
            <w:tcW w:w="1080" w:type="dxa"/>
            <w:vAlign w:val="bottom"/>
            <w:gridSpan w:val="3"/>
          </w:tcPr>
          <w:p>
            <w:pPr>
              <w:ind w:left="60"/>
              <w:spacing w:after="0"/>
              <w:rPr>
                <w:sz w:val="20"/>
                <w:szCs w:val="20"/>
                <w:color w:val="auto"/>
              </w:rPr>
            </w:pPr>
            <w:r>
              <w:rPr>
                <w:rFonts w:ascii="Arial" w:cs="Arial" w:eastAsia="Arial" w:hAnsi="Arial"/>
                <w:sz w:val="15"/>
                <w:szCs w:val="15"/>
                <w:b w:val="1"/>
                <w:bCs w:val="1"/>
                <w:color w:val="auto"/>
              </w:rPr>
              <w:t>June 30, 2019</w:t>
            </w:r>
          </w:p>
        </w:tc>
        <w:tc>
          <w:tcPr>
            <w:tcW w:w="120" w:type="dxa"/>
            <w:vAlign w:val="bottom"/>
          </w:tcPr>
          <w:p>
            <w:pPr>
              <w:spacing w:after="0"/>
              <w:rPr>
                <w:sz w:val="18"/>
                <w:szCs w:val="18"/>
                <w:color w:val="auto"/>
              </w:rPr>
            </w:pPr>
          </w:p>
        </w:tc>
        <w:tc>
          <w:tcPr>
            <w:tcW w:w="680" w:type="dxa"/>
            <w:vAlign w:val="bottom"/>
          </w:tcPr>
          <w:p>
            <w:pPr>
              <w:jc w:val="right"/>
              <w:ind w:right="64"/>
              <w:spacing w:after="0"/>
              <w:rPr>
                <w:sz w:val="20"/>
                <w:szCs w:val="20"/>
                <w:color w:val="auto"/>
              </w:rPr>
            </w:pPr>
            <w:r>
              <w:rPr>
                <w:rFonts w:ascii="Arial" w:cs="Arial" w:eastAsia="Arial" w:hAnsi="Arial"/>
                <w:sz w:val="15"/>
                <w:szCs w:val="15"/>
                <w:b w:val="1"/>
                <w:bCs w:val="1"/>
                <w:color w:val="auto"/>
                <w:w w:val="94"/>
              </w:rPr>
              <w:t>Change</w:t>
            </w:r>
          </w:p>
        </w:tc>
        <w:tc>
          <w:tcPr>
            <w:tcW w:w="100" w:type="dxa"/>
            <w:vAlign w:val="bottom"/>
          </w:tcPr>
          <w:p>
            <w:pPr>
              <w:spacing w:after="0"/>
              <w:rPr>
                <w:sz w:val="18"/>
                <w:szCs w:val="18"/>
                <w:color w:val="auto"/>
              </w:rPr>
            </w:pPr>
          </w:p>
        </w:tc>
        <w:tc>
          <w:tcPr>
            <w:tcW w:w="1060" w:type="dxa"/>
            <w:vAlign w:val="bottom"/>
            <w:gridSpan w:val="2"/>
          </w:tcPr>
          <w:p>
            <w:pPr>
              <w:ind w:left="60"/>
              <w:spacing w:after="0"/>
              <w:rPr>
                <w:sz w:val="20"/>
                <w:szCs w:val="20"/>
                <w:color w:val="auto"/>
              </w:rPr>
            </w:pPr>
            <w:r>
              <w:rPr>
                <w:rFonts w:ascii="Arial" w:cs="Arial" w:eastAsia="Arial" w:hAnsi="Arial"/>
                <w:sz w:val="15"/>
                <w:szCs w:val="15"/>
                <w:b w:val="1"/>
                <w:bCs w:val="1"/>
                <w:color w:val="auto"/>
              </w:rPr>
              <w:t>% Change</w:t>
            </w:r>
          </w:p>
        </w:tc>
        <w:tc>
          <w:tcPr>
            <w:tcW w:w="1080" w:type="dxa"/>
            <w:vAlign w:val="bottom"/>
            <w:gridSpan w:val="3"/>
          </w:tcPr>
          <w:p>
            <w:pPr>
              <w:ind w:left="40"/>
              <w:spacing w:after="0"/>
              <w:rPr>
                <w:sz w:val="20"/>
                <w:szCs w:val="20"/>
                <w:color w:val="auto"/>
              </w:rPr>
            </w:pPr>
            <w:r>
              <w:rPr>
                <w:rFonts w:ascii="Arial" w:cs="Arial" w:eastAsia="Arial" w:hAnsi="Arial"/>
                <w:sz w:val="15"/>
                <w:szCs w:val="15"/>
                <w:b w:val="1"/>
                <w:bCs w:val="1"/>
                <w:color w:val="auto"/>
              </w:rPr>
              <w:t>June 30, 2020</w:t>
            </w:r>
          </w:p>
        </w:tc>
        <w:tc>
          <w:tcPr>
            <w:tcW w:w="1080" w:type="dxa"/>
            <w:vAlign w:val="bottom"/>
            <w:gridSpan w:val="3"/>
          </w:tcPr>
          <w:p>
            <w:pPr>
              <w:ind w:left="40"/>
              <w:spacing w:after="0"/>
              <w:rPr>
                <w:sz w:val="20"/>
                <w:szCs w:val="20"/>
                <w:color w:val="auto"/>
              </w:rPr>
            </w:pPr>
            <w:r>
              <w:rPr>
                <w:rFonts w:ascii="Arial" w:cs="Arial" w:eastAsia="Arial" w:hAnsi="Arial"/>
                <w:sz w:val="15"/>
                <w:szCs w:val="15"/>
                <w:b w:val="1"/>
                <w:bCs w:val="1"/>
                <w:color w:val="auto"/>
              </w:rPr>
              <w:t>June 30, 2019</w:t>
            </w:r>
          </w:p>
        </w:tc>
        <w:tc>
          <w:tcPr>
            <w:tcW w:w="100" w:type="dxa"/>
            <w:vAlign w:val="bottom"/>
          </w:tcPr>
          <w:p>
            <w:pPr>
              <w:spacing w:after="0"/>
              <w:rPr>
                <w:sz w:val="18"/>
                <w:szCs w:val="18"/>
                <w:color w:val="auto"/>
              </w:rPr>
            </w:pPr>
          </w:p>
        </w:tc>
        <w:tc>
          <w:tcPr>
            <w:tcW w:w="680" w:type="dxa"/>
            <w:vAlign w:val="bottom"/>
          </w:tcPr>
          <w:p>
            <w:pPr>
              <w:jc w:val="right"/>
              <w:ind w:right="64"/>
              <w:spacing w:after="0"/>
              <w:rPr>
                <w:sz w:val="20"/>
                <w:szCs w:val="20"/>
                <w:color w:val="auto"/>
              </w:rPr>
            </w:pPr>
            <w:r>
              <w:rPr>
                <w:rFonts w:ascii="Arial" w:cs="Arial" w:eastAsia="Arial" w:hAnsi="Arial"/>
                <w:sz w:val="15"/>
                <w:szCs w:val="15"/>
                <w:b w:val="1"/>
                <w:bCs w:val="1"/>
                <w:color w:val="auto"/>
                <w:w w:val="94"/>
              </w:rPr>
              <w:t>Change</w:t>
            </w:r>
          </w:p>
        </w:tc>
        <w:tc>
          <w:tcPr>
            <w:tcW w:w="100" w:type="dxa"/>
            <w:vAlign w:val="bottom"/>
          </w:tcPr>
          <w:p>
            <w:pPr>
              <w:spacing w:after="0"/>
              <w:rPr>
                <w:sz w:val="18"/>
                <w:szCs w:val="18"/>
                <w:color w:val="auto"/>
              </w:rPr>
            </w:pPr>
          </w:p>
        </w:tc>
        <w:tc>
          <w:tcPr>
            <w:tcW w:w="840" w:type="dxa"/>
            <w:vAlign w:val="bottom"/>
            <w:gridSpan w:val="2"/>
          </w:tcPr>
          <w:p>
            <w:pPr>
              <w:jc w:val="right"/>
              <w:ind w:right="4"/>
              <w:spacing w:after="0"/>
              <w:rPr>
                <w:sz w:val="20"/>
                <w:szCs w:val="20"/>
                <w:color w:val="auto"/>
              </w:rPr>
            </w:pPr>
            <w:r>
              <w:rPr>
                <w:rFonts w:ascii="Arial" w:cs="Arial" w:eastAsia="Arial" w:hAnsi="Arial"/>
                <w:sz w:val="15"/>
                <w:szCs w:val="15"/>
                <w:b w:val="1"/>
                <w:bCs w:val="1"/>
                <w:color w:val="auto"/>
              </w:rPr>
              <w:t>% Change</w:t>
            </w:r>
          </w:p>
        </w:tc>
      </w:tr>
      <w:tr>
        <w:trPr>
          <w:trHeight w:val="198"/>
        </w:trPr>
        <w:tc>
          <w:tcPr>
            <w:tcW w:w="3260" w:type="dxa"/>
            <w:vAlign w:val="bottom"/>
          </w:tcPr>
          <w:p>
            <w:pPr>
              <w:ind w:left="20"/>
              <w:spacing w:after="0"/>
              <w:rPr>
                <w:sz w:val="20"/>
                <w:szCs w:val="20"/>
                <w:color w:val="auto"/>
              </w:rPr>
            </w:pPr>
            <w:r>
              <w:rPr>
                <w:rFonts w:ascii="Arial" w:cs="Arial" w:eastAsia="Arial" w:hAnsi="Arial"/>
                <w:sz w:val="15"/>
                <w:szCs w:val="15"/>
                <w:b w:val="1"/>
                <w:bCs w:val="1"/>
                <w:color w:val="auto"/>
              </w:rPr>
              <w:t>Financial Information (in thousands)</w:t>
            </w:r>
          </w:p>
        </w:tc>
        <w:tc>
          <w:tcPr>
            <w:tcW w:w="20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r>
      <w:tr>
        <w:trPr>
          <w:trHeight w:val="220"/>
        </w:trPr>
        <w:tc>
          <w:tcPr>
            <w:tcW w:w="3260" w:type="dxa"/>
            <w:vAlign w:val="bottom"/>
            <w:shd w:val="clear" w:color="auto" w:fill="CCEEFF"/>
          </w:tcPr>
          <w:p>
            <w:pPr>
              <w:ind w:left="120"/>
              <w:spacing w:after="0"/>
              <w:rPr>
                <w:sz w:val="20"/>
                <w:szCs w:val="20"/>
                <w:color w:val="auto"/>
              </w:rPr>
            </w:pPr>
            <w:r>
              <w:rPr>
                <w:rFonts w:ascii="Arial" w:cs="Arial" w:eastAsia="Arial" w:hAnsi="Arial"/>
                <w:sz w:val="15"/>
                <w:szCs w:val="15"/>
                <w:color w:val="auto"/>
              </w:rPr>
              <w:t>Income from real property</w:t>
            </w:r>
          </w:p>
        </w:tc>
        <w:tc>
          <w:tcPr>
            <w:tcW w:w="200" w:type="dxa"/>
            <w:vAlign w:val="bottom"/>
            <w:shd w:val="clear" w:color="auto" w:fill="CCEEFF"/>
          </w:tcPr>
          <w:p>
            <w:pPr>
              <w:ind w:left="20"/>
              <w:spacing w:after="0"/>
              <w:rPr>
                <w:sz w:val="20"/>
                <w:szCs w:val="20"/>
                <w:color w:val="auto"/>
              </w:rPr>
            </w:pPr>
            <w:r>
              <w:rPr>
                <w:rFonts w:ascii="Arial" w:cs="Arial" w:eastAsia="Arial" w:hAnsi="Arial"/>
                <w:sz w:val="15"/>
                <w:szCs w:val="15"/>
                <w:color w:val="auto"/>
              </w:rPr>
              <w:t>$</w:t>
            </w:r>
          </w:p>
        </w:tc>
        <w:tc>
          <w:tcPr>
            <w:tcW w:w="76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204,478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84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208,214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68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(3,736)</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(1.8)%</w:t>
            </w: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419,150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412,352</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rPr>
              <w:t>6,798</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1.6</w:t>
            </w:r>
          </w:p>
        </w:tc>
        <w:tc>
          <w:tcPr>
            <w:tcW w:w="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r>
      <w:tr>
        <w:trPr>
          <w:trHeight w:val="212"/>
        </w:trPr>
        <w:tc>
          <w:tcPr>
            <w:tcW w:w="3260" w:type="dxa"/>
            <w:vAlign w:val="bottom"/>
          </w:tcPr>
          <w:p>
            <w:pPr>
              <w:ind w:left="120"/>
              <w:spacing w:after="0"/>
              <w:rPr>
                <w:sz w:val="20"/>
                <w:szCs w:val="20"/>
                <w:color w:val="auto"/>
              </w:rPr>
            </w:pPr>
            <w:r>
              <w:rPr>
                <w:rFonts w:ascii="Arial" w:cs="Arial" w:eastAsia="Arial" w:hAnsi="Arial"/>
                <w:sz w:val="15"/>
                <w:szCs w:val="15"/>
                <w:color w:val="auto"/>
              </w:rPr>
              <w:t>Property operating expenses</w:t>
            </w: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20"/>
        </w:trPr>
        <w:tc>
          <w:tcPr>
            <w:tcW w:w="3260" w:type="dxa"/>
            <w:vAlign w:val="bottom"/>
            <w:shd w:val="clear" w:color="auto" w:fill="CCEEFF"/>
          </w:tcPr>
          <w:p>
            <w:pPr>
              <w:ind w:left="320"/>
              <w:spacing w:after="0"/>
              <w:rPr>
                <w:sz w:val="20"/>
                <w:szCs w:val="20"/>
                <w:color w:val="auto"/>
              </w:rPr>
            </w:pPr>
            <w:r>
              <w:rPr>
                <w:rFonts w:ascii="Arial" w:cs="Arial" w:eastAsia="Arial" w:hAnsi="Arial"/>
                <w:sz w:val="15"/>
                <w:szCs w:val="15"/>
                <w:color w:val="auto"/>
              </w:rPr>
              <w:t>Payroll and benefits</w:t>
            </w: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17,981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21,232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(3,251)</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(15.3)%</w:t>
            </w: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36,793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39,656</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(2,863)</w:t>
            </w:r>
          </w:p>
        </w:tc>
        <w:tc>
          <w:tcPr>
            <w:tcW w:w="94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(7.2)%</w:t>
            </w:r>
          </w:p>
        </w:tc>
      </w:tr>
      <w:tr>
        <w:trPr>
          <w:trHeight w:val="212"/>
        </w:trPr>
        <w:tc>
          <w:tcPr>
            <w:tcW w:w="3260" w:type="dxa"/>
            <w:vAlign w:val="bottom"/>
          </w:tcPr>
          <w:p>
            <w:pPr>
              <w:ind w:left="320"/>
              <w:spacing w:after="0"/>
              <w:rPr>
                <w:sz w:val="20"/>
                <w:szCs w:val="20"/>
                <w:color w:val="auto"/>
              </w:rPr>
            </w:pPr>
            <w:r>
              <w:rPr>
                <w:rFonts w:ascii="Arial" w:cs="Arial" w:eastAsia="Arial" w:hAnsi="Arial"/>
                <w:sz w:val="15"/>
                <w:szCs w:val="15"/>
                <w:color w:val="auto"/>
              </w:rPr>
              <w:t>Legal, taxes, and insurance</w:t>
            </w:r>
          </w:p>
        </w:tc>
        <w:tc>
          <w:tcPr>
            <w:tcW w:w="200" w:type="dxa"/>
            <w:vAlign w:val="bottom"/>
          </w:tcPr>
          <w:p>
            <w:pPr>
              <w:spacing w:after="0"/>
              <w:rPr>
                <w:sz w:val="18"/>
                <w:szCs w:val="18"/>
                <w:color w:val="auto"/>
              </w:rPr>
            </w:pPr>
          </w:p>
        </w:tc>
        <w:tc>
          <w:tcPr>
            <w:tcW w:w="760" w:type="dxa"/>
            <w:vAlign w:val="bottom"/>
          </w:tcPr>
          <w:p>
            <w:pPr>
              <w:jc w:val="right"/>
              <w:ind w:right="64"/>
              <w:spacing w:after="0"/>
              <w:rPr>
                <w:sz w:val="20"/>
                <w:szCs w:val="20"/>
                <w:color w:val="auto"/>
              </w:rPr>
            </w:pPr>
            <w:r>
              <w:rPr>
                <w:rFonts w:ascii="Arial" w:cs="Arial" w:eastAsia="Arial" w:hAnsi="Arial"/>
                <w:sz w:val="15"/>
                <w:szCs w:val="15"/>
                <w:color w:val="auto"/>
              </w:rPr>
              <w:t>2,427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ind w:right="64"/>
              <w:spacing w:after="0"/>
              <w:rPr>
                <w:sz w:val="20"/>
                <w:szCs w:val="20"/>
                <w:color w:val="auto"/>
              </w:rPr>
            </w:pPr>
            <w:r>
              <w:rPr>
                <w:rFonts w:ascii="Arial" w:cs="Arial" w:eastAsia="Arial" w:hAnsi="Arial"/>
                <w:sz w:val="15"/>
                <w:szCs w:val="15"/>
                <w:color w:val="auto"/>
              </w:rPr>
              <w:t>2,272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ind w:right="84"/>
              <w:spacing w:after="0"/>
              <w:rPr>
                <w:sz w:val="20"/>
                <w:szCs w:val="20"/>
                <w:color w:val="auto"/>
              </w:rPr>
            </w:pPr>
            <w:r>
              <w:rPr>
                <w:rFonts w:ascii="Arial" w:cs="Arial" w:eastAsia="Arial" w:hAnsi="Arial"/>
                <w:sz w:val="15"/>
                <w:szCs w:val="15"/>
                <w:color w:val="auto"/>
              </w:rPr>
              <w:t>155</w:t>
            </w:r>
          </w:p>
        </w:tc>
        <w:tc>
          <w:tcPr>
            <w:tcW w:w="920" w:type="dxa"/>
            <w:vAlign w:val="bottom"/>
            <w:gridSpan w:val="2"/>
          </w:tcPr>
          <w:p>
            <w:pPr>
              <w:jc w:val="right"/>
              <w:spacing w:after="0"/>
              <w:rPr>
                <w:sz w:val="20"/>
                <w:szCs w:val="20"/>
                <w:color w:val="auto"/>
              </w:rPr>
            </w:pPr>
            <w:r>
              <w:rPr>
                <w:rFonts w:ascii="Arial" w:cs="Arial" w:eastAsia="Arial" w:hAnsi="Arial"/>
                <w:sz w:val="15"/>
                <w:szCs w:val="15"/>
                <w:color w:val="auto"/>
              </w:rPr>
              <w:t>6.8 %</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ind w:right="64"/>
              <w:spacing w:after="0"/>
              <w:rPr>
                <w:sz w:val="20"/>
                <w:szCs w:val="20"/>
                <w:color w:val="auto"/>
              </w:rPr>
            </w:pPr>
            <w:r>
              <w:rPr>
                <w:rFonts w:ascii="Arial" w:cs="Arial" w:eastAsia="Arial" w:hAnsi="Arial"/>
                <w:sz w:val="15"/>
                <w:szCs w:val="15"/>
                <w:color w:val="auto"/>
              </w:rPr>
              <w:t>5,315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ind w:right="64"/>
              <w:spacing w:after="0"/>
              <w:rPr>
                <w:sz w:val="20"/>
                <w:szCs w:val="20"/>
                <w:color w:val="auto"/>
              </w:rPr>
            </w:pPr>
            <w:r>
              <w:rPr>
                <w:rFonts w:ascii="Arial" w:cs="Arial" w:eastAsia="Arial" w:hAnsi="Arial"/>
                <w:sz w:val="15"/>
                <w:szCs w:val="15"/>
                <w:color w:val="auto"/>
              </w:rPr>
              <w:t>4,611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ind w:right="84"/>
              <w:spacing w:after="0"/>
              <w:rPr>
                <w:sz w:val="20"/>
                <w:szCs w:val="20"/>
                <w:color w:val="auto"/>
              </w:rPr>
            </w:pPr>
            <w:r>
              <w:rPr>
                <w:rFonts w:ascii="Arial" w:cs="Arial" w:eastAsia="Arial" w:hAnsi="Arial"/>
                <w:sz w:val="15"/>
                <w:szCs w:val="15"/>
                <w:color w:val="auto"/>
              </w:rPr>
              <w:t>704</w:t>
            </w:r>
          </w:p>
        </w:tc>
        <w:tc>
          <w:tcPr>
            <w:tcW w:w="760" w:type="dxa"/>
            <w:vAlign w:val="bottom"/>
            <w:gridSpan w:val="2"/>
          </w:tcPr>
          <w:p>
            <w:pPr>
              <w:jc w:val="right"/>
              <w:spacing w:after="0"/>
              <w:rPr>
                <w:sz w:val="20"/>
                <w:szCs w:val="20"/>
                <w:color w:val="auto"/>
              </w:rPr>
            </w:pPr>
            <w:r>
              <w:rPr>
                <w:rFonts w:ascii="Arial" w:cs="Arial" w:eastAsia="Arial" w:hAnsi="Arial"/>
                <w:sz w:val="15"/>
                <w:szCs w:val="15"/>
                <w:color w:val="auto"/>
              </w:rPr>
              <w:t>15.3</w:t>
            </w:r>
          </w:p>
        </w:tc>
        <w:tc>
          <w:tcPr>
            <w:tcW w:w="18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20"/>
        </w:trPr>
        <w:tc>
          <w:tcPr>
            <w:tcW w:w="3260" w:type="dxa"/>
            <w:vAlign w:val="bottom"/>
            <w:shd w:val="clear" w:color="auto" w:fill="CCEEFF"/>
          </w:tcPr>
          <w:p>
            <w:pPr>
              <w:ind w:left="320"/>
              <w:spacing w:after="0"/>
              <w:rPr>
                <w:sz w:val="20"/>
                <w:szCs w:val="20"/>
                <w:color w:val="auto"/>
              </w:rPr>
            </w:pPr>
            <w:r>
              <w:rPr>
                <w:rFonts w:ascii="Arial" w:cs="Arial" w:eastAsia="Arial" w:hAnsi="Arial"/>
                <w:sz w:val="15"/>
                <w:szCs w:val="15"/>
                <w:color w:val="auto"/>
              </w:rPr>
              <w:t>Utilities</w:t>
            </w: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13,476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14,512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(1,036)</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(7.1)%</w:t>
            </w: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28,586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30,232</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(1,646)</w:t>
            </w:r>
          </w:p>
        </w:tc>
        <w:tc>
          <w:tcPr>
            <w:tcW w:w="94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(5.4)%</w:t>
            </w:r>
          </w:p>
        </w:tc>
      </w:tr>
      <w:tr>
        <w:trPr>
          <w:trHeight w:val="212"/>
        </w:trPr>
        <w:tc>
          <w:tcPr>
            <w:tcW w:w="3260" w:type="dxa"/>
            <w:vAlign w:val="bottom"/>
          </w:tcPr>
          <w:p>
            <w:pPr>
              <w:ind w:left="320"/>
              <w:spacing w:after="0"/>
              <w:rPr>
                <w:sz w:val="20"/>
                <w:szCs w:val="20"/>
                <w:color w:val="auto"/>
              </w:rPr>
            </w:pPr>
            <w:r>
              <w:rPr>
                <w:rFonts w:ascii="Arial" w:cs="Arial" w:eastAsia="Arial" w:hAnsi="Arial"/>
                <w:sz w:val="15"/>
                <w:szCs w:val="15"/>
                <w:color w:val="auto"/>
              </w:rPr>
              <w:t>Supplies and repairs</w:t>
            </w:r>
          </w:p>
        </w:tc>
        <w:tc>
          <w:tcPr>
            <w:tcW w:w="200" w:type="dxa"/>
            <w:vAlign w:val="bottom"/>
          </w:tcPr>
          <w:p>
            <w:pPr>
              <w:spacing w:after="0"/>
              <w:rPr>
                <w:sz w:val="18"/>
                <w:szCs w:val="18"/>
                <w:color w:val="auto"/>
              </w:rPr>
            </w:pPr>
          </w:p>
        </w:tc>
        <w:tc>
          <w:tcPr>
            <w:tcW w:w="760" w:type="dxa"/>
            <w:vAlign w:val="bottom"/>
          </w:tcPr>
          <w:p>
            <w:pPr>
              <w:jc w:val="right"/>
              <w:ind w:right="64"/>
              <w:spacing w:after="0"/>
              <w:rPr>
                <w:sz w:val="20"/>
                <w:szCs w:val="20"/>
                <w:color w:val="auto"/>
              </w:rPr>
            </w:pPr>
            <w:r>
              <w:rPr>
                <w:rFonts w:ascii="Arial" w:cs="Arial" w:eastAsia="Arial" w:hAnsi="Arial"/>
                <w:sz w:val="15"/>
                <w:szCs w:val="15"/>
                <w:color w:val="auto"/>
              </w:rPr>
              <w:t>8,188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ind w:right="64"/>
              <w:spacing w:after="0"/>
              <w:rPr>
                <w:sz w:val="20"/>
                <w:szCs w:val="20"/>
                <w:color w:val="auto"/>
              </w:rPr>
            </w:pPr>
            <w:r>
              <w:rPr>
                <w:rFonts w:ascii="Arial" w:cs="Arial" w:eastAsia="Arial" w:hAnsi="Arial"/>
                <w:sz w:val="15"/>
                <w:szCs w:val="15"/>
                <w:color w:val="auto"/>
              </w:rPr>
              <w:t>9,325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ind w:right="44"/>
              <w:spacing w:after="0"/>
              <w:rPr>
                <w:sz w:val="20"/>
                <w:szCs w:val="20"/>
                <w:color w:val="auto"/>
              </w:rPr>
            </w:pPr>
            <w:r>
              <w:rPr>
                <w:rFonts w:ascii="Arial" w:cs="Arial" w:eastAsia="Arial" w:hAnsi="Arial"/>
                <w:sz w:val="15"/>
                <w:szCs w:val="15"/>
                <w:color w:val="auto"/>
              </w:rPr>
              <w:t>(1,137)</w:t>
            </w:r>
          </w:p>
        </w:tc>
        <w:tc>
          <w:tcPr>
            <w:tcW w:w="920" w:type="dxa"/>
            <w:vAlign w:val="bottom"/>
            <w:gridSpan w:val="2"/>
          </w:tcPr>
          <w:p>
            <w:pPr>
              <w:jc w:val="right"/>
              <w:spacing w:after="0"/>
              <w:rPr>
                <w:sz w:val="20"/>
                <w:szCs w:val="20"/>
                <w:color w:val="auto"/>
              </w:rPr>
            </w:pPr>
            <w:r>
              <w:rPr>
                <w:rFonts w:ascii="Arial" w:cs="Arial" w:eastAsia="Arial" w:hAnsi="Arial"/>
                <w:sz w:val="15"/>
                <w:szCs w:val="15"/>
                <w:color w:val="auto"/>
              </w:rPr>
              <w:t>(12.2)%</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ind w:right="64"/>
              <w:spacing w:after="0"/>
              <w:rPr>
                <w:sz w:val="20"/>
                <w:szCs w:val="20"/>
                <w:color w:val="auto"/>
              </w:rPr>
            </w:pPr>
            <w:r>
              <w:rPr>
                <w:rFonts w:ascii="Arial" w:cs="Arial" w:eastAsia="Arial" w:hAnsi="Arial"/>
                <w:sz w:val="15"/>
                <w:szCs w:val="15"/>
                <w:color w:val="auto"/>
              </w:rPr>
              <w:t>14,317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ind w:right="64"/>
              <w:spacing w:after="0"/>
              <w:rPr>
                <w:sz w:val="20"/>
                <w:szCs w:val="20"/>
                <w:color w:val="auto"/>
              </w:rPr>
            </w:pPr>
            <w:r>
              <w:rPr>
                <w:rFonts w:ascii="Arial" w:cs="Arial" w:eastAsia="Arial" w:hAnsi="Arial"/>
                <w:sz w:val="15"/>
                <w:szCs w:val="15"/>
                <w:color w:val="auto"/>
              </w:rPr>
              <w:t>15,627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ind w:right="44"/>
              <w:spacing w:after="0"/>
              <w:rPr>
                <w:sz w:val="20"/>
                <w:szCs w:val="20"/>
                <w:color w:val="auto"/>
              </w:rPr>
            </w:pPr>
            <w:r>
              <w:rPr>
                <w:rFonts w:ascii="Arial" w:cs="Arial" w:eastAsia="Arial" w:hAnsi="Arial"/>
                <w:sz w:val="15"/>
                <w:szCs w:val="15"/>
                <w:color w:val="auto"/>
              </w:rPr>
              <w:t>(1,310)</w:t>
            </w:r>
          </w:p>
        </w:tc>
        <w:tc>
          <w:tcPr>
            <w:tcW w:w="940" w:type="dxa"/>
            <w:vAlign w:val="bottom"/>
            <w:gridSpan w:val="3"/>
          </w:tcPr>
          <w:p>
            <w:pPr>
              <w:jc w:val="right"/>
              <w:spacing w:after="0"/>
              <w:rPr>
                <w:sz w:val="20"/>
                <w:szCs w:val="20"/>
                <w:color w:val="auto"/>
              </w:rPr>
            </w:pPr>
            <w:r>
              <w:rPr>
                <w:rFonts w:ascii="Arial" w:cs="Arial" w:eastAsia="Arial" w:hAnsi="Arial"/>
                <w:sz w:val="15"/>
                <w:szCs w:val="15"/>
                <w:color w:val="auto"/>
              </w:rPr>
              <w:t>(8.4)%</w:t>
            </w:r>
          </w:p>
        </w:tc>
      </w:tr>
      <w:tr>
        <w:trPr>
          <w:trHeight w:val="220"/>
        </w:trPr>
        <w:tc>
          <w:tcPr>
            <w:tcW w:w="3260" w:type="dxa"/>
            <w:vAlign w:val="bottom"/>
            <w:shd w:val="clear" w:color="auto" w:fill="CCEEFF"/>
          </w:tcPr>
          <w:p>
            <w:pPr>
              <w:ind w:left="340"/>
              <w:spacing w:after="0"/>
              <w:rPr>
                <w:sz w:val="20"/>
                <w:szCs w:val="20"/>
                <w:color w:val="auto"/>
              </w:rPr>
            </w:pPr>
            <w:r>
              <w:rPr>
                <w:rFonts w:ascii="Arial" w:cs="Arial" w:eastAsia="Arial" w:hAnsi="Arial"/>
                <w:sz w:val="15"/>
                <w:szCs w:val="15"/>
                <w:color w:val="auto"/>
              </w:rPr>
              <w:t xml:space="preserve">Other </w:t>
            </w:r>
            <w:r>
              <w:rPr>
                <w:rFonts w:ascii="Arial" w:cs="Arial" w:eastAsia="Arial" w:hAnsi="Arial"/>
                <w:sz w:val="9"/>
                <w:szCs w:val="9"/>
                <w:color w:val="auto"/>
              </w:rPr>
              <w:t>(1)</w:t>
            </w: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6,276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7,262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(986)</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(13.6)%</w:t>
            </w: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11,843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12,667</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(824)</w:t>
            </w:r>
          </w:p>
        </w:tc>
        <w:tc>
          <w:tcPr>
            <w:tcW w:w="94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(6.5)%</w:t>
            </w:r>
          </w:p>
        </w:tc>
      </w:tr>
      <w:tr>
        <w:trPr>
          <w:trHeight w:val="212"/>
        </w:trPr>
        <w:tc>
          <w:tcPr>
            <w:tcW w:w="3260" w:type="dxa"/>
            <w:vAlign w:val="bottom"/>
            <w:tcBorders>
              <w:bottom w:val="single" w:sz="8" w:color="CCEEFF"/>
            </w:tcBorders>
          </w:tcPr>
          <w:p>
            <w:pPr>
              <w:ind w:left="320"/>
              <w:spacing w:after="0"/>
              <w:rPr>
                <w:sz w:val="20"/>
                <w:szCs w:val="20"/>
                <w:color w:val="auto"/>
              </w:rPr>
            </w:pPr>
            <w:r>
              <w:rPr>
                <w:rFonts w:ascii="Arial" w:cs="Arial" w:eastAsia="Arial" w:hAnsi="Arial"/>
                <w:sz w:val="15"/>
                <w:szCs w:val="15"/>
                <w:color w:val="auto"/>
              </w:rPr>
              <w:t>Real estate taxes</w:t>
            </w: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color w:val="auto"/>
              </w:rPr>
              <w:t>16,076</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color w:val="auto"/>
              </w:rPr>
              <w:t>15,436</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color w:val="auto"/>
              </w:rPr>
              <w:t>640</w:t>
            </w:r>
          </w:p>
        </w:tc>
        <w:tc>
          <w:tcPr>
            <w:tcW w:w="920" w:type="dxa"/>
            <w:vAlign w:val="bottom"/>
            <w:tcBorders>
              <w:bottom w:val="single" w:sz="8" w:color="CCEEFF"/>
            </w:tcBorders>
            <w:gridSpan w:val="2"/>
          </w:tcPr>
          <w:p>
            <w:pPr>
              <w:jc w:val="right"/>
              <w:spacing w:after="0"/>
              <w:rPr>
                <w:sz w:val="20"/>
                <w:szCs w:val="20"/>
                <w:color w:val="auto"/>
              </w:rPr>
            </w:pPr>
            <w:r>
              <w:rPr>
                <w:rFonts w:ascii="Arial" w:cs="Arial" w:eastAsia="Arial" w:hAnsi="Arial"/>
                <w:sz w:val="15"/>
                <w:szCs w:val="15"/>
                <w:color w:val="auto"/>
              </w:rPr>
              <w:t>4.1 %</w:t>
            </w:r>
          </w:p>
        </w:tc>
        <w:tc>
          <w:tcPr>
            <w:tcW w:w="2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color w:val="auto"/>
              </w:rPr>
              <w:t>32,040</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color w:val="auto"/>
              </w:rPr>
              <w:t>30,596</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color w:val="auto"/>
              </w:rPr>
              <w:t>1,444</w:t>
            </w:r>
          </w:p>
        </w:tc>
        <w:tc>
          <w:tcPr>
            <w:tcW w:w="760" w:type="dxa"/>
            <w:vAlign w:val="bottom"/>
            <w:tcBorders>
              <w:bottom w:val="single" w:sz="8" w:color="CCEEFF"/>
            </w:tcBorders>
            <w:gridSpan w:val="2"/>
          </w:tcPr>
          <w:p>
            <w:pPr>
              <w:jc w:val="right"/>
              <w:spacing w:after="0"/>
              <w:rPr>
                <w:sz w:val="20"/>
                <w:szCs w:val="20"/>
                <w:color w:val="auto"/>
              </w:rPr>
            </w:pPr>
            <w:r>
              <w:rPr>
                <w:rFonts w:ascii="Arial" w:cs="Arial" w:eastAsia="Arial" w:hAnsi="Arial"/>
                <w:sz w:val="15"/>
                <w:szCs w:val="15"/>
                <w:color w:val="auto"/>
              </w:rPr>
              <w:t>4.7</w:t>
            </w:r>
          </w:p>
        </w:tc>
        <w:tc>
          <w:tcPr>
            <w:tcW w:w="180" w:type="dxa"/>
            <w:vAlign w:val="bottom"/>
            <w:tcBorders>
              <w:bottom w:val="single" w:sz="8" w:color="CCEEFF"/>
            </w:tcBorders>
          </w:tcPr>
          <w:p>
            <w:pPr>
              <w:jc w:val="right"/>
              <w:spacing w:after="0"/>
              <w:rPr>
                <w:sz w:val="20"/>
                <w:szCs w:val="20"/>
                <w:color w:val="auto"/>
              </w:rPr>
            </w:pPr>
            <w:r>
              <w:rPr>
                <w:rFonts w:ascii="Arial" w:cs="Arial" w:eastAsia="Arial" w:hAnsi="Arial"/>
                <w:sz w:val="15"/>
                <w:szCs w:val="15"/>
                <w:color w:val="auto"/>
              </w:rPr>
              <w:t>%</w:t>
            </w:r>
          </w:p>
        </w:tc>
      </w:tr>
      <w:tr>
        <w:trPr>
          <w:trHeight w:val="209"/>
        </w:trPr>
        <w:tc>
          <w:tcPr>
            <w:tcW w:w="3260" w:type="dxa"/>
            <w:vAlign w:val="bottom"/>
            <w:shd w:val="clear" w:color="auto" w:fill="CCEEFF"/>
          </w:tcPr>
          <w:p>
            <w:pPr>
              <w:ind w:left="320"/>
              <w:spacing w:after="0"/>
              <w:rPr>
                <w:sz w:val="20"/>
                <w:szCs w:val="20"/>
                <w:color w:val="auto"/>
              </w:rPr>
            </w:pPr>
            <w:r>
              <w:rPr>
                <w:rFonts w:ascii="Arial" w:cs="Arial" w:eastAsia="Arial" w:hAnsi="Arial"/>
                <w:sz w:val="15"/>
                <w:szCs w:val="15"/>
                <w:color w:val="auto"/>
              </w:rPr>
              <w:t>Property operating expenses</w:t>
            </w:r>
          </w:p>
        </w:tc>
        <w:tc>
          <w:tcPr>
            <w:tcW w:w="2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64"/>
              <w:spacing w:after="0"/>
              <w:rPr>
                <w:sz w:val="20"/>
                <w:szCs w:val="20"/>
                <w:color w:val="auto"/>
              </w:rPr>
            </w:pPr>
            <w:r>
              <w:rPr>
                <w:rFonts w:ascii="Arial" w:cs="Arial" w:eastAsia="Arial" w:hAnsi="Arial"/>
                <w:sz w:val="15"/>
                <w:szCs w:val="15"/>
                <w:color w:val="auto"/>
              </w:rPr>
              <w:t>64,424</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64"/>
              <w:spacing w:after="0"/>
              <w:rPr>
                <w:sz w:val="20"/>
                <w:szCs w:val="20"/>
                <w:color w:val="auto"/>
              </w:rPr>
            </w:pPr>
            <w:r>
              <w:rPr>
                <w:rFonts w:ascii="Arial" w:cs="Arial" w:eastAsia="Arial" w:hAnsi="Arial"/>
                <w:sz w:val="15"/>
                <w:szCs w:val="15"/>
                <w:color w:val="auto"/>
              </w:rPr>
              <w:t>70,039</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rPr>
              <w:t>(5,615)</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(8.0)%</w:t>
            </w:r>
          </w:p>
        </w:tc>
        <w:tc>
          <w:tcPr>
            <w:tcW w:w="2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64"/>
              <w:spacing w:after="0"/>
              <w:rPr>
                <w:sz w:val="20"/>
                <w:szCs w:val="20"/>
                <w:color w:val="auto"/>
              </w:rPr>
            </w:pPr>
            <w:r>
              <w:rPr>
                <w:rFonts w:ascii="Arial" w:cs="Arial" w:eastAsia="Arial" w:hAnsi="Arial"/>
                <w:sz w:val="15"/>
                <w:szCs w:val="15"/>
                <w:color w:val="auto"/>
              </w:rPr>
              <w:t>128,894</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64"/>
              <w:spacing w:after="0"/>
              <w:rPr>
                <w:sz w:val="20"/>
                <w:szCs w:val="20"/>
                <w:color w:val="auto"/>
              </w:rPr>
            </w:pPr>
            <w:r>
              <w:rPr>
                <w:rFonts w:ascii="Arial" w:cs="Arial" w:eastAsia="Arial" w:hAnsi="Arial"/>
                <w:sz w:val="15"/>
                <w:szCs w:val="15"/>
                <w:color w:val="auto"/>
              </w:rPr>
              <w:t>133,389</w:t>
            </w: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rPr>
              <w:t>(4,495)</w:t>
            </w:r>
          </w:p>
        </w:tc>
        <w:tc>
          <w:tcPr>
            <w:tcW w:w="94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(3.4)%</w:t>
            </w:r>
          </w:p>
        </w:tc>
      </w:tr>
      <w:tr>
        <w:trPr>
          <w:trHeight w:val="214"/>
        </w:trPr>
        <w:tc>
          <w:tcPr>
            <w:tcW w:w="3260" w:type="dxa"/>
            <w:vAlign w:val="bottom"/>
          </w:tcPr>
          <w:p>
            <w:pPr>
              <w:ind w:left="120"/>
              <w:spacing w:after="0"/>
              <w:rPr>
                <w:sz w:val="20"/>
                <w:szCs w:val="20"/>
                <w:color w:val="auto"/>
              </w:rPr>
            </w:pPr>
            <w:r>
              <w:rPr>
                <w:rFonts w:ascii="Arial" w:cs="Arial" w:eastAsia="Arial" w:hAnsi="Arial"/>
                <w:sz w:val="15"/>
                <w:szCs w:val="15"/>
                <w:color w:val="auto"/>
              </w:rPr>
              <w:t>Real Property NOI</w:t>
            </w:r>
          </w:p>
        </w:tc>
        <w:tc>
          <w:tcPr>
            <w:tcW w:w="20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w:t>
            </w:r>
          </w:p>
        </w:tc>
        <w:tc>
          <w:tcPr>
            <w:tcW w:w="76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color w:val="auto"/>
              </w:rPr>
              <w:t>140,054</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84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color w:val="auto"/>
              </w:rPr>
              <w:t>138,175</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68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color w:val="auto"/>
              </w:rPr>
              <w:t>1,879</w:t>
            </w:r>
          </w:p>
        </w:tc>
        <w:tc>
          <w:tcPr>
            <w:tcW w:w="920" w:type="dxa"/>
            <w:vAlign w:val="bottom"/>
            <w:gridSpan w:val="2"/>
          </w:tcPr>
          <w:p>
            <w:pPr>
              <w:jc w:val="right"/>
              <w:spacing w:after="0"/>
              <w:rPr>
                <w:sz w:val="20"/>
                <w:szCs w:val="20"/>
                <w:color w:val="auto"/>
              </w:rPr>
            </w:pPr>
            <w:r>
              <w:rPr>
                <w:rFonts w:ascii="Arial" w:cs="Arial" w:eastAsia="Arial" w:hAnsi="Arial"/>
                <w:sz w:val="15"/>
                <w:szCs w:val="15"/>
                <w:color w:val="auto"/>
              </w:rPr>
              <w:t>1.4 %</w:t>
            </w:r>
          </w:p>
        </w:tc>
        <w:tc>
          <w:tcPr>
            <w:tcW w:w="240" w:type="dxa"/>
            <w:vAlign w:val="bottom"/>
          </w:tcPr>
          <w:p>
            <w:pPr>
              <w:spacing w:after="0"/>
              <w:rPr>
                <w:sz w:val="18"/>
                <w:szCs w:val="18"/>
                <w:color w:val="auto"/>
              </w:rPr>
            </w:pPr>
          </w:p>
        </w:tc>
        <w:tc>
          <w:tcPr>
            <w:tcW w:w="20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color w:val="auto"/>
              </w:rPr>
              <w:t>290,256</w:t>
            </w:r>
          </w:p>
        </w:tc>
        <w:tc>
          <w:tcPr>
            <w:tcW w:w="120" w:type="dxa"/>
            <w:vAlign w:val="bottom"/>
          </w:tcPr>
          <w:p>
            <w:pPr>
              <w:spacing w:after="0"/>
              <w:rPr>
                <w:sz w:val="18"/>
                <w:szCs w:val="18"/>
                <w:color w:val="auto"/>
              </w:rPr>
            </w:pPr>
          </w:p>
        </w:tc>
        <w:tc>
          <w:tcPr>
            <w:tcW w:w="16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color w:val="auto"/>
              </w:rPr>
              <w:t>278,963</w:t>
            </w:r>
          </w:p>
        </w:tc>
        <w:tc>
          <w:tcPr>
            <w:tcW w:w="1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color w:val="auto"/>
              </w:rPr>
              <w:t>11,293</w:t>
            </w:r>
          </w:p>
        </w:tc>
        <w:tc>
          <w:tcPr>
            <w:tcW w:w="760" w:type="dxa"/>
            <w:vAlign w:val="bottom"/>
            <w:gridSpan w:val="2"/>
          </w:tcPr>
          <w:p>
            <w:pPr>
              <w:jc w:val="right"/>
              <w:spacing w:after="0"/>
              <w:rPr>
                <w:sz w:val="20"/>
                <w:szCs w:val="20"/>
                <w:color w:val="auto"/>
              </w:rPr>
            </w:pPr>
            <w:r>
              <w:rPr>
                <w:rFonts w:ascii="Arial" w:cs="Arial" w:eastAsia="Arial" w:hAnsi="Arial"/>
                <w:sz w:val="15"/>
                <w:szCs w:val="15"/>
                <w:color w:val="auto"/>
              </w:rPr>
              <w:t>4.0</w:t>
            </w:r>
          </w:p>
        </w:tc>
        <w:tc>
          <w:tcPr>
            <w:tcW w:w="18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0"/>
        </w:trPr>
        <w:tc>
          <w:tcPr>
            <w:tcW w:w="3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82" w:lineRule="exact"/>
        <w:rPr>
          <w:sz w:val="20"/>
          <w:szCs w:val="20"/>
          <w:color w:val="auto"/>
        </w:rPr>
      </w:pPr>
    </w:p>
    <w:p>
      <w:pPr>
        <w:ind w:left="160" w:hanging="152"/>
        <w:spacing w:after="0"/>
        <w:tabs>
          <w:tab w:leader="none" w:pos="160" w:val="left"/>
        </w:tabs>
        <w:numPr>
          <w:ilvl w:val="0"/>
          <w:numId w:val="26"/>
        </w:numPr>
        <w:rPr>
          <w:rFonts w:ascii="Arial" w:cs="Arial" w:eastAsia="Arial" w:hAnsi="Arial"/>
          <w:sz w:val="18"/>
          <w:szCs w:val="18"/>
          <w:color w:val="auto"/>
          <w:vertAlign w:val="superscript"/>
        </w:rPr>
      </w:pPr>
      <w:r>
        <w:rPr>
          <w:rFonts w:ascii="Arial" w:cs="Arial" w:eastAsia="Arial" w:hAnsi="Arial"/>
          <w:sz w:val="14"/>
          <w:szCs w:val="14"/>
          <w:color w:val="auto"/>
        </w:rPr>
        <w:t>Includes COVID-19 personal protective equipment expense of $910 for the six month ended June 2020.</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63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gridSpan w:val="3"/>
          </w:tcPr>
          <w:p>
            <w:pPr>
              <w:jc w:val="right"/>
              <w:ind w:right="24"/>
              <w:spacing w:after="0"/>
              <w:rPr>
                <w:sz w:val="20"/>
                <w:szCs w:val="20"/>
                <w:color w:val="auto"/>
              </w:rPr>
            </w:pPr>
            <w:r>
              <w:rPr>
                <w:rFonts w:ascii="Arial" w:cs="Arial" w:eastAsia="Arial" w:hAnsi="Arial"/>
                <w:sz w:val="15"/>
                <w:szCs w:val="15"/>
                <w:b w:val="1"/>
                <w:bCs w:val="1"/>
                <w:color w:val="auto"/>
              </w:rPr>
              <w:t>As of</w:t>
            </w:r>
          </w:p>
        </w:tc>
        <w:tc>
          <w:tcPr>
            <w:tcW w:w="134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7"/>
        </w:trPr>
        <w:tc>
          <w:tcPr>
            <w:tcW w:w="6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gridSpan w:val="2"/>
          </w:tcPr>
          <w:p>
            <w:pPr>
              <w:ind w:left="120"/>
              <w:spacing w:after="0"/>
              <w:rPr>
                <w:sz w:val="20"/>
                <w:szCs w:val="20"/>
                <w:color w:val="auto"/>
              </w:rPr>
            </w:pPr>
            <w:r>
              <w:rPr>
                <w:rFonts w:ascii="Arial" w:cs="Arial" w:eastAsia="Arial" w:hAnsi="Arial"/>
                <w:sz w:val="15"/>
                <w:szCs w:val="15"/>
                <w:b w:val="1"/>
                <w:bCs w:val="1"/>
                <w:color w:val="auto"/>
              </w:rPr>
              <w:t>June 30, 2020</w:t>
            </w:r>
          </w:p>
        </w:tc>
        <w:tc>
          <w:tcPr>
            <w:tcW w:w="220" w:type="dxa"/>
            <w:vAlign w:val="bottom"/>
          </w:tcPr>
          <w:p>
            <w:pPr>
              <w:spacing w:after="0"/>
              <w:rPr>
                <w:sz w:val="18"/>
                <w:szCs w:val="18"/>
                <w:color w:val="auto"/>
              </w:rPr>
            </w:pPr>
          </w:p>
        </w:tc>
        <w:tc>
          <w:tcPr>
            <w:tcW w:w="1460" w:type="dxa"/>
            <w:vAlign w:val="bottom"/>
            <w:gridSpan w:val="2"/>
          </w:tcPr>
          <w:p>
            <w:pPr>
              <w:ind w:left="120"/>
              <w:spacing w:after="0"/>
              <w:rPr>
                <w:sz w:val="20"/>
                <w:szCs w:val="20"/>
                <w:color w:val="auto"/>
              </w:rPr>
            </w:pPr>
            <w:r>
              <w:rPr>
                <w:rFonts w:ascii="Arial" w:cs="Arial" w:eastAsia="Arial" w:hAnsi="Arial"/>
                <w:sz w:val="15"/>
                <w:szCs w:val="15"/>
                <w:b w:val="1"/>
                <w:bCs w:val="1"/>
                <w:color w:val="auto"/>
              </w:rPr>
              <w:t>June 30, 2019</w:t>
            </w:r>
          </w:p>
        </w:tc>
        <w:tc>
          <w:tcPr>
            <w:tcW w:w="300" w:type="dxa"/>
            <w:vAlign w:val="bottom"/>
          </w:tcPr>
          <w:p>
            <w:pPr>
              <w:spacing w:after="0"/>
              <w:rPr>
                <w:sz w:val="18"/>
                <w:szCs w:val="18"/>
                <w:color w:val="auto"/>
              </w:rPr>
            </w:pPr>
          </w:p>
        </w:tc>
        <w:tc>
          <w:tcPr>
            <w:tcW w:w="1260" w:type="dxa"/>
            <w:vAlign w:val="bottom"/>
          </w:tcPr>
          <w:p>
            <w:pPr>
              <w:jc w:val="right"/>
              <w:ind w:right="464"/>
              <w:spacing w:after="0"/>
              <w:rPr>
                <w:sz w:val="20"/>
                <w:szCs w:val="20"/>
                <w:color w:val="auto"/>
              </w:rPr>
            </w:pPr>
            <w:r>
              <w:rPr>
                <w:rFonts w:ascii="Arial" w:cs="Arial" w:eastAsia="Arial" w:hAnsi="Arial"/>
                <w:sz w:val="15"/>
                <w:szCs w:val="15"/>
                <w:b w:val="1"/>
                <w:bCs w:val="1"/>
                <w:color w:val="auto"/>
              </w:rPr>
              <w:t>Change</w:t>
            </w:r>
          </w:p>
        </w:tc>
      </w:tr>
      <w:tr>
        <w:trPr>
          <w:trHeight w:val="198"/>
        </w:trPr>
        <w:tc>
          <w:tcPr>
            <w:tcW w:w="6320" w:type="dxa"/>
            <w:vAlign w:val="bottom"/>
          </w:tcPr>
          <w:p>
            <w:pPr>
              <w:ind w:left="20"/>
              <w:spacing w:after="0"/>
              <w:rPr>
                <w:sz w:val="20"/>
                <w:szCs w:val="20"/>
                <w:color w:val="auto"/>
              </w:rPr>
            </w:pPr>
            <w:r>
              <w:rPr>
                <w:rFonts w:ascii="Arial" w:cs="Arial" w:eastAsia="Arial" w:hAnsi="Arial"/>
                <w:sz w:val="15"/>
                <w:szCs w:val="15"/>
                <w:b w:val="1"/>
                <w:bCs w:val="1"/>
                <w:color w:val="auto"/>
              </w:rPr>
              <w:t>Other Information</w:t>
            </w:r>
          </w:p>
        </w:tc>
        <w:tc>
          <w:tcPr>
            <w:tcW w:w="22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r>
      <w:tr>
        <w:trPr>
          <w:trHeight w:val="220"/>
        </w:trPr>
        <w:tc>
          <w:tcPr>
            <w:tcW w:w="6320" w:type="dxa"/>
            <w:vAlign w:val="bottom"/>
            <w:shd w:val="clear" w:color="auto" w:fill="CCEEFF"/>
          </w:tcPr>
          <w:p>
            <w:pPr>
              <w:ind w:left="120"/>
              <w:spacing w:after="0"/>
              <w:rPr>
                <w:sz w:val="20"/>
                <w:szCs w:val="20"/>
                <w:color w:val="auto"/>
              </w:rPr>
            </w:pPr>
            <w:r>
              <w:rPr>
                <w:rFonts w:ascii="Arial" w:cs="Arial" w:eastAsia="Arial" w:hAnsi="Arial"/>
                <w:sz w:val="15"/>
                <w:szCs w:val="15"/>
                <w:color w:val="auto"/>
              </w:rPr>
              <w:t>Number of properties</w:t>
            </w: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rPr>
              <w:t>367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rPr>
              <w:t>367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rPr>
              <w:t>—</w:t>
            </w:r>
          </w:p>
        </w:tc>
      </w:tr>
      <w:tr>
        <w:trPr>
          <w:trHeight w:val="162"/>
        </w:trPr>
        <w:tc>
          <w:tcPr>
            <w:tcW w:w="6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216"/>
        </w:trPr>
        <w:tc>
          <w:tcPr>
            <w:tcW w:w="6320" w:type="dxa"/>
            <w:vAlign w:val="bottom"/>
            <w:shd w:val="clear" w:color="auto" w:fill="CCEEFF"/>
          </w:tcPr>
          <w:p>
            <w:pPr>
              <w:ind w:left="120"/>
              <w:spacing w:after="0"/>
              <w:rPr>
                <w:sz w:val="20"/>
                <w:szCs w:val="20"/>
                <w:color w:val="auto"/>
              </w:rPr>
            </w:pPr>
            <w:r>
              <w:rPr>
                <w:rFonts w:ascii="Arial" w:cs="Arial" w:eastAsia="Arial" w:hAnsi="Arial"/>
                <w:sz w:val="15"/>
                <w:szCs w:val="15"/>
                <w:color w:val="auto"/>
              </w:rPr>
              <w:t>MH occupancy</w:t>
            </w: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96.9 %</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12"/>
        </w:trPr>
        <w:tc>
          <w:tcPr>
            <w:tcW w:w="6320" w:type="dxa"/>
            <w:vAlign w:val="bottom"/>
          </w:tcPr>
          <w:p>
            <w:pPr>
              <w:ind w:left="120"/>
              <w:spacing w:after="0"/>
              <w:rPr>
                <w:sz w:val="20"/>
                <w:szCs w:val="20"/>
                <w:color w:val="auto"/>
              </w:rPr>
            </w:pPr>
            <w:r>
              <w:rPr>
                <w:rFonts w:ascii="Arial" w:cs="Arial" w:eastAsia="Arial" w:hAnsi="Arial"/>
                <w:sz w:val="15"/>
                <w:szCs w:val="15"/>
                <w:color w:val="auto"/>
              </w:rPr>
              <w:t>RV occupancy</w:t>
            </w: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5"/>
                <w:szCs w:val="15"/>
                <w:color w:val="auto"/>
              </w:rPr>
              <w:t>100.0 %</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20"/>
        </w:trPr>
        <w:tc>
          <w:tcPr>
            <w:tcW w:w="6320" w:type="dxa"/>
            <w:vAlign w:val="bottom"/>
            <w:shd w:val="clear" w:color="auto" w:fill="CCEEFF"/>
          </w:tcPr>
          <w:p>
            <w:pPr>
              <w:ind w:left="140"/>
              <w:spacing w:after="0"/>
              <w:rPr>
                <w:sz w:val="20"/>
                <w:szCs w:val="20"/>
                <w:color w:val="auto"/>
              </w:rPr>
            </w:pPr>
            <w:r>
              <w:rPr>
                <w:rFonts w:ascii="Arial" w:cs="Arial" w:eastAsia="Arial" w:hAnsi="Arial"/>
                <w:sz w:val="15"/>
                <w:szCs w:val="15"/>
                <w:color w:val="auto"/>
              </w:rPr>
              <w:t xml:space="preserve">MH &amp; RV blended occupancy </w:t>
            </w:r>
            <w:r>
              <w:rPr>
                <w:rFonts w:ascii="Arial" w:cs="Arial" w:eastAsia="Arial" w:hAnsi="Arial"/>
                <w:sz w:val="9"/>
                <w:szCs w:val="9"/>
                <w:color w:val="auto"/>
              </w:rPr>
              <w:t>(2)</w:t>
            </w: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97.6 %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162"/>
        </w:trPr>
        <w:tc>
          <w:tcPr>
            <w:tcW w:w="6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216"/>
        </w:trPr>
        <w:tc>
          <w:tcPr>
            <w:tcW w:w="6320" w:type="dxa"/>
            <w:vAlign w:val="bottom"/>
            <w:shd w:val="clear" w:color="auto" w:fill="CCEEFF"/>
          </w:tcPr>
          <w:p>
            <w:pPr>
              <w:ind w:left="140"/>
              <w:spacing w:after="0"/>
              <w:rPr>
                <w:sz w:val="20"/>
                <w:szCs w:val="20"/>
                <w:color w:val="auto"/>
              </w:rPr>
            </w:pPr>
            <w:r>
              <w:rPr>
                <w:rFonts w:ascii="Arial" w:cs="Arial" w:eastAsia="Arial" w:hAnsi="Arial"/>
                <w:sz w:val="15"/>
                <w:szCs w:val="15"/>
                <w:color w:val="auto"/>
              </w:rPr>
              <w:t xml:space="preserve">Adjusted MH occupancy </w:t>
            </w:r>
            <w:r>
              <w:rPr>
                <w:rFonts w:ascii="Arial" w:cs="Arial" w:eastAsia="Arial" w:hAnsi="Arial"/>
                <w:sz w:val="9"/>
                <w:szCs w:val="9"/>
                <w:color w:val="auto"/>
              </w:rPr>
              <w:t>(1)</w:t>
            </w: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98.4 %</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12"/>
        </w:trPr>
        <w:tc>
          <w:tcPr>
            <w:tcW w:w="6320" w:type="dxa"/>
            <w:vAlign w:val="bottom"/>
          </w:tcPr>
          <w:p>
            <w:pPr>
              <w:ind w:left="140"/>
              <w:spacing w:after="0"/>
              <w:rPr>
                <w:sz w:val="20"/>
                <w:szCs w:val="20"/>
                <w:color w:val="auto"/>
              </w:rPr>
            </w:pPr>
            <w:r>
              <w:rPr>
                <w:rFonts w:ascii="Arial" w:cs="Arial" w:eastAsia="Arial" w:hAnsi="Arial"/>
                <w:sz w:val="15"/>
                <w:szCs w:val="15"/>
                <w:color w:val="auto"/>
              </w:rPr>
              <w:t xml:space="preserve">Adjusted RV occupancy </w:t>
            </w:r>
            <w:r>
              <w:rPr>
                <w:rFonts w:ascii="Arial" w:cs="Arial" w:eastAsia="Arial" w:hAnsi="Arial"/>
                <w:sz w:val="9"/>
                <w:szCs w:val="9"/>
                <w:color w:val="auto"/>
              </w:rPr>
              <w:t>(1)</w:t>
            </w: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5"/>
                <w:szCs w:val="15"/>
                <w:color w:val="auto"/>
              </w:rPr>
              <w:t>100.0 %</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20"/>
        </w:trPr>
        <w:tc>
          <w:tcPr>
            <w:tcW w:w="6320" w:type="dxa"/>
            <w:vAlign w:val="bottom"/>
            <w:shd w:val="clear" w:color="auto" w:fill="CCEEFF"/>
          </w:tcPr>
          <w:p>
            <w:pPr>
              <w:ind w:left="140"/>
              <w:spacing w:after="0"/>
              <w:rPr>
                <w:sz w:val="20"/>
                <w:szCs w:val="20"/>
                <w:color w:val="auto"/>
              </w:rPr>
            </w:pPr>
            <w:r>
              <w:rPr>
                <w:rFonts w:ascii="Arial" w:cs="Arial" w:eastAsia="Arial" w:hAnsi="Arial"/>
                <w:sz w:val="15"/>
                <w:szCs w:val="15"/>
                <w:color w:val="auto"/>
              </w:rPr>
              <w:t xml:space="preserve">Adjusted MH &amp; RV blended occupancy </w:t>
            </w:r>
            <w:r>
              <w:rPr>
                <w:rFonts w:ascii="Arial" w:cs="Arial" w:eastAsia="Arial" w:hAnsi="Arial"/>
                <w:sz w:val="9"/>
                <w:szCs w:val="9"/>
                <w:color w:val="auto"/>
              </w:rPr>
              <w:t>(1) (2)</w:t>
            </w: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98.7 %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96.8 %</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1.9 %</w:t>
            </w:r>
          </w:p>
        </w:tc>
      </w:tr>
      <w:tr>
        <w:trPr>
          <w:trHeight w:val="162"/>
        </w:trPr>
        <w:tc>
          <w:tcPr>
            <w:tcW w:w="6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216"/>
        </w:trPr>
        <w:tc>
          <w:tcPr>
            <w:tcW w:w="6320" w:type="dxa"/>
            <w:vAlign w:val="bottom"/>
            <w:shd w:val="clear" w:color="auto" w:fill="CCEEFF"/>
          </w:tcPr>
          <w:p>
            <w:pPr>
              <w:ind w:left="120"/>
              <w:spacing w:after="0"/>
              <w:rPr>
                <w:sz w:val="20"/>
                <w:szCs w:val="20"/>
                <w:color w:val="auto"/>
              </w:rPr>
            </w:pPr>
            <w:r>
              <w:rPr>
                <w:rFonts w:ascii="Arial" w:cs="Arial" w:eastAsia="Arial" w:hAnsi="Arial"/>
                <w:sz w:val="15"/>
                <w:szCs w:val="15"/>
                <w:color w:val="auto"/>
              </w:rPr>
              <w:t>Monthly base rent per site - MH</w:t>
            </w:r>
          </w:p>
        </w:tc>
        <w:tc>
          <w:tcPr>
            <w:tcW w:w="22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w w:val="95"/>
              </w:rPr>
              <w:t>$</w:t>
            </w:r>
          </w:p>
        </w:tc>
        <w:tc>
          <w:tcPr>
            <w:tcW w:w="136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rPr>
              <w:t>593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w w:val="95"/>
              </w:rPr>
              <w:t>$</w:t>
            </w:r>
          </w:p>
        </w:tc>
        <w:tc>
          <w:tcPr>
            <w:tcW w:w="134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rPr>
              <w:t>570</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4"/>
              <w:spacing w:after="0"/>
              <w:rPr>
                <w:sz w:val="20"/>
                <w:szCs w:val="20"/>
                <w:color w:val="auto"/>
              </w:rPr>
            </w:pPr>
            <w:r>
              <w:rPr>
                <w:rFonts w:ascii="Arial" w:cs="Arial" w:eastAsia="Arial" w:hAnsi="Arial"/>
                <w:sz w:val="15"/>
                <w:szCs w:val="15"/>
                <w:color w:val="auto"/>
                <w:w w:val="71"/>
              </w:rPr>
              <w:t>$</w:t>
            </w:r>
          </w:p>
        </w:tc>
        <w:tc>
          <w:tcPr>
            <w:tcW w:w="126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rPr>
              <w:t>23</w:t>
            </w:r>
          </w:p>
        </w:tc>
      </w:tr>
      <w:tr>
        <w:trPr>
          <w:trHeight w:val="212"/>
        </w:trPr>
        <w:tc>
          <w:tcPr>
            <w:tcW w:w="6320" w:type="dxa"/>
            <w:vAlign w:val="bottom"/>
          </w:tcPr>
          <w:p>
            <w:pPr>
              <w:ind w:left="140"/>
              <w:spacing w:after="0"/>
              <w:rPr>
                <w:sz w:val="20"/>
                <w:szCs w:val="20"/>
                <w:color w:val="auto"/>
              </w:rPr>
            </w:pPr>
            <w:r>
              <w:rPr>
                <w:rFonts w:ascii="Arial" w:cs="Arial" w:eastAsia="Arial" w:hAnsi="Arial"/>
                <w:sz w:val="15"/>
                <w:szCs w:val="15"/>
                <w:color w:val="auto"/>
              </w:rPr>
              <w:t xml:space="preserve">Monthly base rent per site - RV </w:t>
            </w:r>
            <w:r>
              <w:rPr>
                <w:rFonts w:ascii="Arial" w:cs="Arial" w:eastAsia="Arial" w:hAnsi="Arial"/>
                <w:sz w:val="9"/>
                <w:szCs w:val="9"/>
                <w:color w:val="auto"/>
              </w:rPr>
              <w:t>(3)</w:t>
            </w:r>
          </w:p>
        </w:tc>
        <w:tc>
          <w:tcPr>
            <w:tcW w:w="220" w:type="dxa"/>
            <w:vAlign w:val="bottom"/>
          </w:tcPr>
          <w:p>
            <w:pPr>
              <w:jc w:val="right"/>
              <w:ind w:right="44"/>
              <w:spacing w:after="0"/>
              <w:rPr>
                <w:sz w:val="20"/>
                <w:szCs w:val="20"/>
                <w:color w:val="auto"/>
              </w:rPr>
            </w:pPr>
            <w:r>
              <w:rPr>
                <w:rFonts w:ascii="Arial" w:cs="Arial" w:eastAsia="Arial" w:hAnsi="Arial"/>
                <w:sz w:val="15"/>
                <w:szCs w:val="15"/>
                <w:color w:val="auto"/>
                <w:w w:val="95"/>
              </w:rPr>
              <w:t>$</w:t>
            </w:r>
          </w:p>
        </w:tc>
        <w:tc>
          <w:tcPr>
            <w:tcW w:w="1360" w:type="dxa"/>
            <w:vAlign w:val="bottom"/>
          </w:tcPr>
          <w:p>
            <w:pPr>
              <w:jc w:val="right"/>
              <w:ind w:right="124"/>
              <w:spacing w:after="0"/>
              <w:rPr>
                <w:sz w:val="20"/>
                <w:szCs w:val="20"/>
                <w:color w:val="auto"/>
              </w:rPr>
            </w:pPr>
            <w:r>
              <w:rPr>
                <w:rFonts w:ascii="Arial" w:cs="Arial" w:eastAsia="Arial" w:hAnsi="Arial"/>
                <w:sz w:val="15"/>
                <w:szCs w:val="15"/>
                <w:color w:val="auto"/>
              </w:rPr>
              <w:t>499</w:t>
            </w:r>
          </w:p>
        </w:tc>
        <w:tc>
          <w:tcPr>
            <w:tcW w:w="100" w:type="dxa"/>
            <w:vAlign w:val="bottom"/>
          </w:tcPr>
          <w:p>
            <w:pPr>
              <w:spacing w:after="0"/>
              <w:rPr>
                <w:sz w:val="18"/>
                <w:szCs w:val="18"/>
                <w:color w:val="auto"/>
              </w:rPr>
            </w:pPr>
          </w:p>
        </w:tc>
        <w:tc>
          <w:tcPr>
            <w:tcW w:w="220" w:type="dxa"/>
            <w:vAlign w:val="bottom"/>
          </w:tcPr>
          <w:p>
            <w:pPr>
              <w:jc w:val="right"/>
              <w:ind w:right="44"/>
              <w:spacing w:after="0"/>
              <w:rPr>
                <w:sz w:val="20"/>
                <w:szCs w:val="20"/>
                <w:color w:val="auto"/>
              </w:rPr>
            </w:pPr>
            <w:r>
              <w:rPr>
                <w:rFonts w:ascii="Arial" w:cs="Arial" w:eastAsia="Arial" w:hAnsi="Arial"/>
                <w:sz w:val="15"/>
                <w:szCs w:val="15"/>
                <w:color w:val="auto"/>
                <w:w w:val="95"/>
              </w:rPr>
              <w:t>$</w:t>
            </w:r>
          </w:p>
        </w:tc>
        <w:tc>
          <w:tcPr>
            <w:tcW w:w="1340" w:type="dxa"/>
            <w:vAlign w:val="bottom"/>
          </w:tcPr>
          <w:p>
            <w:pPr>
              <w:jc w:val="right"/>
              <w:ind w:right="124"/>
              <w:spacing w:after="0"/>
              <w:rPr>
                <w:sz w:val="20"/>
                <w:szCs w:val="20"/>
                <w:color w:val="auto"/>
              </w:rPr>
            </w:pPr>
            <w:r>
              <w:rPr>
                <w:rFonts w:ascii="Arial" w:cs="Arial" w:eastAsia="Arial" w:hAnsi="Arial"/>
                <w:sz w:val="15"/>
                <w:szCs w:val="15"/>
                <w:color w:val="auto"/>
              </w:rPr>
              <w:t>472</w:t>
            </w:r>
          </w:p>
        </w:tc>
        <w:tc>
          <w:tcPr>
            <w:tcW w:w="120" w:type="dxa"/>
            <w:vAlign w:val="bottom"/>
          </w:tcPr>
          <w:p>
            <w:pPr>
              <w:spacing w:after="0"/>
              <w:rPr>
                <w:sz w:val="18"/>
                <w:szCs w:val="18"/>
                <w:color w:val="auto"/>
              </w:rPr>
            </w:pPr>
          </w:p>
        </w:tc>
        <w:tc>
          <w:tcPr>
            <w:tcW w:w="300" w:type="dxa"/>
            <w:vAlign w:val="bottom"/>
          </w:tcPr>
          <w:p>
            <w:pPr>
              <w:jc w:val="right"/>
              <w:ind w:right="144"/>
              <w:spacing w:after="0"/>
              <w:rPr>
                <w:sz w:val="20"/>
                <w:szCs w:val="20"/>
                <w:color w:val="auto"/>
              </w:rPr>
            </w:pPr>
            <w:r>
              <w:rPr>
                <w:rFonts w:ascii="Arial" w:cs="Arial" w:eastAsia="Arial" w:hAnsi="Arial"/>
                <w:sz w:val="15"/>
                <w:szCs w:val="15"/>
                <w:color w:val="auto"/>
                <w:w w:val="71"/>
              </w:rPr>
              <w:t>$</w:t>
            </w:r>
          </w:p>
        </w:tc>
        <w:tc>
          <w:tcPr>
            <w:tcW w:w="1260" w:type="dxa"/>
            <w:vAlign w:val="bottom"/>
          </w:tcPr>
          <w:p>
            <w:pPr>
              <w:jc w:val="right"/>
              <w:ind w:right="124"/>
              <w:spacing w:after="0"/>
              <w:rPr>
                <w:sz w:val="20"/>
                <w:szCs w:val="20"/>
                <w:color w:val="auto"/>
              </w:rPr>
            </w:pPr>
            <w:r>
              <w:rPr>
                <w:rFonts w:ascii="Arial" w:cs="Arial" w:eastAsia="Arial" w:hAnsi="Arial"/>
                <w:sz w:val="15"/>
                <w:szCs w:val="15"/>
                <w:color w:val="auto"/>
              </w:rPr>
              <w:t>27</w:t>
            </w:r>
          </w:p>
        </w:tc>
      </w:tr>
      <w:tr>
        <w:trPr>
          <w:trHeight w:val="220"/>
        </w:trPr>
        <w:tc>
          <w:tcPr>
            <w:tcW w:w="6320" w:type="dxa"/>
            <w:vAlign w:val="bottom"/>
            <w:shd w:val="clear" w:color="auto" w:fill="CCEEFF"/>
          </w:tcPr>
          <w:p>
            <w:pPr>
              <w:ind w:left="120"/>
              <w:spacing w:after="0"/>
              <w:rPr>
                <w:sz w:val="20"/>
                <w:szCs w:val="20"/>
                <w:color w:val="auto"/>
              </w:rPr>
            </w:pPr>
            <w:r>
              <w:rPr>
                <w:rFonts w:ascii="Arial" w:cs="Arial" w:eastAsia="Arial" w:hAnsi="Arial"/>
                <w:sz w:val="15"/>
                <w:szCs w:val="15"/>
                <w:color w:val="auto"/>
              </w:rPr>
              <w:t>Monthly base rent per site - Total</w:t>
            </w:r>
          </w:p>
        </w:tc>
        <w:tc>
          <w:tcPr>
            <w:tcW w:w="22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w w:val="95"/>
              </w:rPr>
              <w:t>$</w:t>
            </w:r>
          </w:p>
        </w:tc>
        <w:tc>
          <w:tcPr>
            <w:tcW w:w="136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rPr>
              <w:t>571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w w:val="95"/>
              </w:rPr>
              <w:t>$</w:t>
            </w:r>
          </w:p>
        </w:tc>
        <w:tc>
          <w:tcPr>
            <w:tcW w:w="134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rPr>
              <w:t>547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44"/>
              <w:spacing w:after="0"/>
              <w:rPr>
                <w:sz w:val="20"/>
                <w:szCs w:val="20"/>
                <w:color w:val="auto"/>
              </w:rPr>
            </w:pPr>
            <w:r>
              <w:rPr>
                <w:rFonts w:ascii="Arial" w:cs="Arial" w:eastAsia="Arial" w:hAnsi="Arial"/>
                <w:sz w:val="15"/>
                <w:szCs w:val="15"/>
                <w:color w:val="auto"/>
                <w:w w:val="71"/>
              </w:rPr>
              <w:t>$</w:t>
            </w:r>
          </w:p>
        </w:tc>
        <w:tc>
          <w:tcPr>
            <w:tcW w:w="126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rPr>
              <w:t>24</w:t>
            </w:r>
          </w:p>
        </w:tc>
      </w:tr>
    </w:tbl>
    <w:p>
      <w:pPr>
        <w:spacing w:after="0" w:line="95" w:lineRule="exact"/>
        <w:rPr>
          <w:sz w:val="20"/>
          <w:szCs w:val="20"/>
          <w:color w:val="auto"/>
        </w:rPr>
      </w:pPr>
    </w:p>
    <w:p>
      <w:pPr>
        <w:ind w:left="140" w:hanging="132"/>
        <w:spacing w:after="0"/>
        <w:tabs>
          <w:tab w:leader="none" w:pos="140" w:val="left"/>
        </w:tabs>
        <w:numPr>
          <w:ilvl w:val="0"/>
          <w:numId w:val="27"/>
        </w:numPr>
        <w:rPr>
          <w:rFonts w:ascii="Arial" w:cs="Arial" w:eastAsia="Arial" w:hAnsi="Arial"/>
          <w:sz w:val="16"/>
          <w:szCs w:val="16"/>
          <w:color w:val="auto"/>
          <w:vertAlign w:val="superscript"/>
        </w:rPr>
      </w:pPr>
      <w:r>
        <w:rPr>
          <w:rFonts w:ascii="Arial" w:cs="Arial" w:eastAsia="Arial" w:hAnsi="Arial"/>
          <w:sz w:val="13"/>
          <w:szCs w:val="13"/>
          <w:color w:val="auto"/>
        </w:rPr>
        <w:t>The adjusted occupancy percentage includes MH and annual RV sites and excludes recently completed but vacant expansion sites and transient RV sites.</w:t>
      </w:r>
    </w:p>
    <w:p>
      <w:pPr>
        <w:spacing w:after="0" w:line="3" w:lineRule="exact"/>
        <w:rPr>
          <w:rFonts w:ascii="Arial" w:cs="Arial" w:eastAsia="Arial" w:hAnsi="Arial"/>
          <w:sz w:val="16"/>
          <w:szCs w:val="16"/>
          <w:color w:val="auto"/>
          <w:vertAlign w:val="superscript"/>
        </w:rPr>
      </w:pPr>
    </w:p>
    <w:p>
      <w:pPr>
        <w:ind w:left="340" w:right="20" w:hanging="332"/>
        <w:spacing w:after="0" w:line="209" w:lineRule="auto"/>
        <w:tabs>
          <w:tab w:leader="none" w:pos="174" w:val="left"/>
        </w:tabs>
        <w:numPr>
          <w:ilvl w:val="0"/>
          <w:numId w:val="27"/>
        </w:numPr>
        <w:rPr>
          <w:rFonts w:ascii="Arial" w:cs="Arial" w:eastAsia="Arial" w:hAnsi="Arial"/>
          <w:sz w:val="20"/>
          <w:szCs w:val="20"/>
          <w:color w:val="auto"/>
          <w:vertAlign w:val="superscript"/>
        </w:rPr>
      </w:pPr>
      <w:r>
        <w:rPr>
          <w:rFonts w:ascii="Arial" w:cs="Arial" w:eastAsia="Arial" w:hAnsi="Arial"/>
          <w:sz w:val="15"/>
          <w:szCs w:val="15"/>
          <w:color w:val="auto"/>
        </w:rPr>
        <w:t>The occupancy percentage for 2019 has been adjusted to reflect incremental growth period-over-period from filled MH expansion sites and the conversion of transient RV sites to annual RV sites.</w:t>
      </w:r>
    </w:p>
    <w:p>
      <w:pPr>
        <w:ind w:left="140" w:hanging="132"/>
        <w:spacing w:after="0" w:line="237" w:lineRule="auto"/>
        <w:tabs>
          <w:tab w:leader="none" w:pos="140" w:val="left"/>
        </w:tabs>
        <w:numPr>
          <w:ilvl w:val="0"/>
          <w:numId w:val="27"/>
        </w:numPr>
        <w:rPr>
          <w:rFonts w:ascii="Arial" w:cs="Arial" w:eastAsia="Arial" w:hAnsi="Arial"/>
          <w:sz w:val="16"/>
          <w:szCs w:val="16"/>
          <w:color w:val="auto"/>
          <w:vertAlign w:val="superscript"/>
        </w:rPr>
      </w:pPr>
      <w:r>
        <w:rPr>
          <w:rFonts w:ascii="Arial" w:cs="Arial" w:eastAsia="Arial" w:hAnsi="Arial"/>
          <w:sz w:val="13"/>
          <w:szCs w:val="13"/>
          <w:color w:val="auto"/>
        </w:rPr>
        <w:t>Monthly base rent pertains to annual RV sites and excludes transient RV sites.</w:t>
      </w:r>
    </w:p>
    <w:p>
      <w:pPr>
        <w:spacing w:after="0" w:line="22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amounts in the table above reflect constant currency for comparative purposes. Canadian currency figures included within the three and six months ended June 30, 2019 have been translated at 2020 average exchange rates. We have reclassified water and sewer revenues of $9.4 million and $8.5 million for the three months ended June 30, 2020 and 2019, and $18.3 million and $16.9 million for the six months ended June 30, 2020 and 2019, respectively, to reflect the utility expenses associated with our Same Community portfolio net of recovery.</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39" w:name="page40"/>
    <w:bookmarkEnd w:id="39"/>
    <w:p>
      <w:pPr>
        <w:jc w:val="center"/>
        <w:ind w:right="-19"/>
        <w:spacing w:after="0"/>
        <w:rPr>
          <w:sz w:val="20"/>
          <w:szCs w:val="20"/>
          <w:color w:val="auto"/>
        </w:rPr>
      </w:pPr>
      <w:r>
        <w:rPr>
          <w:rFonts w:ascii="Arial" w:cs="Arial" w:eastAsia="Arial" w:hAnsi="Arial"/>
          <w:sz w:val="18"/>
          <w:szCs w:val="18"/>
          <w:b w:val="1"/>
          <w:bCs w:val="1"/>
          <w:color w:val="auto"/>
        </w:rPr>
        <w:t>SUN COMMUNITIES, INC.</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For the three months ended June 30, 2020 and 2019, the 1.4 percent growth in NOI is primarily due to decreased Property operating expenses of $5.6 million, or 8.0 percent, partially offset by decreased Income from real property of $3.7 million, or 1.8 percent. The decrease in Property operating expenses was primarily attributable to decreases in utilities, supplies and repair costs, and payroll and benefits; all of which were impacted by COVID-19 business operation restrictions. Income from real property decreased due to fewer transient reservations at RV parks due to travel restrictions and required reduced business operations.</w:t>
      </w:r>
    </w:p>
    <w:p>
      <w:pPr>
        <w:spacing w:after="0" w:line="21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For the six months ended June 30, 2020 and 2019, the 4.0 percent growth in NOI is primarily due to increased Income from real property of $6.8 million, or 1.6 percent, and a $4.5 million, or 3.4 percent, decrease in Property operating expenses. Income from real property increased due to a 4.3 percent increase in total monthly base rent per site when compared to the same period in 2019, and a 1.9 percent increase in occupancy. This increase was partially offset by a decrease in transient revenue primarily due to fewer transient reservations at RV parks due to travel restrictions and required reduced business operations. The decrease in Property operating expenses was primarily attributable to decreases in utilities, supplies and repair costs, and payroll and benefits; all of which were impacted by COVID-19 business operation restrictions.</w:t>
      </w: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40" w:name="page41"/>
    <w:bookmarkEnd w:id="40"/>
    <w:p>
      <w:pPr>
        <w:jc w:val="center"/>
        <w:spacing w:after="0"/>
        <w:rPr>
          <w:sz w:val="20"/>
          <w:szCs w:val="20"/>
          <w:color w:val="auto"/>
        </w:rPr>
      </w:pPr>
      <w:r>
        <w:rPr>
          <w:rFonts w:ascii="Arial" w:cs="Arial" w:eastAsia="Arial" w:hAnsi="Arial"/>
          <w:sz w:val="18"/>
          <w:szCs w:val="18"/>
          <w:b w:val="1"/>
          <w:bCs w:val="1"/>
          <w:color w:val="auto"/>
        </w:rPr>
        <w:t>SUN COMMUNITIES, INC.</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Home Sales Summary</w:t>
      </w:r>
    </w:p>
    <w:p>
      <w:pPr>
        <w:spacing w:after="0" w:line="25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purchase new homes and acquire pre-owned and repossessed manufactured homes, generally located within our communities, from lenders, dealers, and former residents to sell or lease to current and prospective residents.</w:t>
      </w:r>
    </w:p>
    <w:p>
      <w:pPr>
        <w:spacing w:after="0" w:line="19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reflects certain financial and statistical information for our Home Sales Program for the three and six months ended June 30, 2020 and 2019 (in thousands, except for average selling prices and statistical information):</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29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820" w:type="dxa"/>
            <w:vAlign w:val="bottom"/>
            <w:tcBorders>
              <w:bottom w:val="single" w:sz="8" w:color="auto"/>
            </w:tcBorders>
            <w:gridSpan w:val="4"/>
          </w:tcPr>
          <w:p>
            <w:pPr>
              <w:jc w:val="right"/>
              <w:ind w:right="284"/>
              <w:spacing w:after="0"/>
              <w:rPr>
                <w:sz w:val="20"/>
                <w:szCs w:val="20"/>
                <w:color w:val="auto"/>
              </w:rPr>
            </w:pPr>
            <w:r>
              <w:rPr>
                <w:rFonts w:ascii="Arial" w:cs="Arial" w:eastAsia="Arial" w:hAnsi="Arial"/>
                <w:sz w:val="15"/>
                <w:szCs w:val="15"/>
                <w:b w:val="1"/>
                <w:bCs w:val="1"/>
                <w:color w:val="auto"/>
                <w:w w:val="97"/>
              </w:rPr>
              <w:t>Three Months Ended</w:t>
            </w:r>
          </w:p>
        </w:tc>
        <w:tc>
          <w:tcPr>
            <w:tcW w:w="1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820" w:type="dxa"/>
            <w:vAlign w:val="bottom"/>
            <w:tcBorders>
              <w:bottom w:val="single" w:sz="8" w:color="auto"/>
            </w:tcBorders>
            <w:gridSpan w:val="4"/>
          </w:tcPr>
          <w:p>
            <w:pPr>
              <w:jc w:val="right"/>
              <w:ind w:right="464"/>
              <w:spacing w:after="0"/>
              <w:rPr>
                <w:sz w:val="20"/>
                <w:szCs w:val="20"/>
                <w:color w:val="auto"/>
              </w:rPr>
            </w:pPr>
            <w:r>
              <w:rPr>
                <w:rFonts w:ascii="Arial" w:cs="Arial" w:eastAsia="Arial" w:hAnsi="Arial"/>
                <w:sz w:val="15"/>
                <w:szCs w:val="15"/>
                <w:b w:val="1"/>
                <w:bCs w:val="1"/>
                <w:color w:val="auto"/>
                <w:w w:val="96"/>
              </w:rPr>
              <w:t>Six Months Ended</w:t>
            </w:r>
          </w:p>
        </w:tc>
        <w:tc>
          <w:tcPr>
            <w:tcW w:w="10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r>
      <w:tr>
        <w:trPr>
          <w:trHeight w:val="207"/>
        </w:trPr>
        <w:tc>
          <w:tcPr>
            <w:tcW w:w="2980" w:type="dxa"/>
            <w:vAlign w:val="bottom"/>
          </w:tcPr>
          <w:p>
            <w:pPr>
              <w:spacing w:after="0"/>
              <w:rPr>
                <w:sz w:val="18"/>
                <w:szCs w:val="18"/>
                <w:color w:val="auto"/>
              </w:rPr>
            </w:pPr>
          </w:p>
        </w:tc>
        <w:tc>
          <w:tcPr>
            <w:tcW w:w="1080" w:type="dxa"/>
            <w:vAlign w:val="bottom"/>
            <w:gridSpan w:val="3"/>
          </w:tcPr>
          <w:p>
            <w:pPr>
              <w:ind w:left="40"/>
              <w:spacing w:after="0"/>
              <w:rPr>
                <w:sz w:val="20"/>
                <w:szCs w:val="20"/>
                <w:color w:val="auto"/>
              </w:rPr>
            </w:pPr>
            <w:r>
              <w:rPr>
                <w:rFonts w:ascii="Arial" w:cs="Arial" w:eastAsia="Arial" w:hAnsi="Arial"/>
                <w:sz w:val="15"/>
                <w:szCs w:val="15"/>
                <w:b w:val="1"/>
                <w:bCs w:val="1"/>
                <w:color w:val="auto"/>
              </w:rPr>
              <w:t>June 30, 2020</w:t>
            </w:r>
          </w:p>
        </w:tc>
        <w:tc>
          <w:tcPr>
            <w:tcW w:w="1160" w:type="dxa"/>
            <w:vAlign w:val="bottom"/>
            <w:gridSpan w:val="3"/>
          </w:tcPr>
          <w:p>
            <w:pPr>
              <w:ind w:left="80"/>
              <w:spacing w:after="0"/>
              <w:rPr>
                <w:sz w:val="20"/>
                <w:szCs w:val="20"/>
                <w:color w:val="auto"/>
              </w:rPr>
            </w:pPr>
            <w:r>
              <w:rPr>
                <w:rFonts w:ascii="Arial" w:cs="Arial" w:eastAsia="Arial" w:hAnsi="Arial"/>
                <w:sz w:val="15"/>
                <w:szCs w:val="15"/>
                <w:b w:val="1"/>
                <w:bCs w:val="1"/>
                <w:color w:val="auto"/>
              </w:rPr>
              <w:t>June 30, 2019</w:t>
            </w:r>
          </w:p>
        </w:tc>
        <w:tc>
          <w:tcPr>
            <w:tcW w:w="120" w:type="dxa"/>
            <w:vAlign w:val="bottom"/>
          </w:tcPr>
          <w:p>
            <w:pPr>
              <w:spacing w:after="0"/>
              <w:rPr>
                <w:sz w:val="18"/>
                <w:szCs w:val="18"/>
                <w:color w:val="auto"/>
              </w:rPr>
            </w:pPr>
          </w:p>
        </w:tc>
        <w:tc>
          <w:tcPr>
            <w:tcW w:w="720" w:type="dxa"/>
            <w:vAlign w:val="bottom"/>
          </w:tcPr>
          <w:p>
            <w:pPr>
              <w:jc w:val="right"/>
              <w:ind w:right="104"/>
              <w:spacing w:after="0"/>
              <w:rPr>
                <w:sz w:val="20"/>
                <w:szCs w:val="20"/>
                <w:color w:val="auto"/>
              </w:rPr>
            </w:pPr>
            <w:r>
              <w:rPr>
                <w:rFonts w:ascii="Arial" w:cs="Arial" w:eastAsia="Arial" w:hAnsi="Arial"/>
                <w:sz w:val="15"/>
                <w:szCs w:val="15"/>
                <w:b w:val="1"/>
                <w:bCs w:val="1"/>
                <w:color w:val="auto"/>
                <w:w w:val="94"/>
              </w:rPr>
              <w:t>Change</w:t>
            </w:r>
          </w:p>
        </w:tc>
        <w:tc>
          <w:tcPr>
            <w:tcW w:w="100" w:type="dxa"/>
            <w:vAlign w:val="bottom"/>
          </w:tcPr>
          <w:p>
            <w:pPr>
              <w:spacing w:after="0"/>
              <w:rPr>
                <w:sz w:val="18"/>
                <w:szCs w:val="18"/>
                <w:color w:val="auto"/>
              </w:rPr>
            </w:pPr>
          </w:p>
        </w:tc>
        <w:tc>
          <w:tcPr>
            <w:tcW w:w="1080" w:type="dxa"/>
            <w:vAlign w:val="bottom"/>
            <w:gridSpan w:val="3"/>
          </w:tcPr>
          <w:p>
            <w:pPr>
              <w:ind w:left="80"/>
              <w:spacing w:after="0"/>
              <w:rPr>
                <w:sz w:val="20"/>
                <w:szCs w:val="20"/>
                <w:color w:val="auto"/>
              </w:rPr>
            </w:pPr>
            <w:r>
              <w:rPr>
                <w:rFonts w:ascii="Arial" w:cs="Arial" w:eastAsia="Arial" w:hAnsi="Arial"/>
                <w:sz w:val="15"/>
                <w:szCs w:val="15"/>
                <w:b w:val="1"/>
                <w:bCs w:val="1"/>
                <w:color w:val="auto"/>
              </w:rPr>
              <w:t>% Change</w:t>
            </w:r>
          </w:p>
        </w:tc>
        <w:tc>
          <w:tcPr>
            <w:tcW w:w="1160" w:type="dxa"/>
            <w:vAlign w:val="bottom"/>
            <w:gridSpan w:val="3"/>
          </w:tcPr>
          <w:p>
            <w:pPr>
              <w:ind w:left="100"/>
              <w:spacing w:after="0"/>
              <w:rPr>
                <w:sz w:val="20"/>
                <w:szCs w:val="20"/>
                <w:color w:val="auto"/>
              </w:rPr>
            </w:pPr>
            <w:r>
              <w:rPr>
                <w:rFonts w:ascii="Arial" w:cs="Arial" w:eastAsia="Arial" w:hAnsi="Arial"/>
                <w:sz w:val="15"/>
                <w:szCs w:val="15"/>
                <w:b w:val="1"/>
                <w:bCs w:val="1"/>
                <w:color w:val="auto"/>
              </w:rPr>
              <w:t>June 30, 2020</w:t>
            </w:r>
          </w:p>
        </w:tc>
        <w:tc>
          <w:tcPr>
            <w:tcW w:w="1160" w:type="dxa"/>
            <w:vAlign w:val="bottom"/>
            <w:gridSpan w:val="3"/>
          </w:tcPr>
          <w:p>
            <w:pPr>
              <w:ind w:left="80"/>
              <w:spacing w:after="0"/>
              <w:rPr>
                <w:sz w:val="20"/>
                <w:szCs w:val="20"/>
                <w:color w:val="auto"/>
              </w:rPr>
            </w:pPr>
            <w:r>
              <w:rPr>
                <w:rFonts w:ascii="Arial" w:cs="Arial" w:eastAsia="Arial" w:hAnsi="Arial"/>
                <w:sz w:val="15"/>
                <w:szCs w:val="15"/>
                <w:b w:val="1"/>
                <w:bCs w:val="1"/>
                <w:color w:val="auto"/>
              </w:rPr>
              <w:t>June 30, 2019</w:t>
            </w:r>
          </w:p>
        </w:tc>
        <w:tc>
          <w:tcPr>
            <w:tcW w:w="120" w:type="dxa"/>
            <w:vAlign w:val="bottom"/>
          </w:tcPr>
          <w:p>
            <w:pPr>
              <w:spacing w:after="0"/>
              <w:rPr>
                <w:sz w:val="18"/>
                <w:szCs w:val="18"/>
                <w:color w:val="auto"/>
              </w:rPr>
            </w:pPr>
          </w:p>
        </w:tc>
        <w:tc>
          <w:tcPr>
            <w:tcW w:w="700" w:type="dxa"/>
            <w:vAlign w:val="bottom"/>
          </w:tcPr>
          <w:p>
            <w:pPr>
              <w:jc w:val="right"/>
              <w:ind w:right="84"/>
              <w:spacing w:after="0"/>
              <w:rPr>
                <w:sz w:val="20"/>
                <w:szCs w:val="20"/>
                <w:color w:val="auto"/>
              </w:rPr>
            </w:pPr>
            <w:r>
              <w:rPr>
                <w:rFonts w:ascii="Arial" w:cs="Arial" w:eastAsia="Arial" w:hAnsi="Arial"/>
                <w:sz w:val="15"/>
                <w:szCs w:val="15"/>
                <w:b w:val="1"/>
                <w:bCs w:val="1"/>
                <w:color w:val="auto"/>
                <w:w w:val="94"/>
              </w:rPr>
              <w:t>Change</w:t>
            </w:r>
          </w:p>
        </w:tc>
        <w:tc>
          <w:tcPr>
            <w:tcW w:w="10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5"/>
                <w:szCs w:val="15"/>
                <w:b w:val="1"/>
                <w:bCs w:val="1"/>
                <w:color w:val="auto"/>
                <w:w w:val="96"/>
              </w:rPr>
              <w:t>% Change</w:t>
            </w:r>
          </w:p>
        </w:tc>
      </w:tr>
      <w:tr>
        <w:trPr>
          <w:trHeight w:val="198"/>
        </w:trPr>
        <w:tc>
          <w:tcPr>
            <w:tcW w:w="2980" w:type="dxa"/>
            <w:vAlign w:val="bottom"/>
          </w:tcPr>
          <w:p>
            <w:pPr>
              <w:ind w:left="20"/>
              <w:spacing w:after="0"/>
              <w:rPr>
                <w:sz w:val="20"/>
                <w:szCs w:val="20"/>
                <w:color w:val="auto"/>
              </w:rPr>
            </w:pPr>
            <w:r>
              <w:rPr>
                <w:rFonts w:ascii="Arial" w:cs="Arial" w:eastAsia="Arial" w:hAnsi="Arial"/>
                <w:sz w:val="15"/>
                <w:szCs w:val="15"/>
                <w:b w:val="1"/>
                <w:bCs w:val="1"/>
                <w:color w:val="auto"/>
              </w:rPr>
              <w:t>Financial Information</w:t>
            </w:r>
          </w:p>
        </w:tc>
        <w:tc>
          <w:tcPr>
            <w:tcW w:w="18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r>
      <w:tr>
        <w:trPr>
          <w:trHeight w:val="220"/>
        </w:trPr>
        <w:tc>
          <w:tcPr>
            <w:tcW w:w="2980" w:type="dxa"/>
            <w:vAlign w:val="bottom"/>
            <w:shd w:val="clear" w:color="auto" w:fill="CCEEFF"/>
          </w:tcPr>
          <w:p>
            <w:pPr>
              <w:ind w:left="120"/>
              <w:spacing w:after="0"/>
              <w:rPr>
                <w:sz w:val="20"/>
                <w:szCs w:val="20"/>
                <w:color w:val="auto"/>
              </w:rPr>
            </w:pPr>
            <w:r>
              <w:rPr>
                <w:rFonts w:ascii="Arial" w:cs="Arial" w:eastAsia="Arial" w:hAnsi="Arial"/>
                <w:sz w:val="15"/>
                <w:szCs w:val="15"/>
                <w:b w:val="1"/>
                <w:bCs w:val="1"/>
                <w:color w:val="auto"/>
              </w:rPr>
              <w:t>New homes</w:t>
            </w: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r>
      <w:tr>
        <w:trPr>
          <w:trHeight w:val="212"/>
        </w:trPr>
        <w:tc>
          <w:tcPr>
            <w:tcW w:w="2980" w:type="dxa"/>
            <w:vAlign w:val="bottom"/>
          </w:tcPr>
          <w:p>
            <w:pPr>
              <w:ind w:left="220"/>
              <w:spacing w:after="0"/>
              <w:rPr>
                <w:sz w:val="20"/>
                <w:szCs w:val="20"/>
                <w:color w:val="auto"/>
              </w:rPr>
            </w:pPr>
            <w:r>
              <w:rPr>
                <w:rFonts w:ascii="Arial" w:cs="Arial" w:eastAsia="Arial" w:hAnsi="Arial"/>
                <w:sz w:val="15"/>
                <w:szCs w:val="15"/>
                <w:color w:val="auto"/>
              </w:rPr>
              <w:t>New home sales</w:t>
            </w:r>
          </w:p>
        </w:tc>
        <w:tc>
          <w:tcPr>
            <w:tcW w:w="180" w:type="dxa"/>
            <w:vAlign w:val="bottom"/>
          </w:tcPr>
          <w:p>
            <w:pPr>
              <w:jc w:val="right"/>
              <w:ind w:right="4"/>
              <w:spacing w:after="0"/>
              <w:rPr>
                <w:sz w:val="20"/>
                <w:szCs w:val="20"/>
                <w:color w:val="auto"/>
              </w:rPr>
            </w:pPr>
            <w:r>
              <w:rPr>
                <w:rFonts w:ascii="Arial" w:cs="Arial" w:eastAsia="Arial" w:hAnsi="Arial"/>
                <w:sz w:val="15"/>
                <w:szCs w:val="15"/>
                <w:color w:val="auto"/>
                <w:w w:val="95"/>
              </w:rPr>
              <w:t>$</w:t>
            </w:r>
          </w:p>
        </w:tc>
        <w:tc>
          <w:tcPr>
            <w:tcW w:w="780" w:type="dxa"/>
            <w:vAlign w:val="bottom"/>
          </w:tcPr>
          <w:p>
            <w:pPr>
              <w:jc w:val="right"/>
              <w:ind w:right="124"/>
              <w:spacing w:after="0"/>
              <w:rPr>
                <w:sz w:val="20"/>
                <w:szCs w:val="20"/>
                <w:color w:val="auto"/>
              </w:rPr>
            </w:pPr>
            <w:r>
              <w:rPr>
                <w:rFonts w:ascii="Arial" w:cs="Arial" w:eastAsia="Arial" w:hAnsi="Arial"/>
                <w:sz w:val="15"/>
                <w:szCs w:val="15"/>
                <w:color w:val="auto"/>
              </w:rPr>
              <w:t>19,206</w:t>
            </w:r>
          </w:p>
        </w:tc>
        <w:tc>
          <w:tcPr>
            <w:tcW w:w="120" w:type="dxa"/>
            <w:vAlign w:val="bottom"/>
          </w:tcPr>
          <w:p>
            <w:pPr>
              <w:spacing w:after="0"/>
              <w:rPr>
                <w:sz w:val="18"/>
                <w:szCs w:val="18"/>
                <w:color w:val="auto"/>
              </w:rPr>
            </w:pPr>
          </w:p>
        </w:tc>
        <w:tc>
          <w:tcPr>
            <w:tcW w:w="180" w:type="dxa"/>
            <w:vAlign w:val="bottom"/>
          </w:tcPr>
          <w:p>
            <w:pPr>
              <w:jc w:val="right"/>
              <w:ind w:right="4"/>
              <w:spacing w:after="0"/>
              <w:rPr>
                <w:sz w:val="20"/>
                <w:szCs w:val="20"/>
                <w:color w:val="auto"/>
              </w:rPr>
            </w:pPr>
            <w:r>
              <w:rPr>
                <w:rFonts w:ascii="Arial" w:cs="Arial" w:eastAsia="Arial" w:hAnsi="Arial"/>
                <w:sz w:val="15"/>
                <w:szCs w:val="15"/>
                <w:color w:val="auto"/>
                <w:w w:val="95"/>
              </w:rPr>
              <w:t>$</w:t>
            </w:r>
          </w:p>
        </w:tc>
        <w:tc>
          <w:tcPr>
            <w:tcW w:w="880" w:type="dxa"/>
            <w:vAlign w:val="bottom"/>
          </w:tcPr>
          <w:p>
            <w:pPr>
              <w:jc w:val="right"/>
              <w:ind w:right="124"/>
              <w:spacing w:after="0"/>
              <w:rPr>
                <w:sz w:val="20"/>
                <w:szCs w:val="20"/>
                <w:color w:val="auto"/>
              </w:rPr>
            </w:pPr>
            <w:r>
              <w:rPr>
                <w:rFonts w:ascii="Arial" w:cs="Arial" w:eastAsia="Arial" w:hAnsi="Arial"/>
                <w:sz w:val="15"/>
                <w:szCs w:val="15"/>
                <w:color w:val="auto"/>
              </w:rPr>
              <w:t>16,704</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720" w:type="dxa"/>
            <w:vAlign w:val="bottom"/>
          </w:tcPr>
          <w:p>
            <w:pPr>
              <w:jc w:val="right"/>
              <w:ind w:right="124"/>
              <w:spacing w:after="0"/>
              <w:rPr>
                <w:sz w:val="20"/>
                <w:szCs w:val="20"/>
                <w:color w:val="auto"/>
              </w:rPr>
            </w:pPr>
            <w:r>
              <w:rPr>
                <w:rFonts w:ascii="Arial" w:cs="Arial" w:eastAsia="Arial" w:hAnsi="Arial"/>
                <w:sz w:val="15"/>
                <w:szCs w:val="15"/>
                <w:color w:val="auto"/>
              </w:rPr>
              <w:t>2,502</w:t>
            </w:r>
          </w:p>
        </w:tc>
        <w:tc>
          <w:tcPr>
            <w:tcW w:w="800" w:type="dxa"/>
            <w:vAlign w:val="bottom"/>
            <w:gridSpan w:val="2"/>
          </w:tcPr>
          <w:p>
            <w:pPr>
              <w:jc w:val="right"/>
              <w:spacing w:after="0"/>
              <w:rPr>
                <w:sz w:val="20"/>
                <w:szCs w:val="20"/>
                <w:color w:val="auto"/>
              </w:rPr>
            </w:pPr>
            <w:r>
              <w:rPr>
                <w:rFonts w:ascii="Arial" w:cs="Arial" w:eastAsia="Arial" w:hAnsi="Arial"/>
                <w:sz w:val="15"/>
                <w:szCs w:val="15"/>
                <w:color w:val="auto"/>
              </w:rPr>
              <w:t>15.0</w:t>
            </w:r>
          </w:p>
        </w:tc>
        <w:tc>
          <w:tcPr>
            <w:tcW w:w="160" w:type="dxa"/>
            <w:vAlign w:val="bottom"/>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8"/>
                <w:szCs w:val="18"/>
                <w:color w:val="auto"/>
              </w:rPr>
            </w:pPr>
          </w:p>
        </w:tc>
        <w:tc>
          <w:tcPr>
            <w:tcW w:w="240" w:type="dxa"/>
            <w:vAlign w:val="bottom"/>
          </w:tcPr>
          <w:p>
            <w:pPr>
              <w:jc w:val="right"/>
              <w:ind w:right="64"/>
              <w:spacing w:after="0"/>
              <w:rPr>
                <w:sz w:val="20"/>
                <w:szCs w:val="20"/>
                <w:color w:val="auto"/>
              </w:rPr>
            </w:pPr>
            <w:r>
              <w:rPr>
                <w:rFonts w:ascii="Arial" w:cs="Arial" w:eastAsia="Arial" w:hAnsi="Arial"/>
                <w:sz w:val="15"/>
                <w:szCs w:val="15"/>
                <w:color w:val="auto"/>
                <w:w w:val="95"/>
              </w:rPr>
              <w:t>$</w:t>
            </w:r>
          </w:p>
        </w:tc>
        <w:tc>
          <w:tcPr>
            <w:tcW w:w="840" w:type="dxa"/>
            <w:vAlign w:val="bottom"/>
          </w:tcPr>
          <w:p>
            <w:pPr>
              <w:jc w:val="right"/>
              <w:ind w:right="124"/>
              <w:spacing w:after="0"/>
              <w:rPr>
                <w:sz w:val="20"/>
                <w:szCs w:val="20"/>
                <w:color w:val="auto"/>
              </w:rPr>
            </w:pPr>
            <w:r>
              <w:rPr>
                <w:rFonts w:ascii="Arial" w:cs="Arial" w:eastAsia="Arial" w:hAnsi="Arial"/>
                <w:sz w:val="15"/>
                <w:szCs w:val="15"/>
                <w:color w:val="auto"/>
              </w:rPr>
              <w:t>34,802</w:t>
            </w:r>
          </w:p>
        </w:tc>
        <w:tc>
          <w:tcPr>
            <w:tcW w:w="80" w:type="dxa"/>
            <w:vAlign w:val="bottom"/>
          </w:tcPr>
          <w:p>
            <w:pPr>
              <w:spacing w:after="0"/>
              <w:rPr>
                <w:sz w:val="18"/>
                <w:szCs w:val="18"/>
                <w:color w:val="auto"/>
              </w:rPr>
            </w:pP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ind w:right="124"/>
              <w:spacing w:after="0"/>
              <w:rPr>
                <w:sz w:val="20"/>
                <w:szCs w:val="20"/>
                <w:color w:val="auto"/>
              </w:rPr>
            </w:pPr>
            <w:r>
              <w:rPr>
                <w:rFonts w:ascii="Arial" w:cs="Arial" w:eastAsia="Arial" w:hAnsi="Arial"/>
                <w:sz w:val="15"/>
                <w:szCs w:val="15"/>
                <w:color w:val="auto"/>
              </w:rPr>
              <w:t>32,085</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700" w:type="dxa"/>
            <w:vAlign w:val="bottom"/>
          </w:tcPr>
          <w:p>
            <w:pPr>
              <w:jc w:val="right"/>
              <w:ind w:right="124"/>
              <w:spacing w:after="0"/>
              <w:rPr>
                <w:sz w:val="20"/>
                <w:szCs w:val="20"/>
                <w:color w:val="auto"/>
              </w:rPr>
            </w:pPr>
            <w:r>
              <w:rPr>
                <w:rFonts w:ascii="Arial" w:cs="Arial" w:eastAsia="Arial" w:hAnsi="Arial"/>
                <w:sz w:val="15"/>
                <w:szCs w:val="15"/>
                <w:color w:val="auto"/>
              </w:rPr>
              <w:t>2,717</w:t>
            </w:r>
          </w:p>
        </w:tc>
        <w:tc>
          <w:tcPr>
            <w:tcW w:w="680" w:type="dxa"/>
            <w:vAlign w:val="bottom"/>
            <w:gridSpan w:val="2"/>
          </w:tcPr>
          <w:p>
            <w:pPr>
              <w:jc w:val="right"/>
              <w:spacing w:after="0"/>
              <w:rPr>
                <w:sz w:val="20"/>
                <w:szCs w:val="20"/>
                <w:color w:val="auto"/>
              </w:rPr>
            </w:pPr>
            <w:r>
              <w:rPr>
                <w:rFonts w:ascii="Arial" w:cs="Arial" w:eastAsia="Arial" w:hAnsi="Arial"/>
                <w:sz w:val="15"/>
                <w:szCs w:val="15"/>
                <w:color w:val="auto"/>
              </w:rPr>
              <w:t>8.5</w:t>
            </w:r>
          </w:p>
        </w:tc>
        <w:tc>
          <w:tcPr>
            <w:tcW w:w="18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16"/>
        </w:trPr>
        <w:tc>
          <w:tcPr>
            <w:tcW w:w="2980" w:type="dxa"/>
            <w:vAlign w:val="bottom"/>
            <w:shd w:val="clear" w:color="auto" w:fill="CCEEFF"/>
          </w:tcPr>
          <w:p>
            <w:pPr>
              <w:ind w:left="220"/>
              <w:spacing w:after="0"/>
              <w:rPr>
                <w:sz w:val="20"/>
                <w:szCs w:val="20"/>
                <w:color w:val="auto"/>
              </w:rPr>
            </w:pPr>
            <w:r>
              <w:rPr>
                <w:rFonts w:ascii="Arial" w:cs="Arial" w:eastAsia="Arial" w:hAnsi="Arial"/>
                <w:sz w:val="15"/>
                <w:szCs w:val="15"/>
                <w:color w:val="auto"/>
              </w:rPr>
              <w:t>New home cost of sales</w:t>
            </w:r>
          </w:p>
        </w:tc>
        <w:tc>
          <w:tcPr>
            <w:tcW w:w="1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124"/>
              <w:spacing w:after="0"/>
              <w:rPr>
                <w:sz w:val="20"/>
                <w:szCs w:val="20"/>
                <w:color w:val="auto"/>
              </w:rPr>
            </w:pPr>
            <w:r>
              <w:rPr>
                <w:rFonts w:ascii="Arial" w:cs="Arial" w:eastAsia="Arial" w:hAnsi="Arial"/>
                <w:sz w:val="15"/>
                <w:szCs w:val="15"/>
                <w:color w:val="auto"/>
              </w:rPr>
              <w:t>15,707</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124"/>
              <w:spacing w:after="0"/>
              <w:rPr>
                <w:sz w:val="20"/>
                <w:szCs w:val="20"/>
                <w:color w:val="auto"/>
              </w:rPr>
            </w:pPr>
            <w:r>
              <w:rPr>
                <w:rFonts w:ascii="Arial" w:cs="Arial" w:eastAsia="Arial" w:hAnsi="Arial"/>
                <w:sz w:val="15"/>
                <w:szCs w:val="15"/>
                <w:color w:val="auto"/>
              </w:rPr>
              <w:t>14,833</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ind w:right="124"/>
              <w:spacing w:after="0"/>
              <w:rPr>
                <w:sz w:val="20"/>
                <w:szCs w:val="20"/>
                <w:color w:val="auto"/>
              </w:rPr>
            </w:pPr>
            <w:r>
              <w:rPr>
                <w:rFonts w:ascii="Arial" w:cs="Arial" w:eastAsia="Arial" w:hAnsi="Arial"/>
                <w:sz w:val="15"/>
                <w:szCs w:val="15"/>
                <w:color w:val="auto"/>
              </w:rPr>
              <w:t>874</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5.9</w:t>
            </w: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124"/>
              <w:spacing w:after="0"/>
              <w:rPr>
                <w:sz w:val="20"/>
                <w:szCs w:val="20"/>
                <w:color w:val="auto"/>
              </w:rPr>
            </w:pPr>
            <w:r>
              <w:rPr>
                <w:rFonts w:ascii="Arial" w:cs="Arial" w:eastAsia="Arial" w:hAnsi="Arial"/>
                <w:sz w:val="15"/>
                <w:szCs w:val="15"/>
                <w:color w:val="auto"/>
              </w:rPr>
              <w:t>28,317</w:t>
            </w:r>
          </w:p>
        </w:tc>
        <w:tc>
          <w:tcPr>
            <w:tcW w:w="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124"/>
              <w:spacing w:after="0"/>
              <w:rPr>
                <w:sz w:val="20"/>
                <w:szCs w:val="20"/>
                <w:color w:val="auto"/>
              </w:rPr>
            </w:pPr>
            <w:r>
              <w:rPr>
                <w:rFonts w:ascii="Arial" w:cs="Arial" w:eastAsia="Arial" w:hAnsi="Arial"/>
                <w:sz w:val="15"/>
                <w:szCs w:val="15"/>
                <w:color w:val="auto"/>
              </w:rPr>
              <w:t>27,979</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ind w:right="124"/>
              <w:spacing w:after="0"/>
              <w:rPr>
                <w:sz w:val="20"/>
                <w:szCs w:val="20"/>
                <w:color w:val="auto"/>
              </w:rPr>
            </w:pPr>
            <w:r>
              <w:rPr>
                <w:rFonts w:ascii="Arial" w:cs="Arial" w:eastAsia="Arial" w:hAnsi="Arial"/>
                <w:sz w:val="15"/>
                <w:szCs w:val="15"/>
                <w:color w:val="auto"/>
              </w:rPr>
              <w:t>338</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1.2</w:t>
            </w:r>
          </w:p>
        </w:tc>
        <w:tc>
          <w:tcPr>
            <w:tcW w:w="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r>
      <w:tr>
        <w:trPr>
          <w:trHeight w:val="209"/>
        </w:trPr>
        <w:tc>
          <w:tcPr>
            <w:tcW w:w="2980" w:type="dxa"/>
            <w:vAlign w:val="bottom"/>
          </w:tcPr>
          <w:p>
            <w:pPr>
              <w:ind w:left="220"/>
              <w:spacing w:after="0"/>
              <w:rPr>
                <w:sz w:val="20"/>
                <w:szCs w:val="20"/>
                <w:color w:val="auto"/>
              </w:rPr>
            </w:pPr>
            <w:r>
              <w:rPr>
                <w:rFonts w:ascii="Arial" w:cs="Arial" w:eastAsia="Arial" w:hAnsi="Arial"/>
                <w:sz w:val="15"/>
                <w:szCs w:val="15"/>
                <w:color w:val="auto"/>
              </w:rPr>
              <w:t>NOI / Gross Profit – new homes</w:t>
            </w:r>
          </w:p>
        </w:tc>
        <w:tc>
          <w:tcPr>
            <w:tcW w:w="180" w:type="dxa"/>
            <w:vAlign w:val="bottom"/>
          </w:tcPr>
          <w:p>
            <w:pPr>
              <w:jc w:val="right"/>
              <w:ind w:right="4"/>
              <w:spacing w:after="0"/>
              <w:rPr>
                <w:sz w:val="20"/>
                <w:szCs w:val="20"/>
                <w:color w:val="auto"/>
              </w:rPr>
            </w:pPr>
            <w:r>
              <w:rPr>
                <w:rFonts w:ascii="Arial" w:cs="Arial" w:eastAsia="Arial" w:hAnsi="Arial"/>
                <w:sz w:val="15"/>
                <w:szCs w:val="15"/>
                <w:color w:val="auto"/>
                <w:w w:val="95"/>
              </w:rPr>
              <w:t>$</w:t>
            </w:r>
          </w:p>
        </w:tc>
        <w:tc>
          <w:tcPr>
            <w:tcW w:w="780" w:type="dxa"/>
            <w:vAlign w:val="bottom"/>
          </w:tcPr>
          <w:p>
            <w:pPr>
              <w:jc w:val="right"/>
              <w:ind w:right="124"/>
              <w:spacing w:after="0"/>
              <w:rPr>
                <w:sz w:val="20"/>
                <w:szCs w:val="20"/>
                <w:color w:val="auto"/>
              </w:rPr>
            </w:pPr>
            <w:r>
              <w:rPr>
                <w:rFonts w:ascii="Arial" w:cs="Arial" w:eastAsia="Arial" w:hAnsi="Arial"/>
                <w:sz w:val="15"/>
                <w:szCs w:val="15"/>
                <w:color w:val="auto"/>
              </w:rPr>
              <w:t>3,499</w:t>
            </w:r>
          </w:p>
        </w:tc>
        <w:tc>
          <w:tcPr>
            <w:tcW w:w="120" w:type="dxa"/>
            <w:vAlign w:val="bottom"/>
          </w:tcPr>
          <w:p>
            <w:pPr>
              <w:spacing w:after="0"/>
              <w:rPr>
                <w:sz w:val="18"/>
                <w:szCs w:val="18"/>
                <w:color w:val="auto"/>
              </w:rPr>
            </w:pPr>
          </w:p>
        </w:tc>
        <w:tc>
          <w:tcPr>
            <w:tcW w:w="180" w:type="dxa"/>
            <w:vAlign w:val="bottom"/>
          </w:tcPr>
          <w:p>
            <w:pPr>
              <w:jc w:val="right"/>
              <w:ind w:right="4"/>
              <w:spacing w:after="0"/>
              <w:rPr>
                <w:sz w:val="20"/>
                <w:szCs w:val="20"/>
                <w:color w:val="auto"/>
              </w:rPr>
            </w:pPr>
            <w:r>
              <w:rPr>
                <w:rFonts w:ascii="Arial" w:cs="Arial" w:eastAsia="Arial" w:hAnsi="Arial"/>
                <w:sz w:val="15"/>
                <w:szCs w:val="15"/>
                <w:color w:val="auto"/>
                <w:w w:val="95"/>
              </w:rPr>
              <w:t>$</w:t>
            </w:r>
          </w:p>
        </w:tc>
        <w:tc>
          <w:tcPr>
            <w:tcW w:w="880" w:type="dxa"/>
            <w:vAlign w:val="bottom"/>
          </w:tcPr>
          <w:p>
            <w:pPr>
              <w:jc w:val="right"/>
              <w:ind w:right="124"/>
              <w:spacing w:after="0"/>
              <w:rPr>
                <w:sz w:val="20"/>
                <w:szCs w:val="20"/>
                <w:color w:val="auto"/>
              </w:rPr>
            </w:pPr>
            <w:r>
              <w:rPr>
                <w:rFonts w:ascii="Arial" w:cs="Arial" w:eastAsia="Arial" w:hAnsi="Arial"/>
                <w:sz w:val="15"/>
                <w:szCs w:val="15"/>
                <w:color w:val="auto"/>
              </w:rPr>
              <w:t>1,871</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720" w:type="dxa"/>
            <w:vAlign w:val="bottom"/>
          </w:tcPr>
          <w:p>
            <w:pPr>
              <w:jc w:val="right"/>
              <w:ind w:right="124"/>
              <w:spacing w:after="0"/>
              <w:rPr>
                <w:sz w:val="20"/>
                <w:szCs w:val="20"/>
                <w:color w:val="auto"/>
              </w:rPr>
            </w:pPr>
            <w:r>
              <w:rPr>
                <w:rFonts w:ascii="Arial" w:cs="Arial" w:eastAsia="Arial" w:hAnsi="Arial"/>
                <w:sz w:val="15"/>
                <w:szCs w:val="15"/>
                <w:color w:val="auto"/>
              </w:rPr>
              <w:t>1,628</w:t>
            </w:r>
          </w:p>
        </w:tc>
        <w:tc>
          <w:tcPr>
            <w:tcW w:w="800" w:type="dxa"/>
            <w:vAlign w:val="bottom"/>
            <w:gridSpan w:val="2"/>
          </w:tcPr>
          <w:p>
            <w:pPr>
              <w:jc w:val="right"/>
              <w:spacing w:after="0"/>
              <w:rPr>
                <w:sz w:val="20"/>
                <w:szCs w:val="20"/>
                <w:color w:val="auto"/>
              </w:rPr>
            </w:pPr>
            <w:r>
              <w:rPr>
                <w:rFonts w:ascii="Arial" w:cs="Arial" w:eastAsia="Arial" w:hAnsi="Arial"/>
                <w:sz w:val="15"/>
                <w:szCs w:val="15"/>
                <w:color w:val="auto"/>
              </w:rPr>
              <w:t>87.0</w:t>
            </w:r>
          </w:p>
        </w:tc>
        <w:tc>
          <w:tcPr>
            <w:tcW w:w="160" w:type="dxa"/>
            <w:vAlign w:val="bottom"/>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8"/>
                <w:szCs w:val="18"/>
                <w:color w:val="auto"/>
              </w:rPr>
            </w:pPr>
          </w:p>
        </w:tc>
        <w:tc>
          <w:tcPr>
            <w:tcW w:w="240" w:type="dxa"/>
            <w:vAlign w:val="bottom"/>
          </w:tcPr>
          <w:p>
            <w:pPr>
              <w:jc w:val="right"/>
              <w:ind w:right="64"/>
              <w:spacing w:after="0"/>
              <w:rPr>
                <w:sz w:val="20"/>
                <w:szCs w:val="20"/>
                <w:color w:val="auto"/>
              </w:rPr>
            </w:pPr>
            <w:r>
              <w:rPr>
                <w:rFonts w:ascii="Arial" w:cs="Arial" w:eastAsia="Arial" w:hAnsi="Arial"/>
                <w:sz w:val="15"/>
                <w:szCs w:val="15"/>
                <w:color w:val="auto"/>
                <w:w w:val="95"/>
              </w:rPr>
              <w:t>$</w:t>
            </w:r>
          </w:p>
        </w:tc>
        <w:tc>
          <w:tcPr>
            <w:tcW w:w="840" w:type="dxa"/>
            <w:vAlign w:val="bottom"/>
          </w:tcPr>
          <w:p>
            <w:pPr>
              <w:jc w:val="right"/>
              <w:ind w:right="124"/>
              <w:spacing w:after="0"/>
              <w:rPr>
                <w:sz w:val="20"/>
                <w:szCs w:val="20"/>
                <w:color w:val="auto"/>
              </w:rPr>
            </w:pPr>
            <w:r>
              <w:rPr>
                <w:rFonts w:ascii="Arial" w:cs="Arial" w:eastAsia="Arial" w:hAnsi="Arial"/>
                <w:sz w:val="15"/>
                <w:szCs w:val="15"/>
                <w:color w:val="auto"/>
              </w:rPr>
              <w:t>6,485</w:t>
            </w:r>
          </w:p>
        </w:tc>
        <w:tc>
          <w:tcPr>
            <w:tcW w:w="80" w:type="dxa"/>
            <w:vAlign w:val="bottom"/>
          </w:tcPr>
          <w:p>
            <w:pPr>
              <w:spacing w:after="0"/>
              <w:rPr>
                <w:sz w:val="18"/>
                <w:szCs w:val="18"/>
                <w:color w:val="auto"/>
              </w:rPr>
            </w:pP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ind w:right="124"/>
              <w:spacing w:after="0"/>
              <w:rPr>
                <w:sz w:val="20"/>
                <w:szCs w:val="20"/>
                <w:color w:val="auto"/>
              </w:rPr>
            </w:pPr>
            <w:r>
              <w:rPr>
                <w:rFonts w:ascii="Arial" w:cs="Arial" w:eastAsia="Arial" w:hAnsi="Arial"/>
                <w:sz w:val="15"/>
                <w:szCs w:val="15"/>
                <w:color w:val="auto"/>
              </w:rPr>
              <w:t>4,106</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700" w:type="dxa"/>
            <w:vAlign w:val="bottom"/>
          </w:tcPr>
          <w:p>
            <w:pPr>
              <w:jc w:val="right"/>
              <w:ind w:right="124"/>
              <w:spacing w:after="0"/>
              <w:rPr>
                <w:sz w:val="20"/>
                <w:szCs w:val="20"/>
                <w:color w:val="auto"/>
              </w:rPr>
            </w:pPr>
            <w:r>
              <w:rPr>
                <w:rFonts w:ascii="Arial" w:cs="Arial" w:eastAsia="Arial" w:hAnsi="Arial"/>
                <w:sz w:val="15"/>
                <w:szCs w:val="15"/>
                <w:color w:val="auto"/>
              </w:rPr>
              <w:t>2,379</w:t>
            </w:r>
          </w:p>
        </w:tc>
        <w:tc>
          <w:tcPr>
            <w:tcW w:w="680" w:type="dxa"/>
            <w:vAlign w:val="bottom"/>
            <w:gridSpan w:val="2"/>
          </w:tcPr>
          <w:p>
            <w:pPr>
              <w:jc w:val="right"/>
              <w:spacing w:after="0"/>
              <w:rPr>
                <w:sz w:val="20"/>
                <w:szCs w:val="20"/>
                <w:color w:val="auto"/>
              </w:rPr>
            </w:pPr>
            <w:r>
              <w:rPr>
                <w:rFonts w:ascii="Arial" w:cs="Arial" w:eastAsia="Arial" w:hAnsi="Arial"/>
                <w:sz w:val="15"/>
                <w:szCs w:val="15"/>
                <w:color w:val="auto"/>
              </w:rPr>
              <w:t>57.9</w:t>
            </w:r>
          </w:p>
        </w:tc>
        <w:tc>
          <w:tcPr>
            <w:tcW w:w="18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20"/>
        </w:trPr>
        <w:tc>
          <w:tcPr>
            <w:tcW w:w="2980" w:type="dxa"/>
            <w:vAlign w:val="bottom"/>
            <w:shd w:val="clear" w:color="auto" w:fill="CCEEFF"/>
          </w:tcPr>
          <w:p>
            <w:pPr>
              <w:ind w:left="220"/>
              <w:spacing w:after="0"/>
              <w:rPr>
                <w:sz w:val="20"/>
                <w:szCs w:val="20"/>
                <w:color w:val="auto"/>
              </w:rPr>
            </w:pPr>
            <w:r>
              <w:rPr>
                <w:rFonts w:ascii="Arial" w:cs="Arial" w:eastAsia="Arial" w:hAnsi="Arial"/>
                <w:sz w:val="15"/>
                <w:szCs w:val="15"/>
                <w:color w:val="auto"/>
              </w:rPr>
              <w:t>Gross margin % – new homes</w:t>
            </w: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18.2 %</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11.2 %</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7.0 %</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18.6 %</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12.8 %</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5.8 %</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r>
      <w:tr>
        <w:trPr>
          <w:trHeight w:val="212"/>
        </w:trPr>
        <w:tc>
          <w:tcPr>
            <w:tcW w:w="2980" w:type="dxa"/>
            <w:vAlign w:val="bottom"/>
          </w:tcPr>
          <w:p>
            <w:pPr>
              <w:ind w:left="220"/>
              <w:spacing w:after="0"/>
              <w:rPr>
                <w:sz w:val="20"/>
                <w:szCs w:val="20"/>
                <w:color w:val="auto"/>
              </w:rPr>
            </w:pPr>
            <w:r>
              <w:rPr>
                <w:rFonts w:ascii="Arial" w:cs="Arial" w:eastAsia="Arial" w:hAnsi="Arial"/>
                <w:sz w:val="15"/>
                <w:szCs w:val="15"/>
                <w:color w:val="auto"/>
              </w:rPr>
              <w:t>Average selling price – new homes</w:t>
            </w:r>
          </w:p>
        </w:tc>
        <w:tc>
          <w:tcPr>
            <w:tcW w:w="180" w:type="dxa"/>
            <w:vAlign w:val="bottom"/>
          </w:tcPr>
          <w:p>
            <w:pPr>
              <w:jc w:val="right"/>
              <w:ind w:right="4"/>
              <w:spacing w:after="0"/>
              <w:rPr>
                <w:sz w:val="20"/>
                <w:szCs w:val="20"/>
                <w:color w:val="auto"/>
              </w:rPr>
            </w:pPr>
            <w:r>
              <w:rPr>
                <w:rFonts w:ascii="Arial" w:cs="Arial" w:eastAsia="Arial" w:hAnsi="Arial"/>
                <w:sz w:val="15"/>
                <w:szCs w:val="15"/>
                <w:color w:val="auto"/>
                <w:w w:val="95"/>
              </w:rPr>
              <w:t>$</w:t>
            </w:r>
          </w:p>
        </w:tc>
        <w:tc>
          <w:tcPr>
            <w:tcW w:w="780" w:type="dxa"/>
            <w:vAlign w:val="bottom"/>
          </w:tcPr>
          <w:p>
            <w:pPr>
              <w:jc w:val="right"/>
              <w:ind w:right="124"/>
              <w:spacing w:after="0"/>
              <w:rPr>
                <w:sz w:val="20"/>
                <w:szCs w:val="20"/>
                <w:color w:val="auto"/>
              </w:rPr>
            </w:pPr>
            <w:r>
              <w:rPr>
                <w:rFonts w:ascii="Arial" w:cs="Arial" w:eastAsia="Arial" w:hAnsi="Arial"/>
                <w:sz w:val="15"/>
                <w:szCs w:val="15"/>
                <w:color w:val="auto"/>
              </w:rPr>
              <w:t>137,186</w:t>
            </w:r>
          </w:p>
        </w:tc>
        <w:tc>
          <w:tcPr>
            <w:tcW w:w="120" w:type="dxa"/>
            <w:vAlign w:val="bottom"/>
          </w:tcPr>
          <w:p>
            <w:pPr>
              <w:spacing w:after="0"/>
              <w:rPr>
                <w:sz w:val="18"/>
                <w:szCs w:val="18"/>
                <w:color w:val="auto"/>
              </w:rPr>
            </w:pPr>
          </w:p>
        </w:tc>
        <w:tc>
          <w:tcPr>
            <w:tcW w:w="180" w:type="dxa"/>
            <w:vAlign w:val="bottom"/>
          </w:tcPr>
          <w:p>
            <w:pPr>
              <w:jc w:val="right"/>
              <w:ind w:right="4"/>
              <w:spacing w:after="0"/>
              <w:rPr>
                <w:sz w:val="20"/>
                <w:szCs w:val="20"/>
                <w:color w:val="auto"/>
              </w:rPr>
            </w:pPr>
            <w:r>
              <w:rPr>
                <w:rFonts w:ascii="Arial" w:cs="Arial" w:eastAsia="Arial" w:hAnsi="Arial"/>
                <w:sz w:val="15"/>
                <w:szCs w:val="15"/>
                <w:color w:val="auto"/>
                <w:w w:val="95"/>
              </w:rPr>
              <w:t>$</w:t>
            </w:r>
          </w:p>
        </w:tc>
        <w:tc>
          <w:tcPr>
            <w:tcW w:w="880" w:type="dxa"/>
            <w:vAlign w:val="bottom"/>
          </w:tcPr>
          <w:p>
            <w:pPr>
              <w:jc w:val="right"/>
              <w:ind w:right="124"/>
              <w:spacing w:after="0"/>
              <w:rPr>
                <w:sz w:val="20"/>
                <w:szCs w:val="20"/>
                <w:color w:val="auto"/>
              </w:rPr>
            </w:pPr>
            <w:r>
              <w:rPr>
                <w:rFonts w:ascii="Arial" w:cs="Arial" w:eastAsia="Arial" w:hAnsi="Arial"/>
                <w:sz w:val="15"/>
                <w:szCs w:val="15"/>
                <w:color w:val="auto"/>
              </w:rPr>
              <w:t>120,173</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720" w:type="dxa"/>
            <w:vAlign w:val="bottom"/>
          </w:tcPr>
          <w:p>
            <w:pPr>
              <w:jc w:val="right"/>
              <w:ind w:right="124"/>
              <w:spacing w:after="0"/>
              <w:rPr>
                <w:sz w:val="20"/>
                <w:szCs w:val="20"/>
                <w:color w:val="auto"/>
              </w:rPr>
            </w:pPr>
            <w:r>
              <w:rPr>
                <w:rFonts w:ascii="Arial" w:cs="Arial" w:eastAsia="Arial" w:hAnsi="Arial"/>
                <w:sz w:val="15"/>
                <w:szCs w:val="15"/>
                <w:color w:val="auto"/>
              </w:rPr>
              <w:t>17,013</w:t>
            </w:r>
          </w:p>
        </w:tc>
        <w:tc>
          <w:tcPr>
            <w:tcW w:w="800" w:type="dxa"/>
            <w:vAlign w:val="bottom"/>
            <w:gridSpan w:val="2"/>
          </w:tcPr>
          <w:p>
            <w:pPr>
              <w:jc w:val="right"/>
              <w:spacing w:after="0"/>
              <w:rPr>
                <w:sz w:val="20"/>
                <w:szCs w:val="20"/>
                <w:color w:val="auto"/>
              </w:rPr>
            </w:pPr>
            <w:r>
              <w:rPr>
                <w:rFonts w:ascii="Arial" w:cs="Arial" w:eastAsia="Arial" w:hAnsi="Arial"/>
                <w:sz w:val="15"/>
                <w:szCs w:val="15"/>
                <w:color w:val="auto"/>
              </w:rPr>
              <w:t>14.2</w:t>
            </w:r>
          </w:p>
        </w:tc>
        <w:tc>
          <w:tcPr>
            <w:tcW w:w="160" w:type="dxa"/>
            <w:vAlign w:val="bottom"/>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8"/>
                <w:szCs w:val="18"/>
                <w:color w:val="auto"/>
              </w:rPr>
            </w:pPr>
          </w:p>
        </w:tc>
        <w:tc>
          <w:tcPr>
            <w:tcW w:w="240" w:type="dxa"/>
            <w:vAlign w:val="bottom"/>
          </w:tcPr>
          <w:p>
            <w:pPr>
              <w:jc w:val="right"/>
              <w:ind w:right="64"/>
              <w:spacing w:after="0"/>
              <w:rPr>
                <w:sz w:val="20"/>
                <w:szCs w:val="20"/>
                <w:color w:val="auto"/>
              </w:rPr>
            </w:pPr>
            <w:r>
              <w:rPr>
                <w:rFonts w:ascii="Arial" w:cs="Arial" w:eastAsia="Arial" w:hAnsi="Arial"/>
                <w:sz w:val="15"/>
                <w:szCs w:val="15"/>
                <w:color w:val="auto"/>
                <w:w w:val="95"/>
              </w:rPr>
              <w:t>$</w:t>
            </w:r>
          </w:p>
        </w:tc>
        <w:tc>
          <w:tcPr>
            <w:tcW w:w="840" w:type="dxa"/>
            <w:vAlign w:val="bottom"/>
          </w:tcPr>
          <w:p>
            <w:pPr>
              <w:jc w:val="right"/>
              <w:ind w:right="124"/>
              <w:spacing w:after="0"/>
              <w:rPr>
                <w:sz w:val="20"/>
                <w:szCs w:val="20"/>
                <w:color w:val="auto"/>
              </w:rPr>
            </w:pPr>
            <w:r>
              <w:rPr>
                <w:rFonts w:ascii="Arial" w:cs="Arial" w:eastAsia="Arial" w:hAnsi="Arial"/>
                <w:sz w:val="15"/>
                <w:szCs w:val="15"/>
                <w:color w:val="auto"/>
              </w:rPr>
              <w:t>134,371</w:t>
            </w:r>
          </w:p>
        </w:tc>
        <w:tc>
          <w:tcPr>
            <w:tcW w:w="80" w:type="dxa"/>
            <w:vAlign w:val="bottom"/>
          </w:tcPr>
          <w:p>
            <w:pPr>
              <w:spacing w:after="0"/>
              <w:rPr>
                <w:sz w:val="18"/>
                <w:szCs w:val="18"/>
                <w:color w:val="auto"/>
              </w:rPr>
            </w:pP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ind w:right="124"/>
              <w:spacing w:after="0"/>
              <w:rPr>
                <w:sz w:val="20"/>
                <w:szCs w:val="20"/>
                <w:color w:val="auto"/>
              </w:rPr>
            </w:pPr>
            <w:r>
              <w:rPr>
                <w:rFonts w:ascii="Arial" w:cs="Arial" w:eastAsia="Arial" w:hAnsi="Arial"/>
                <w:sz w:val="15"/>
                <w:szCs w:val="15"/>
                <w:color w:val="auto"/>
              </w:rPr>
              <w:t>121,534</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700" w:type="dxa"/>
            <w:vAlign w:val="bottom"/>
          </w:tcPr>
          <w:p>
            <w:pPr>
              <w:jc w:val="right"/>
              <w:ind w:right="124"/>
              <w:spacing w:after="0"/>
              <w:rPr>
                <w:sz w:val="20"/>
                <w:szCs w:val="20"/>
                <w:color w:val="auto"/>
              </w:rPr>
            </w:pPr>
            <w:r>
              <w:rPr>
                <w:rFonts w:ascii="Arial" w:cs="Arial" w:eastAsia="Arial" w:hAnsi="Arial"/>
                <w:sz w:val="15"/>
                <w:szCs w:val="15"/>
                <w:color w:val="auto"/>
              </w:rPr>
              <w:t>12,837</w:t>
            </w:r>
          </w:p>
        </w:tc>
        <w:tc>
          <w:tcPr>
            <w:tcW w:w="680" w:type="dxa"/>
            <w:vAlign w:val="bottom"/>
            <w:gridSpan w:val="2"/>
          </w:tcPr>
          <w:p>
            <w:pPr>
              <w:jc w:val="right"/>
              <w:spacing w:after="0"/>
              <w:rPr>
                <w:sz w:val="20"/>
                <w:szCs w:val="20"/>
                <w:color w:val="auto"/>
              </w:rPr>
            </w:pPr>
            <w:r>
              <w:rPr>
                <w:rFonts w:ascii="Arial" w:cs="Arial" w:eastAsia="Arial" w:hAnsi="Arial"/>
                <w:sz w:val="15"/>
                <w:szCs w:val="15"/>
                <w:color w:val="auto"/>
              </w:rPr>
              <w:t>10.6</w:t>
            </w:r>
          </w:p>
        </w:tc>
        <w:tc>
          <w:tcPr>
            <w:tcW w:w="18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20"/>
        </w:trPr>
        <w:tc>
          <w:tcPr>
            <w:tcW w:w="29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r>
      <w:tr>
        <w:trPr>
          <w:trHeight w:val="212"/>
        </w:trPr>
        <w:tc>
          <w:tcPr>
            <w:tcW w:w="2980" w:type="dxa"/>
            <w:vAlign w:val="bottom"/>
          </w:tcPr>
          <w:p>
            <w:pPr>
              <w:ind w:left="120"/>
              <w:spacing w:after="0"/>
              <w:rPr>
                <w:sz w:val="20"/>
                <w:szCs w:val="20"/>
                <w:color w:val="auto"/>
              </w:rPr>
            </w:pPr>
            <w:r>
              <w:rPr>
                <w:rFonts w:ascii="Arial" w:cs="Arial" w:eastAsia="Arial" w:hAnsi="Arial"/>
                <w:sz w:val="15"/>
                <w:szCs w:val="15"/>
                <w:b w:val="1"/>
                <w:bCs w:val="1"/>
                <w:color w:val="auto"/>
              </w:rPr>
              <w:t>Pre-owned homes</w:t>
            </w: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20"/>
        </w:trPr>
        <w:tc>
          <w:tcPr>
            <w:tcW w:w="2980" w:type="dxa"/>
            <w:vAlign w:val="bottom"/>
            <w:shd w:val="clear" w:color="auto" w:fill="CCEEFF"/>
          </w:tcPr>
          <w:p>
            <w:pPr>
              <w:ind w:left="220"/>
              <w:spacing w:after="0"/>
              <w:rPr>
                <w:sz w:val="20"/>
                <w:szCs w:val="20"/>
                <w:color w:val="auto"/>
              </w:rPr>
            </w:pPr>
            <w:r>
              <w:rPr>
                <w:rFonts w:ascii="Arial" w:cs="Arial" w:eastAsia="Arial" w:hAnsi="Arial"/>
                <w:sz w:val="15"/>
                <w:szCs w:val="15"/>
                <w:color w:val="auto"/>
              </w:rPr>
              <w:t>Pre-owned home sales</w:t>
            </w:r>
          </w:p>
        </w:tc>
        <w:tc>
          <w:tcPr>
            <w:tcW w:w="1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95"/>
              </w:rPr>
              <w:t>$</w:t>
            </w:r>
          </w:p>
        </w:tc>
        <w:tc>
          <w:tcPr>
            <w:tcW w:w="78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rPr>
              <w:t>19,324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95"/>
              </w:rPr>
              <w:t>$</w:t>
            </w:r>
          </w:p>
        </w:tc>
        <w:tc>
          <w:tcPr>
            <w:tcW w:w="88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rPr>
              <w:t>30,538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72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w w:val="96"/>
              </w:rPr>
              <w:t>(11,214)</w:t>
            </w: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(36.7)%</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w w:val="95"/>
              </w:rPr>
              <w:t>$</w:t>
            </w:r>
          </w:p>
        </w:tc>
        <w:tc>
          <w:tcPr>
            <w:tcW w:w="84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rPr>
              <w:t>44,315</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rPr>
              <w:t>54,775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70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w w:val="93"/>
              </w:rPr>
              <w:t>(10,460)</w:t>
            </w:r>
          </w:p>
        </w:tc>
        <w:tc>
          <w:tcPr>
            <w:tcW w:w="86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(19.1)%</w:t>
            </w:r>
          </w:p>
        </w:tc>
      </w:tr>
      <w:tr>
        <w:trPr>
          <w:trHeight w:val="212"/>
        </w:trPr>
        <w:tc>
          <w:tcPr>
            <w:tcW w:w="2980" w:type="dxa"/>
            <w:vAlign w:val="bottom"/>
            <w:tcBorders>
              <w:bottom w:val="single" w:sz="8" w:color="CCEEFF"/>
            </w:tcBorders>
          </w:tcPr>
          <w:p>
            <w:pPr>
              <w:ind w:left="220"/>
              <w:spacing w:after="0"/>
              <w:rPr>
                <w:sz w:val="20"/>
                <w:szCs w:val="20"/>
                <w:color w:val="auto"/>
              </w:rPr>
            </w:pPr>
            <w:r>
              <w:rPr>
                <w:rFonts w:ascii="Arial" w:cs="Arial" w:eastAsia="Arial" w:hAnsi="Arial"/>
                <w:sz w:val="15"/>
                <w:szCs w:val="15"/>
                <w:color w:val="auto"/>
              </w:rPr>
              <w:t>Pre-owned home cost of sales</w:t>
            </w: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24"/>
              <w:spacing w:after="0"/>
              <w:rPr>
                <w:sz w:val="20"/>
                <w:szCs w:val="20"/>
                <w:color w:val="auto"/>
              </w:rPr>
            </w:pPr>
            <w:r>
              <w:rPr>
                <w:rFonts w:ascii="Arial" w:cs="Arial" w:eastAsia="Arial" w:hAnsi="Arial"/>
                <w:sz w:val="15"/>
                <w:szCs w:val="15"/>
                <w:color w:val="auto"/>
              </w:rPr>
              <w:t>13,474</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124"/>
              <w:spacing w:after="0"/>
              <w:rPr>
                <w:sz w:val="20"/>
                <w:szCs w:val="20"/>
                <w:color w:val="auto"/>
              </w:rPr>
            </w:pPr>
            <w:r>
              <w:rPr>
                <w:rFonts w:ascii="Arial" w:cs="Arial" w:eastAsia="Arial" w:hAnsi="Arial"/>
                <w:sz w:val="15"/>
                <w:szCs w:val="15"/>
                <w:color w:val="auto"/>
              </w:rPr>
              <w:t>19,602</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color w:val="auto"/>
              </w:rPr>
              <w:t>(6,128)</w:t>
            </w:r>
          </w:p>
        </w:tc>
        <w:tc>
          <w:tcPr>
            <w:tcW w:w="960" w:type="dxa"/>
            <w:vAlign w:val="bottom"/>
            <w:tcBorders>
              <w:bottom w:val="single" w:sz="8" w:color="CCEEFF"/>
            </w:tcBorders>
            <w:gridSpan w:val="3"/>
          </w:tcPr>
          <w:p>
            <w:pPr>
              <w:jc w:val="right"/>
              <w:spacing w:after="0"/>
              <w:rPr>
                <w:sz w:val="20"/>
                <w:szCs w:val="20"/>
                <w:color w:val="auto"/>
              </w:rPr>
            </w:pPr>
            <w:r>
              <w:rPr>
                <w:rFonts w:ascii="Arial" w:cs="Arial" w:eastAsia="Arial" w:hAnsi="Arial"/>
                <w:sz w:val="15"/>
                <w:szCs w:val="15"/>
                <w:color w:val="auto"/>
              </w:rPr>
              <w:t>(31.3)%</w:t>
            </w:r>
          </w:p>
        </w:tc>
        <w:tc>
          <w:tcPr>
            <w:tcW w:w="2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24"/>
              <w:spacing w:after="0"/>
              <w:rPr>
                <w:sz w:val="20"/>
                <w:szCs w:val="20"/>
                <w:color w:val="auto"/>
              </w:rPr>
            </w:pPr>
            <w:r>
              <w:rPr>
                <w:rFonts w:ascii="Arial" w:cs="Arial" w:eastAsia="Arial" w:hAnsi="Arial"/>
                <w:sz w:val="15"/>
                <w:szCs w:val="15"/>
                <w:color w:val="auto"/>
              </w:rPr>
              <w:t>30,896</w:t>
            </w: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24"/>
              <w:spacing w:after="0"/>
              <w:rPr>
                <w:sz w:val="20"/>
                <w:szCs w:val="20"/>
                <w:color w:val="auto"/>
              </w:rPr>
            </w:pPr>
            <w:r>
              <w:rPr>
                <w:rFonts w:ascii="Arial" w:cs="Arial" w:eastAsia="Arial" w:hAnsi="Arial"/>
                <w:sz w:val="15"/>
                <w:szCs w:val="15"/>
                <w:color w:val="auto"/>
              </w:rPr>
              <w:t>35,733</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color w:val="auto"/>
              </w:rPr>
              <w:t>(4,837)</w:t>
            </w:r>
          </w:p>
        </w:tc>
        <w:tc>
          <w:tcPr>
            <w:tcW w:w="860" w:type="dxa"/>
            <w:vAlign w:val="bottom"/>
            <w:tcBorders>
              <w:bottom w:val="single" w:sz="8" w:color="CCEEFF"/>
            </w:tcBorders>
            <w:gridSpan w:val="3"/>
          </w:tcPr>
          <w:p>
            <w:pPr>
              <w:jc w:val="right"/>
              <w:spacing w:after="0"/>
              <w:rPr>
                <w:sz w:val="20"/>
                <w:szCs w:val="20"/>
                <w:color w:val="auto"/>
              </w:rPr>
            </w:pPr>
            <w:r>
              <w:rPr>
                <w:rFonts w:ascii="Arial" w:cs="Arial" w:eastAsia="Arial" w:hAnsi="Arial"/>
                <w:sz w:val="15"/>
                <w:szCs w:val="15"/>
                <w:color w:val="auto"/>
              </w:rPr>
              <w:t>(13.5)%</w:t>
            </w:r>
          </w:p>
        </w:tc>
      </w:tr>
      <w:tr>
        <w:trPr>
          <w:trHeight w:val="213"/>
        </w:trPr>
        <w:tc>
          <w:tcPr>
            <w:tcW w:w="2980" w:type="dxa"/>
            <w:vAlign w:val="bottom"/>
            <w:shd w:val="clear" w:color="auto" w:fill="CCEEFF"/>
          </w:tcPr>
          <w:p>
            <w:pPr>
              <w:ind w:left="220"/>
              <w:spacing w:after="0"/>
              <w:rPr>
                <w:sz w:val="20"/>
                <w:szCs w:val="20"/>
                <w:color w:val="auto"/>
              </w:rPr>
            </w:pPr>
            <w:r>
              <w:rPr>
                <w:rFonts w:ascii="Arial" w:cs="Arial" w:eastAsia="Arial" w:hAnsi="Arial"/>
                <w:sz w:val="15"/>
                <w:szCs w:val="15"/>
                <w:color w:val="auto"/>
              </w:rPr>
              <w:t>NOI / Gross Profit – pre-owned homes</w:t>
            </w:r>
          </w:p>
        </w:tc>
        <w:tc>
          <w:tcPr>
            <w:tcW w:w="1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95"/>
              </w:rPr>
              <w:t>$</w:t>
            </w:r>
          </w:p>
        </w:tc>
        <w:tc>
          <w:tcPr>
            <w:tcW w:w="78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rPr>
              <w:t>5,850</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95"/>
              </w:rPr>
              <w:t>$</w:t>
            </w:r>
          </w:p>
        </w:tc>
        <w:tc>
          <w:tcPr>
            <w:tcW w:w="88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rPr>
              <w:t>10,936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72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rPr>
              <w:t>(5,086)</w:t>
            </w: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(46.5)%</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w w:val="95"/>
              </w:rPr>
              <w:t>$</w:t>
            </w:r>
          </w:p>
        </w:tc>
        <w:tc>
          <w:tcPr>
            <w:tcW w:w="84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rPr>
              <w:t>13,419</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rPr>
              <w:t>19,042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70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rPr>
              <w:t>(5,623)</w:t>
            </w:r>
          </w:p>
        </w:tc>
        <w:tc>
          <w:tcPr>
            <w:tcW w:w="86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(29.5)%</w:t>
            </w:r>
          </w:p>
        </w:tc>
      </w:tr>
      <w:tr>
        <w:trPr>
          <w:trHeight w:val="212"/>
        </w:trPr>
        <w:tc>
          <w:tcPr>
            <w:tcW w:w="2980" w:type="dxa"/>
            <w:vAlign w:val="bottom"/>
          </w:tcPr>
          <w:p>
            <w:pPr>
              <w:ind w:left="220"/>
              <w:spacing w:after="0"/>
              <w:rPr>
                <w:sz w:val="20"/>
                <w:szCs w:val="20"/>
                <w:color w:val="auto"/>
              </w:rPr>
            </w:pPr>
            <w:r>
              <w:rPr>
                <w:rFonts w:ascii="Arial" w:cs="Arial" w:eastAsia="Arial" w:hAnsi="Arial"/>
                <w:sz w:val="15"/>
                <w:szCs w:val="15"/>
                <w:color w:val="auto"/>
              </w:rPr>
              <w:t>Gross margin % – pre-owned homes</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30.3 %</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35.8 %</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(5.5)%</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30.3 %</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34.8 %</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(4.5)%</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20"/>
        </w:trPr>
        <w:tc>
          <w:tcPr>
            <w:tcW w:w="2980" w:type="dxa"/>
            <w:vAlign w:val="bottom"/>
            <w:shd w:val="clear" w:color="auto" w:fill="CCEEFF"/>
          </w:tcPr>
          <w:p>
            <w:pPr>
              <w:ind w:left="220"/>
              <w:spacing w:after="0"/>
              <w:rPr>
                <w:sz w:val="20"/>
                <w:szCs w:val="20"/>
                <w:color w:val="auto"/>
              </w:rPr>
            </w:pPr>
            <w:r>
              <w:rPr>
                <w:rFonts w:ascii="Arial" w:cs="Arial" w:eastAsia="Arial" w:hAnsi="Arial"/>
                <w:sz w:val="15"/>
                <w:szCs w:val="15"/>
                <w:color w:val="auto"/>
                <w:w w:val="99"/>
              </w:rPr>
              <w:t>Average selling price – pre-owned homes</w:t>
            </w:r>
          </w:p>
        </w:tc>
        <w:tc>
          <w:tcPr>
            <w:tcW w:w="1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95"/>
              </w:rPr>
              <w:t>$</w:t>
            </w:r>
          </w:p>
        </w:tc>
        <w:tc>
          <w:tcPr>
            <w:tcW w:w="78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rPr>
              <w:t>41,028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95"/>
              </w:rPr>
              <w:t>$</w:t>
            </w:r>
          </w:p>
        </w:tc>
        <w:tc>
          <w:tcPr>
            <w:tcW w:w="88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rPr>
              <w:t>38,754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72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rPr>
              <w:t>2,274</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5.9</w:t>
            </w: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w w:val="95"/>
              </w:rPr>
              <w:t>$</w:t>
            </w:r>
          </w:p>
        </w:tc>
        <w:tc>
          <w:tcPr>
            <w:tcW w:w="84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rPr>
              <w:t>39,744</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rPr>
              <w:t>37,491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70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rPr>
              <w:t>2,253</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6.0</w:t>
            </w:r>
          </w:p>
        </w:tc>
        <w:tc>
          <w:tcPr>
            <w:tcW w:w="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r>
      <w:tr>
        <w:trPr>
          <w:trHeight w:val="216"/>
        </w:trPr>
        <w:tc>
          <w:tcPr>
            <w:tcW w:w="2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2980" w:type="dxa"/>
            <w:vAlign w:val="bottom"/>
            <w:shd w:val="clear" w:color="auto" w:fill="CCEEFF"/>
          </w:tcPr>
          <w:p>
            <w:pPr>
              <w:ind w:left="120"/>
              <w:spacing w:after="0"/>
              <w:rPr>
                <w:sz w:val="20"/>
                <w:szCs w:val="20"/>
                <w:color w:val="auto"/>
              </w:rPr>
            </w:pPr>
            <w:r>
              <w:rPr>
                <w:rFonts w:ascii="Arial" w:cs="Arial" w:eastAsia="Arial" w:hAnsi="Arial"/>
                <w:sz w:val="15"/>
                <w:szCs w:val="15"/>
                <w:b w:val="1"/>
                <w:bCs w:val="1"/>
                <w:color w:val="auto"/>
              </w:rPr>
              <w:t>Total home sales</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212"/>
        </w:trPr>
        <w:tc>
          <w:tcPr>
            <w:tcW w:w="2980" w:type="dxa"/>
            <w:vAlign w:val="bottom"/>
          </w:tcPr>
          <w:p>
            <w:pPr>
              <w:ind w:left="220"/>
              <w:spacing w:after="0"/>
              <w:rPr>
                <w:sz w:val="20"/>
                <w:szCs w:val="20"/>
                <w:color w:val="auto"/>
              </w:rPr>
            </w:pPr>
            <w:r>
              <w:rPr>
                <w:rFonts w:ascii="Arial" w:cs="Arial" w:eastAsia="Arial" w:hAnsi="Arial"/>
                <w:sz w:val="15"/>
                <w:szCs w:val="15"/>
                <w:color w:val="auto"/>
              </w:rPr>
              <w:t>Revenue from home sales</w:t>
            </w:r>
          </w:p>
        </w:tc>
        <w:tc>
          <w:tcPr>
            <w:tcW w:w="180" w:type="dxa"/>
            <w:vAlign w:val="bottom"/>
          </w:tcPr>
          <w:p>
            <w:pPr>
              <w:spacing w:after="0"/>
              <w:rPr>
                <w:sz w:val="18"/>
                <w:szCs w:val="18"/>
                <w:color w:val="auto"/>
              </w:rPr>
            </w:pPr>
          </w:p>
        </w:tc>
        <w:tc>
          <w:tcPr>
            <w:tcW w:w="780" w:type="dxa"/>
            <w:vAlign w:val="bottom"/>
          </w:tcPr>
          <w:p>
            <w:pPr>
              <w:jc w:val="right"/>
              <w:ind w:right="124"/>
              <w:spacing w:after="0"/>
              <w:rPr>
                <w:sz w:val="20"/>
                <w:szCs w:val="20"/>
                <w:color w:val="auto"/>
              </w:rPr>
            </w:pPr>
            <w:r>
              <w:rPr>
                <w:rFonts w:ascii="Arial" w:cs="Arial" w:eastAsia="Arial" w:hAnsi="Arial"/>
                <w:sz w:val="15"/>
                <w:szCs w:val="15"/>
                <w:color w:val="auto"/>
              </w:rPr>
              <w:t>38,530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ind w:right="124"/>
              <w:spacing w:after="0"/>
              <w:rPr>
                <w:sz w:val="20"/>
                <w:szCs w:val="20"/>
                <w:color w:val="auto"/>
              </w:rPr>
            </w:pPr>
            <w:r>
              <w:rPr>
                <w:rFonts w:ascii="Arial" w:cs="Arial" w:eastAsia="Arial" w:hAnsi="Arial"/>
                <w:sz w:val="15"/>
                <w:szCs w:val="15"/>
                <w:color w:val="auto"/>
              </w:rPr>
              <w:t>47,242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ind w:right="84"/>
              <w:spacing w:after="0"/>
              <w:rPr>
                <w:sz w:val="20"/>
                <w:szCs w:val="20"/>
                <w:color w:val="auto"/>
              </w:rPr>
            </w:pPr>
            <w:r>
              <w:rPr>
                <w:rFonts w:ascii="Arial" w:cs="Arial" w:eastAsia="Arial" w:hAnsi="Arial"/>
                <w:sz w:val="15"/>
                <w:szCs w:val="15"/>
                <w:color w:val="auto"/>
              </w:rPr>
              <w:t>(8,712)</w:t>
            </w:r>
          </w:p>
        </w:tc>
        <w:tc>
          <w:tcPr>
            <w:tcW w:w="960" w:type="dxa"/>
            <w:vAlign w:val="bottom"/>
            <w:gridSpan w:val="3"/>
          </w:tcPr>
          <w:p>
            <w:pPr>
              <w:jc w:val="right"/>
              <w:spacing w:after="0"/>
              <w:rPr>
                <w:sz w:val="20"/>
                <w:szCs w:val="20"/>
                <w:color w:val="auto"/>
              </w:rPr>
            </w:pPr>
            <w:r>
              <w:rPr>
                <w:rFonts w:ascii="Arial" w:cs="Arial" w:eastAsia="Arial" w:hAnsi="Arial"/>
                <w:sz w:val="15"/>
                <w:szCs w:val="15"/>
                <w:color w:val="auto"/>
              </w:rPr>
              <w:t>(18.4)%</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ind w:right="124"/>
              <w:spacing w:after="0"/>
              <w:rPr>
                <w:sz w:val="20"/>
                <w:szCs w:val="20"/>
                <w:color w:val="auto"/>
              </w:rPr>
            </w:pPr>
            <w:r>
              <w:rPr>
                <w:rFonts w:ascii="Arial" w:cs="Arial" w:eastAsia="Arial" w:hAnsi="Arial"/>
                <w:sz w:val="15"/>
                <w:szCs w:val="15"/>
                <w:color w:val="auto"/>
              </w:rPr>
              <w:t>79,117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ind w:right="124"/>
              <w:spacing w:after="0"/>
              <w:rPr>
                <w:sz w:val="20"/>
                <w:szCs w:val="20"/>
                <w:color w:val="auto"/>
              </w:rPr>
            </w:pPr>
            <w:r>
              <w:rPr>
                <w:rFonts w:ascii="Arial" w:cs="Arial" w:eastAsia="Arial" w:hAnsi="Arial"/>
                <w:sz w:val="15"/>
                <w:szCs w:val="15"/>
                <w:color w:val="auto"/>
              </w:rPr>
              <w:t>86,860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ind w:right="84"/>
              <w:spacing w:after="0"/>
              <w:rPr>
                <w:sz w:val="20"/>
                <w:szCs w:val="20"/>
                <w:color w:val="auto"/>
              </w:rPr>
            </w:pPr>
            <w:r>
              <w:rPr>
                <w:rFonts w:ascii="Arial" w:cs="Arial" w:eastAsia="Arial" w:hAnsi="Arial"/>
                <w:sz w:val="15"/>
                <w:szCs w:val="15"/>
                <w:color w:val="auto"/>
              </w:rPr>
              <w:t>(7,743)</w:t>
            </w:r>
          </w:p>
        </w:tc>
        <w:tc>
          <w:tcPr>
            <w:tcW w:w="860" w:type="dxa"/>
            <w:vAlign w:val="bottom"/>
            <w:gridSpan w:val="3"/>
          </w:tcPr>
          <w:p>
            <w:pPr>
              <w:jc w:val="right"/>
              <w:spacing w:after="0"/>
              <w:rPr>
                <w:sz w:val="20"/>
                <w:szCs w:val="20"/>
                <w:color w:val="auto"/>
              </w:rPr>
            </w:pPr>
            <w:r>
              <w:rPr>
                <w:rFonts w:ascii="Arial" w:cs="Arial" w:eastAsia="Arial" w:hAnsi="Arial"/>
                <w:sz w:val="15"/>
                <w:szCs w:val="15"/>
                <w:color w:val="auto"/>
              </w:rPr>
              <w:t>(8.9)%</w:t>
            </w:r>
          </w:p>
        </w:tc>
      </w:tr>
      <w:tr>
        <w:trPr>
          <w:trHeight w:val="216"/>
        </w:trPr>
        <w:tc>
          <w:tcPr>
            <w:tcW w:w="2980" w:type="dxa"/>
            <w:vAlign w:val="bottom"/>
            <w:shd w:val="clear" w:color="auto" w:fill="CCEEFF"/>
          </w:tcPr>
          <w:p>
            <w:pPr>
              <w:ind w:left="220"/>
              <w:spacing w:after="0"/>
              <w:rPr>
                <w:sz w:val="20"/>
                <w:szCs w:val="20"/>
                <w:color w:val="auto"/>
              </w:rPr>
            </w:pPr>
            <w:r>
              <w:rPr>
                <w:rFonts w:ascii="Arial" w:cs="Arial" w:eastAsia="Arial" w:hAnsi="Arial"/>
                <w:sz w:val="15"/>
                <w:szCs w:val="15"/>
                <w:color w:val="auto"/>
              </w:rPr>
              <w:t>Cost of home sales</w:t>
            </w:r>
          </w:p>
        </w:tc>
        <w:tc>
          <w:tcPr>
            <w:tcW w:w="1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124"/>
              <w:spacing w:after="0"/>
              <w:rPr>
                <w:sz w:val="20"/>
                <w:szCs w:val="20"/>
                <w:color w:val="auto"/>
              </w:rPr>
            </w:pPr>
            <w:r>
              <w:rPr>
                <w:rFonts w:ascii="Arial" w:cs="Arial" w:eastAsia="Arial" w:hAnsi="Arial"/>
                <w:sz w:val="15"/>
                <w:szCs w:val="15"/>
                <w:color w:val="auto"/>
              </w:rPr>
              <w:t>29,181</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124"/>
              <w:spacing w:after="0"/>
              <w:rPr>
                <w:sz w:val="20"/>
                <w:szCs w:val="20"/>
                <w:color w:val="auto"/>
              </w:rPr>
            </w:pPr>
            <w:r>
              <w:rPr>
                <w:rFonts w:ascii="Arial" w:cs="Arial" w:eastAsia="Arial" w:hAnsi="Arial"/>
                <w:sz w:val="15"/>
                <w:szCs w:val="15"/>
                <w:color w:val="auto"/>
              </w:rPr>
              <w:t>34,435</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ind w:right="84"/>
              <w:spacing w:after="0"/>
              <w:rPr>
                <w:sz w:val="20"/>
                <w:szCs w:val="20"/>
                <w:color w:val="auto"/>
              </w:rPr>
            </w:pPr>
            <w:r>
              <w:rPr>
                <w:rFonts w:ascii="Arial" w:cs="Arial" w:eastAsia="Arial" w:hAnsi="Arial"/>
                <w:sz w:val="15"/>
                <w:szCs w:val="15"/>
                <w:color w:val="auto"/>
              </w:rPr>
              <w:t>(5,254)</w:t>
            </w: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(15.3)%</w:t>
            </w:r>
          </w:p>
        </w:tc>
        <w:tc>
          <w:tcPr>
            <w:tcW w:w="2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124"/>
              <w:spacing w:after="0"/>
              <w:rPr>
                <w:sz w:val="20"/>
                <w:szCs w:val="20"/>
                <w:color w:val="auto"/>
              </w:rPr>
            </w:pPr>
            <w:r>
              <w:rPr>
                <w:rFonts w:ascii="Arial" w:cs="Arial" w:eastAsia="Arial" w:hAnsi="Arial"/>
                <w:sz w:val="15"/>
                <w:szCs w:val="15"/>
                <w:color w:val="auto"/>
              </w:rPr>
              <w:t>59,213</w:t>
            </w:r>
          </w:p>
        </w:tc>
        <w:tc>
          <w:tcPr>
            <w:tcW w:w="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124"/>
              <w:spacing w:after="0"/>
              <w:rPr>
                <w:sz w:val="20"/>
                <w:szCs w:val="20"/>
                <w:color w:val="auto"/>
              </w:rPr>
            </w:pPr>
            <w:r>
              <w:rPr>
                <w:rFonts w:ascii="Arial" w:cs="Arial" w:eastAsia="Arial" w:hAnsi="Arial"/>
                <w:sz w:val="15"/>
                <w:szCs w:val="15"/>
                <w:color w:val="auto"/>
              </w:rPr>
              <w:t>63,712</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ind w:right="84"/>
              <w:spacing w:after="0"/>
              <w:rPr>
                <w:sz w:val="20"/>
                <w:szCs w:val="20"/>
                <w:color w:val="auto"/>
              </w:rPr>
            </w:pPr>
            <w:r>
              <w:rPr>
                <w:rFonts w:ascii="Arial" w:cs="Arial" w:eastAsia="Arial" w:hAnsi="Arial"/>
                <w:sz w:val="15"/>
                <w:szCs w:val="15"/>
                <w:color w:val="auto"/>
              </w:rPr>
              <w:t>(4,499)</w:t>
            </w:r>
          </w:p>
        </w:tc>
        <w:tc>
          <w:tcPr>
            <w:tcW w:w="86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(7.1)%</w:t>
            </w:r>
          </w:p>
        </w:tc>
      </w:tr>
      <w:tr>
        <w:trPr>
          <w:trHeight w:val="213"/>
        </w:trPr>
        <w:tc>
          <w:tcPr>
            <w:tcW w:w="2980" w:type="dxa"/>
            <w:vAlign w:val="bottom"/>
          </w:tcPr>
          <w:p>
            <w:pPr>
              <w:ind w:left="220"/>
              <w:spacing w:after="0"/>
              <w:rPr>
                <w:sz w:val="20"/>
                <w:szCs w:val="20"/>
                <w:color w:val="auto"/>
              </w:rPr>
            </w:pPr>
            <w:r>
              <w:rPr>
                <w:rFonts w:ascii="Arial" w:cs="Arial" w:eastAsia="Arial" w:hAnsi="Arial"/>
                <w:sz w:val="15"/>
                <w:szCs w:val="15"/>
                <w:color w:val="auto"/>
              </w:rPr>
              <w:t>NOI / Gross Profit – home sales</w:t>
            </w:r>
          </w:p>
        </w:tc>
        <w:tc>
          <w:tcPr>
            <w:tcW w:w="18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w w:val="95"/>
              </w:rPr>
              <w:t>$</w:t>
            </w:r>
          </w:p>
        </w:tc>
        <w:tc>
          <w:tcPr>
            <w:tcW w:w="780" w:type="dxa"/>
            <w:vAlign w:val="bottom"/>
            <w:tcBorders>
              <w:bottom w:val="single" w:sz="8" w:color="auto"/>
            </w:tcBorders>
          </w:tcPr>
          <w:p>
            <w:pPr>
              <w:jc w:val="right"/>
              <w:ind w:right="124"/>
              <w:spacing w:after="0"/>
              <w:rPr>
                <w:sz w:val="20"/>
                <w:szCs w:val="20"/>
                <w:color w:val="auto"/>
              </w:rPr>
            </w:pPr>
            <w:r>
              <w:rPr>
                <w:rFonts w:ascii="Arial" w:cs="Arial" w:eastAsia="Arial" w:hAnsi="Arial"/>
                <w:sz w:val="15"/>
                <w:szCs w:val="15"/>
                <w:color w:val="auto"/>
              </w:rPr>
              <w:t>9,349</w:t>
            </w:r>
          </w:p>
        </w:tc>
        <w:tc>
          <w:tcPr>
            <w:tcW w:w="120" w:type="dxa"/>
            <w:vAlign w:val="bottom"/>
          </w:tcPr>
          <w:p>
            <w:pPr>
              <w:spacing w:after="0"/>
              <w:rPr>
                <w:sz w:val="18"/>
                <w:szCs w:val="18"/>
                <w:color w:val="auto"/>
              </w:rPr>
            </w:pPr>
          </w:p>
        </w:tc>
        <w:tc>
          <w:tcPr>
            <w:tcW w:w="18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w w:val="95"/>
              </w:rPr>
              <w:t>$</w:t>
            </w:r>
          </w:p>
        </w:tc>
        <w:tc>
          <w:tcPr>
            <w:tcW w:w="880" w:type="dxa"/>
            <w:vAlign w:val="bottom"/>
            <w:tcBorders>
              <w:bottom w:val="single" w:sz="8" w:color="auto"/>
            </w:tcBorders>
          </w:tcPr>
          <w:p>
            <w:pPr>
              <w:jc w:val="right"/>
              <w:ind w:right="124"/>
              <w:spacing w:after="0"/>
              <w:rPr>
                <w:sz w:val="20"/>
                <w:szCs w:val="20"/>
                <w:color w:val="auto"/>
              </w:rPr>
            </w:pPr>
            <w:r>
              <w:rPr>
                <w:rFonts w:ascii="Arial" w:cs="Arial" w:eastAsia="Arial" w:hAnsi="Arial"/>
                <w:sz w:val="15"/>
                <w:szCs w:val="15"/>
                <w:color w:val="auto"/>
              </w:rPr>
              <w:t>12,807</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72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color w:val="auto"/>
              </w:rPr>
              <w:t>(3,458)</w:t>
            </w:r>
          </w:p>
        </w:tc>
        <w:tc>
          <w:tcPr>
            <w:tcW w:w="960" w:type="dxa"/>
            <w:vAlign w:val="bottom"/>
            <w:gridSpan w:val="3"/>
          </w:tcPr>
          <w:p>
            <w:pPr>
              <w:jc w:val="right"/>
              <w:spacing w:after="0"/>
              <w:rPr>
                <w:sz w:val="20"/>
                <w:szCs w:val="20"/>
                <w:color w:val="auto"/>
              </w:rPr>
            </w:pPr>
            <w:r>
              <w:rPr>
                <w:rFonts w:ascii="Arial" w:cs="Arial" w:eastAsia="Arial" w:hAnsi="Arial"/>
                <w:sz w:val="15"/>
                <w:szCs w:val="15"/>
                <w:color w:val="auto"/>
              </w:rPr>
              <w:t>(27.0)%</w:t>
            </w:r>
          </w:p>
        </w:tc>
        <w:tc>
          <w:tcPr>
            <w:tcW w:w="220" w:type="dxa"/>
            <w:vAlign w:val="bottom"/>
          </w:tcPr>
          <w:p>
            <w:pPr>
              <w:spacing w:after="0"/>
              <w:rPr>
                <w:sz w:val="18"/>
                <w:szCs w:val="18"/>
                <w:color w:val="auto"/>
              </w:rPr>
            </w:pPr>
          </w:p>
        </w:tc>
        <w:tc>
          <w:tcPr>
            <w:tcW w:w="24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color w:val="auto"/>
                <w:w w:val="95"/>
              </w:rPr>
              <w:t>$</w:t>
            </w:r>
          </w:p>
        </w:tc>
        <w:tc>
          <w:tcPr>
            <w:tcW w:w="840" w:type="dxa"/>
            <w:vAlign w:val="bottom"/>
            <w:tcBorders>
              <w:bottom w:val="single" w:sz="8" w:color="auto"/>
            </w:tcBorders>
          </w:tcPr>
          <w:p>
            <w:pPr>
              <w:jc w:val="right"/>
              <w:ind w:right="124"/>
              <w:spacing w:after="0"/>
              <w:rPr>
                <w:sz w:val="20"/>
                <w:szCs w:val="20"/>
                <w:color w:val="auto"/>
              </w:rPr>
            </w:pPr>
            <w:r>
              <w:rPr>
                <w:rFonts w:ascii="Arial" w:cs="Arial" w:eastAsia="Arial" w:hAnsi="Arial"/>
                <w:sz w:val="15"/>
                <w:szCs w:val="15"/>
                <w:color w:val="auto"/>
              </w:rPr>
              <w:t>19,904</w:t>
            </w:r>
          </w:p>
        </w:tc>
        <w:tc>
          <w:tcPr>
            <w:tcW w:w="80" w:type="dxa"/>
            <w:vAlign w:val="bottom"/>
          </w:tcPr>
          <w:p>
            <w:pPr>
              <w:spacing w:after="0"/>
              <w:rPr>
                <w:sz w:val="18"/>
                <w:szCs w:val="18"/>
                <w:color w:val="auto"/>
              </w:rPr>
            </w:pPr>
          </w:p>
        </w:tc>
        <w:tc>
          <w:tcPr>
            <w:tcW w:w="16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ind w:right="124"/>
              <w:spacing w:after="0"/>
              <w:rPr>
                <w:sz w:val="20"/>
                <w:szCs w:val="20"/>
                <w:color w:val="auto"/>
              </w:rPr>
            </w:pPr>
            <w:r>
              <w:rPr>
                <w:rFonts w:ascii="Arial" w:cs="Arial" w:eastAsia="Arial" w:hAnsi="Arial"/>
                <w:sz w:val="15"/>
                <w:szCs w:val="15"/>
                <w:color w:val="auto"/>
              </w:rPr>
              <w:t>23,148</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70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color w:val="auto"/>
              </w:rPr>
              <w:t>(3,244)</w:t>
            </w:r>
          </w:p>
        </w:tc>
        <w:tc>
          <w:tcPr>
            <w:tcW w:w="860" w:type="dxa"/>
            <w:vAlign w:val="bottom"/>
            <w:gridSpan w:val="3"/>
          </w:tcPr>
          <w:p>
            <w:pPr>
              <w:jc w:val="right"/>
              <w:spacing w:after="0"/>
              <w:rPr>
                <w:sz w:val="20"/>
                <w:szCs w:val="20"/>
                <w:color w:val="auto"/>
              </w:rPr>
            </w:pPr>
            <w:r>
              <w:rPr>
                <w:rFonts w:ascii="Arial" w:cs="Arial" w:eastAsia="Arial" w:hAnsi="Arial"/>
                <w:sz w:val="15"/>
                <w:szCs w:val="15"/>
                <w:color w:val="auto"/>
              </w:rPr>
              <w:t>(14.0)%</w:t>
            </w:r>
          </w:p>
        </w:tc>
      </w:tr>
      <w:tr>
        <w:trPr>
          <w:trHeight w:val="20"/>
        </w:trPr>
        <w:tc>
          <w:tcPr>
            <w:tcW w:w="29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r>
      <w:tr>
        <w:trPr>
          <w:trHeight w:val="183"/>
        </w:trPr>
        <w:tc>
          <w:tcPr>
            <w:tcW w:w="29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r>
      <w:tr>
        <w:trPr>
          <w:trHeight w:val="212"/>
        </w:trPr>
        <w:tc>
          <w:tcPr>
            <w:tcW w:w="2980" w:type="dxa"/>
            <w:vAlign w:val="bottom"/>
          </w:tcPr>
          <w:p>
            <w:pPr>
              <w:ind w:left="20"/>
              <w:spacing w:after="0"/>
              <w:rPr>
                <w:sz w:val="20"/>
                <w:szCs w:val="20"/>
                <w:color w:val="auto"/>
              </w:rPr>
            </w:pPr>
            <w:r>
              <w:rPr>
                <w:rFonts w:ascii="Arial" w:cs="Arial" w:eastAsia="Arial" w:hAnsi="Arial"/>
                <w:sz w:val="15"/>
                <w:szCs w:val="15"/>
                <w:b w:val="1"/>
                <w:bCs w:val="1"/>
                <w:color w:val="auto"/>
              </w:rPr>
              <w:t>Statistical Information</w:t>
            </w: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20"/>
        </w:trPr>
        <w:tc>
          <w:tcPr>
            <w:tcW w:w="2980" w:type="dxa"/>
            <w:vAlign w:val="bottom"/>
            <w:shd w:val="clear" w:color="auto" w:fill="CCEEFF"/>
          </w:tcPr>
          <w:p>
            <w:pPr>
              <w:ind w:left="220"/>
              <w:spacing w:after="0"/>
              <w:rPr>
                <w:sz w:val="20"/>
                <w:szCs w:val="20"/>
                <w:color w:val="auto"/>
              </w:rPr>
            </w:pPr>
            <w:r>
              <w:rPr>
                <w:rFonts w:ascii="Arial" w:cs="Arial" w:eastAsia="Arial" w:hAnsi="Arial"/>
                <w:sz w:val="15"/>
                <w:szCs w:val="15"/>
                <w:color w:val="auto"/>
              </w:rPr>
              <w:t>New home sales volume</w:t>
            </w: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rPr>
              <w:t>140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rPr>
              <w:t>139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rPr>
              <w:t>1</w:t>
            </w: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0.7 %</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rPr>
              <w:t>259</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rPr>
              <w:t>264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rPr>
              <w:t>(5)</w:t>
            </w:r>
          </w:p>
        </w:tc>
        <w:tc>
          <w:tcPr>
            <w:tcW w:w="86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(1.9)%</w:t>
            </w:r>
          </w:p>
        </w:tc>
      </w:tr>
      <w:tr>
        <w:trPr>
          <w:trHeight w:val="212"/>
        </w:trPr>
        <w:tc>
          <w:tcPr>
            <w:tcW w:w="2980" w:type="dxa"/>
            <w:vAlign w:val="bottom"/>
            <w:tcBorders>
              <w:bottom w:val="single" w:sz="8" w:color="CCEEFF"/>
            </w:tcBorders>
          </w:tcPr>
          <w:p>
            <w:pPr>
              <w:ind w:left="220"/>
              <w:spacing w:after="0"/>
              <w:rPr>
                <w:sz w:val="20"/>
                <w:szCs w:val="20"/>
                <w:color w:val="auto"/>
              </w:rPr>
            </w:pPr>
            <w:r>
              <w:rPr>
                <w:rFonts w:ascii="Arial" w:cs="Arial" w:eastAsia="Arial" w:hAnsi="Arial"/>
                <w:sz w:val="15"/>
                <w:szCs w:val="15"/>
                <w:color w:val="auto"/>
              </w:rPr>
              <w:t>Pre-owned home sales volume</w:t>
            </w: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04"/>
              <w:spacing w:after="0"/>
              <w:rPr>
                <w:sz w:val="20"/>
                <w:szCs w:val="20"/>
                <w:color w:val="auto"/>
              </w:rPr>
            </w:pPr>
            <w:r>
              <w:rPr>
                <w:rFonts w:ascii="Arial" w:cs="Arial" w:eastAsia="Arial" w:hAnsi="Arial"/>
                <w:sz w:val="15"/>
                <w:szCs w:val="15"/>
                <w:color w:val="auto"/>
              </w:rPr>
              <w:t>471</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124"/>
              <w:spacing w:after="0"/>
              <w:rPr>
                <w:sz w:val="20"/>
                <w:szCs w:val="20"/>
                <w:color w:val="auto"/>
              </w:rPr>
            </w:pPr>
            <w:r>
              <w:rPr>
                <w:rFonts w:ascii="Arial" w:cs="Arial" w:eastAsia="Arial" w:hAnsi="Arial"/>
                <w:sz w:val="15"/>
                <w:szCs w:val="15"/>
                <w:color w:val="auto"/>
              </w:rPr>
              <w:t>788</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color w:val="auto"/>
              </w:rPr>
              <w:t>(317)</w:t>
            </w:r>
          </w:p>
        </w:tc>
        <w:tc>
          <w:tcPr>
            <w:tcW w:w="960" w:type="dxa"/>
            <w:vAlign w:val="bottom"/>
            <w:tcBorders>
              <w:bottom w:val="single" w:sz="8" w:color="CCEEFF"/>
            </w:tcBorders>
            <w:gridSpan w:val="3"/>
          </w:tcPr>
          <w:p>
            <w:pPr>
              <w:jc w:val="right"/>
              <w:spacing w:after="0"/>
              <w:rPr>
                <w:sz w:val="20"/>
                <w:szCs w:val="20"/>
                <w:color w:val="auto"/>
              </w:rPr>
            </w:pPr>
            <w:r>
              <w:rPr>
                <w:rFonts w:ascii="Arial" w:cs="Arial" w:eastAsia="Arial" w:hAnsi="Arial"/>
                <w:sz w:val="15"/>
                <w:szCs w:val="15"/>
                <w:color w:val="auto"/>
              </w:rPr>
              <w:t>(40.2)%</w:t>
            </w:r>
          </w:p>
        </w:tc>
        <w:tc>
          <w:tcPr>
            <w:tcW w:w="2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24"/>
              <w:spacing w:after="0"/>
              <w:rPr>
                <w:sz w:val="20"/>
                <w:szCs w:val="20"/>
                <w:color w:val="auto"/>
              </w:rPr>
            </w:pPr>
            <w:r>
              <w:rPr>
                <w:rFonts w:ascii="Arial" w:cs="Arial" w:eastAsia="Arial" w:hAnsi="Arial"/>
                <w:sz w:val="15"/>
                <w:szCs w:val="15"/>
                <w:color w:val="auto"/>
              </w:rPr>
              <w:t>1,115</w:t>
            </w: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24"/>
              <w:spacing w:after="0"/>
              <w:rPr>
                <w:sz w:val="20"/>
                <w:szCs w:val="20"/>
                <w:color w:val="auto"/>
              </w:rPr>
            </w:pPr>
            <w:r>
              <w:rPr>
                <w:rFonts w:ascii="Arial" w:cs="Arial" w:eastAsia="Arial" w:hAnsi="Arial"/>
                <w:sz w:val="15"/>
                <w:szCs w:val="15"/>
                <w:color w:val="auto"/>
              </w:rPr>
              <w:t>1,461</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color w:val="auto"/>
              </w:rPr>
              <w:t>(346)</w:t>
            </w:r>
          </w:p>
        </w:tc>
        <w:tc>
          <w:tcPr>
            <w:tcW w:w="860" w:type="dxa"/>
            <w:vAlign w:val="bottom"/>
            <w:tcBorders>
              <w:bottom w:val="single" w:sz="8" w:color="CCEEFF"/>
            </w:tcBorders>
            <w:gridSpan w:val="3"/>
          </w:tcPr>
          <w:p>
            <w:pPr>
              <w:jc w:val="right"/>
              <w:spacing w:after="0"/>
              <w:rPr>
                <w:sz w:val="20"/>
                <w:szCs w:val="20"/>
                <w:color w:val="auto"/>
              </w:rPr>
            </w:pPr>
            <w:r>
              <w:rPr>
                <w:rFonts w:ascii="Arial" w:cs="Arial" w:eastAsia="Arial" w:hAnsi="Arial"/>
                <w:sz w:val="15"/>
                <w:szCs w:val="15"/>
                <w:color w:val="auto"/>
              </w:rPr>
              <w:t>(23.7)%</w:t>
            </w:r>
          </w:p>
        </w:tc>
      </w:tr>
      <w:tr>
        <w:trPr>
          <w:trHeight w:val="238"/>
        </w:trPr>
        <w:tc>
          <w:tcPr>
            <w:tcW w:w="29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5"/>
                <w:szCs w:val="15"/>
                <w:color w:val="auto"/>
              </w:rPr>
              <w:t>Total home sales volume</w:t>
            </w:r>
          </w:p>
        </w:tc>
        <w:tc>
          <w:tcPr>
            <w:tcW w:w="18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ind w:right="104"/>
              <w:spacing w:after="0"/>
              <w:rPr>
                <w:sz w:val="20"/>
                <w:szCs w:val="20"/>
                <w:color w:val="auto"/>
              </w:rPr>
            </w:pPr>
            <w:r>
              <w:rPr>
                <w:rFonts w:ascii="Arial" w:cs="Arial" w:eastAsia="Arial" w:hAnsi="Arial"/>
                <w:sz w:val="15"/>
                <w:szCs w:val="15"/>
                <w:color w:val="auto"/>
              </w:rPr>
              <w:t>611</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ind w:right="124"/>
              <w:spacing w:after="0"/>
              <w:rPr>
                <w:sz w:val="20"/>
                <w:szCs w:val="20"/>
                <w:color w:val="auto"/>
              </w:rPr>
            </w:pPr>
            <w:r>
              <w:rPr>
                <w:rFonts w:ascii="Arial" w:cs="Arial" w:eastAsia="Arial" w:hAnsi="Arial"/>
                <w:sz w:val="15"/>
                <w:szCs w:val="15"/>
                <w:color w:val="auto"/>
              </w:rPr>
              <w:t>927</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jc w:val="right"/>
              <w:ind w:right="84"/>
              <w:spacing w:after="0"/>
              <w:rPr>
                <w:sz w:val="20"/>
                <w:szCs w:val="20"/>
                <w:color w:val="auto"/>
              </w:rPr>
            </w:pPr>
            <w:r>
              <w:rPr>
                <w:rFonts w:ascii="Arial" w:cs="Arial" w:eastAsia="Arial" w:hAnsi="Arial"/>
                <w:sz w:val="15"/>
                <w:szCs w:val="15"/>
                <w:color w:val="auto"/>
              </w:rPr>
              <w:t>(316)</w:t>
            </w:r>
          </w:p>
        </w:tc>
        <w:tc>
          <w:tcPr>
            <w:tcW w:w="9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5"/>
                <w:szCs w:val="15"/>
                <w:color w:val="auto"/>
              </w:rPr>
              <w:t>(34.1)%</w:t>
            </w:r>
          </w:p>
        </w:tc>
        <w:tc>
          <w:tcPr>
            <w:tcW w:w="2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ind w:right="124"/>
              <w:spacing w:after="0"/>
              <w:rPr>
                <w:sz w:val="20"/>
                <w:szCs w:val="20"/>
                <w:color w:val="auto"/>
              </w:rPr>
            </w:pPr>
            <w:r>
              <w:rPr>
                <w:rFonts w:ascii="Arial" w:cs="Arial" w:eastAsia="Arial" w:hAnsi="Arial"/>
                <w:sz w:val="15"/>
                <w:szCs w:val="15"/>
                <w:color w:val="auto"/>
              </w:rPr>
              <w:t>1,374</w:t>
            </w: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ind w:right="124"/>
              <w:spacing w:after="0"/>
              <w:rPr>
                <w:sz w:val="20"/>
                <w:szCs w:val="20"/>
                <w:color w:val="auto"/>
              </w:rPr>
            </w:pPr>
            <w:r>
              <w:rPr>
                <w:rFonts w:ascii="Arial" w:cs="Arial" w:eastAsia="Arial" w:hAnsi="Arial"/>
                <w:sz w:val="15"/>
                <w:szCs w:val="15"/>
                <w:color w:val="auto"/>
              </w:rPr>
              <w:t>1,725</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ind w:right="84"/>
              <w:spacing w:after="0"/>
              <w:rPr>
                <w:sz w:val="20"/>
                <w:szCs w:val="20"/>
                <w:color w:val="auto"/>
              </w:rPr>
            </w:pPr>
            <w:r>
              <w:rPr>
                <w:rFonts w:ascii="Arial" w:cs="Arial" w:eastAsia="Arial" w:hAnsi="Arial"/>
                <w:sz w:val="15"/>
                <w:szCs w:val="15"/>
                <w:color w:val="auto"/>
              </w:rPr>
              <w:t>(351)</w:t>
            </w:r>
          </w:p>
        </w:tc>
        <w:tc>
          <w:tcPr>
            <w:tcW w:w="8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5"/>
                <w:szCs w:val="15"/>
                <w:color w:val="auto"/>
              </w:rPr>
              <w:t>(20.3)%</w:t>
            </w:r>
          </w:p>
        </w:tc>
      </w:tr>
      <w:tr>
        <w:trPr>
          <w:trHeight w:val="20"/>
        </w:trPr>
        <w:tc>
          <w:tcPr>
            <w:tcW w:w="29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 - new homes</w:t>
      </w:r>
    </w:p>
    <w:p>
      <w:pPr>
        <w:spacing w:after="0" w:line="23" w:lineRule="exact"/>
        <w:rPr>
          <w:sz w:val="20"/>
          <w:szCs w:val="20"/>
          <w:color w:val="auto"/>
        </w:rPr>
      </w:pPr>
    </w:p>
    <w:p>
      <w:pPr>
        <w:ind w:left="180"/>
        <w:spacing w:after="0" w:line="323" w:lineRule="auto"/>
        <w:rPr>
          <w:sz w:val="20"/>
          <w:szCs w:val="20"/>
          <w:color w:val="auto"/>
        </w:rPr>
      </w:pPr>
      <w:r>
        <w:rPr>
          <w:rFonts w:ascii="Arial" w:cs="Arial" w:eastAsia="Arial" w:hAnsi="Arial"/>
          <w:sz w:val="16"/>
          <w:szCs w:val="16"/>
          <w:color w:val="auto"/>
        </w:rPr>
        <w:t>For the three months ended June 30, 2020, the $1.6 million, or 87.0 percent increase in gross profit is primarily the result of a 14.2 percent increase in the new home average selling price which drove a 7.0 percent increase in new home sales gross margin, as compared to the same period in 2019.</w:t>
      </w:r>
    </w:p>
    <w:p>
      <w:pPr>
        <w:spacing w:after="0" w:line="165" w:lineRule="exact"/>
        <w:rPr>
          <w:sz w:val="20"/>
          <w:szCs w:val="20"/>
          <w:color w:val="auto"/>
        </w:rPr>
      </w:pPr>
    </w:p>
    <w:p>
      <w:pPr>
        <w:ind w:left="180"/>
        <w:spacing w:after="0" w:line="342" w:lineRule="auto"/>
        <w:rPr>
          <w:sz w:val="20"/>
          <w:szCs w:val="20"/>
          <w:color w:val="auto"/>
        </w:rPr>
      </w:pPr>
      <w:r>
        <w:rPr>
          <w:rFonts w:ascii="Arial" w:cs="Arial" w:eastAsia="Arial" w:hAnsi="Arial"/>
          <w:sz w:val="16"/>
          <w:szCs w:val="16"/>
          <w:color w:val="auto"/>
        </w:rPr>
        <w:t>For the six months ended June 30, 2020, the $2.4 million, or 57.9 percent increase in gross profit is primarily the result of a 10.6 percent increase in the new home average selling price which drove a 5.8 percent increase in new home sales gross margin, as compared to the same period in 2019.</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 - pre-owned homes</w:t>
      </w:r>
    </w:p>
    <w:p>
      <w:pPr>
        <w:spacing w:after="0" w:line="23" w:lineRule="exact"/>
        <w:rPr>
          <w:sz w:val="20"/>
          <w:szCs w:val="20"/>
          <w:color w:val="auto"/>
        </w:rPr>
      </w:pPr>
    </w:p>
    <w:p>
      <w:pPr>
        <w:ind w:left="180"/>
        <w:spacing w:after="0" w:line="323" w:lineRule="auto"/>
        <w:rPr>
          <w:sz w:val="20"/>
          <w:szCs w:val="20"/>
          <w:color w:val="auto"/>
        </w:rPr>
      </w:pPr>
      <w:r>
        <w:rPr>
          <w:rFonts w:ascii="Arial" w:cs="Arial" w:eastAsia="Arial" w:hAnsi="Arial"/>
          <w:sz w:val="16"/>
          <w:szCs w:val="16"/>
          <w:color w:val="auto"/>
        </w:rPr>
        <w:t>For the three months ended June 30, 2020, the $5.1 million or 46.5 percent decrease in gross profit is primarily the result of a 40.2 percent decrease in pre-owned home sales volume coupled with a 5.5 percent decrease in pre-owned homes gross margin, as compared to the same period in 2019.</w:t>
      </w:r>
    </w:p>
    <w:p>
      <w:pPr>
        <w:spacing w:after="0" w:line="165" w:lineRule="exact"/>
        <w:rPr>
          <w:sz w:val="20"/>
          <w:szCs w:val="20"/>
          <w:color w:val="auto"/>
        </w:rPr>
      </w:pPr>
    </w:p>
    <w:p>
      <w:pPr>
        <w:ind w:left="180" w:right="20"/>
        <w:spacing w:after="0" w:line="308" w:lineRule="auto"/>
        <w:rPr>
          <w:sz w:val="20"/>
          <w:szCs w:val="20"/>
          <w:color w:val="auto"/>
        </w:rPr>
      </w:pPr>
      <w:r>
        <w:rPr>
          <w:rFonts w:ascii="Arial" w:cs="Arial" w:eastAsia="Arial" w:hAnsi="Arial"/>
          <w:sz w:val="17"/>
          <w:szCs w:val="17"/>
          <w:color w:val="auto"/>
        </w:rPr>
        <w:t>For the six months ended June 30, 2020, the $5.6 million or 29.5 percent decrease in gross profit is primarily the result of a 23.7 percent decrease in pre-owned home sales volume coupled with 4.5 percent decrease in pre-owned homes gross margin, as compared to the same period in 2019.</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41" w:name="page42"/>
    <w:bookmarkEnd w:id="41"/>
    <w:p>
      <w:pPr>
        <w:jc w:val="center"/>
        <w:spacing w:after="0"/>
        <w:rPr>
          <w:sz w:val="20"/>
          <w:szCs w:val="20"/>
          <w:color w:val="auto"/>
        </w:rPr>
      </w:pPr>
      <w:r>
        <w:rPr>
          <w:rFonts w:ascii="Arial" w:cs="Arial" w:eastAsia="Arial" w:hAnsi="Arial"/>
          <w:sz w:val="18"/>
          <w:szCs w:val="18"/>
          <w:b w:val="1"/>
          <w:bCs w:val="1"/>
          <w:color w:val="auto"/>
        </w:rPr>
        <w:t>SUN COMMUNITIES, INC.</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Rental Program Summary</w:t>
      </w:r>
    </w:p>
    <w:p>
      <w:pPr>
        <w:spacing w:after="0" w:line="25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reflects certain financial and other information for our Rental Program as of and for the three and six months ended June 30, 2020 and 2019 (in thousands, except for statistical information):</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32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860" w:type="dxa"/>
            <w:vAlign w:val="bottom"/>
            <w:tcBorders>
              <w:bottom w:val="single" w:sz="8" w:color="auto"/>
            </w:tcBorders>
            <w:gridSpan w:val="4"/>
          </w:tcPr>
          <w:p>
            <w:pPr>
              <w:jc w:val="right"/>
              <w:ind w:right="364"/>
              <w:spacing w:after="0"/>
              <w:rPr>
                <w:sz w:val="20"/>
                <w:szCs w:val="20"/>
                <w:color w:val="auto"/>
              </w:rPr>
            </w:pPr>
            <w:r>
              <w:rPr>
                <w:rFonts w:ascii="Arial" w:cs="Arial" w:eastAsia="Arial" w:hAnsi="Arial"/>
                <w:sz w:val="15"/>
                <w:szCs w:val="15"/>
                <w:b w:val="1"/>
                <w:bCs w:val="1"/>
                <w:color w:val="auto"/>
                <w:w w:val="94"/>
              </w:rPr>
              <w:t>Three Months Ended</w:t>
            </w:r>
          </w:p>
        </w:tc>
        <w:tc>
          <w:tcPr>
            <w:tcW w:w="8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gridSpan w:val="4"/>
          </w:tcPr>
          <w:p>
            <w:pPr>
              <w:jc w:val="right"/>
              <w:ind w:right="424"/>
              <w:spacing w:after="0"/>
              <w:rPr>
                <w:sz w:val="20"/>
                <w:szCs w:val="20"/>
                <w:color w:val="auto"/>
              </w:rPr>
            </w:pPr>
            <w:r>
              <w:rPr>
                <w:rFonts w:ascii="Arial" w:cs="Arial" w:eastAsia="Arial" w:hAnsi="Arial"/>
                <w:sz w:val="15"/>
                <w:szCs w:val="15"/>
                <w:b w:val="1"/>
                <w:bCs w:val="1"/>
                <w:color w:val="auto"/>
                <w:w w:val="95"/>
              </w:rPr>
              <w:t>Six Months Ended</w:t>
            </w:r>
          </w:p>
        </w:tc>
        <w:tc>
          <w:tcPr>
            <w:tcW w:w="12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r>
      <w:tr>
        <w:trPr>
          <w:trHeight w:val="207"/>
        </w:trPr>
        <w:tc>
          <w:tcPr>
            <w:tcW w:w="3200" w:type="dxa"/>
            <w:vAlign w:val="bottom"/>
          </w:tcPr>
          <w:p>
            <w:pPr>
              <w:spacing w:after="0"/>
              <w:rPr>
                <w:sz w:val="18"/>
                <w:szCs w:val="18"/>
                <w:color w:val="auto"/>
              </w:rPr>
            </w:pPr>
          </w:p>
        </w:tc>
        <w:tc>
          <w:tcPr>
            <w:tcW w:w="1120" w:type="dxa"/>
            <w:vAlign w:val="bottom"/>
            <w:gridSpan w:val="3"/>
          </w:tcPr>
          <w:p>
            <w:pPr>
              <w:ind w:left="60"/>
              <w:spacing w:after="0"/>
              <w:rPr>
                <w:sz w:val="20"/>
                <w:szCs w:val="20"/>
                <w:color w:val="auto"/>
              </w:rPr>
            </w:pPr>
            <w:r>
              <w:rPr>
                <w:rFonts w:ascii="Arial" w:cs="Arial" w:eastAsia="Arial" w:hAnsi="Arial"/>
                <w:sz w:val="15"/>
                <w:szCs w:val="15"/>
                <w:b w:val="1"/>
                <w:bCs w:val="1"/>
                <w:color w:val="auto"/>
              </w:rPr>
              <w:t>June 30, 2020</w:t>
            </w:r>
          </w:p>
        </w:tc>
        <w:tc>
          <w:tcPr>
            <w:tcW w:w="1120" w:type="dxa"/>
            <w:vAlign w:val="bottom"/>
            <w:gridSpan w:val="3"/>
          </w:tcPr>
          <w:p>
            <w:pPr>
              <w:ind w:left="60"/>
              <w:spacing w:after="0"/>
              <w:rPr>
                <w:sz w:val="20"/>
                <w:szCs w:val="20"/>
                <w:color w:val="auto"/>
              </w:rPr>
            </w:pPr>
            <w:r>
              <w:rPr>
                <w:rFonts w:ascii="Arial" w:cs="Arial" w:eastAsia="Arial" w:hAnsi="Arial"/>
                <w:sz w:val="15"/>
                <w:szCs w:val="15"/>
                <w:b w:val="1"/>
                <w:bCs w:val="1"/>
                <w:color w:val="auto"/>
              </w:rPr>
              <w:t>June 30, 2019</w:t>
            </w:r>
          </w:p>
        </w:tc>
        <w:tc>
          <w:tcPr>
            <w:tcW w:w="120" w:type="dxa"/>
            <w:vAlign w:val="bottom"/>
          </w:tcPr>
          <w:p>
            <w:pPr>
              <w:spacing w:after="0"/>
              <w:rPr>
                <w:sz w:val="18"/>
                <w:szCs w:val="18"/>
                <w:color w:val="auto"/>
              </w:rPr>
            </w:pPr>
          </w:p>
        </w:tc>
        <w:tc>
          <w:tcPr>
            <w:tcW w:w="720" w:type="dxa"/>
            <w:vAlign w:val="bottom"/>
          </w:tcPr>
          <w:p>
            <w:pPr>
              <w:jc w:val="right"/>
              <w:ind w:right="104"/>
              <w:spacing w:after="0"/>
              <w:rPr>
                <w:sz w:val="20"/>
                <w:szCs w:val="20"/>
                <w:color w:val="auto"/>
              </w:rPr>
            </w:pPr>
            <w:r>
              <w:rPr>
                <w:rFonts w:ascii="Arial" w:cs="Arial" w:eastAsia="Arial" w:hAnsi="Arial"/>
                <w:sz w:val="15"/>
                <w:szCs w:val="15"/>
                <w:b w:val="1"/>
                <w:bCs w:val="1"/>
                <w:color w:val="auto"/>
                <w:w w:val="94"/>
              </w:rPr>
              <w:t>Change</w:t>
            </w:r>
          </w:p>
        </w:tc>
        <w:tc>
          <w:tcPr>
            <w:tcW w:w="80" w:type="dxa"/>
            <w:vAlign w:val="bottom"/>
          </w:tcPr>
          <w:p>
            <w:pPr>
              <w:spacing w:after="0"/>
              <w:rPr>
                <w:sz w:val="18"/>
                <w:szCs w:val="18"/>
                <w:color w:val="auto"/>
              </w:rPr>
            </w:pPr>
          </w:p>
        </w:tc>
        <w:tc>
          <w:tcPr>
            <w:tcW w:w="960" w:type="dxa"/>
            <w:vAlign w:val="bottom"/>
            <w:gridSpan w:val="3"/>
          </w:tcPr>
          <w:p>
            <w:pPr>
              <w:ind w:left="20"/>
              <w:spacing w:after="0"/>
              <w:rPr>
                <w:sz w:val="20"/>
                <w:szCs w:val="20"/>
                <w:color w:val="auto"/>
              </w:rPr>
            </w:pPr>
            <w:r>
              <w:rPr>
                <w:rFonts w:ascii="Arial" w:cs="Arial" w:eastAsia="Arial" w:hAnsi="Arial"/>
                <w:sz w:val="15"/>
                <w:szCs w:val="15"/>
                <w:b w:val="1"/>
                <w:bCs w:val="1"/>
                <w:color w:val="auto"/>
              </w:rPr>
              <w:t>% Change</w:t>
            </w:r>
          </w:p>
        </w:tc>
        <w:tc>
          <w:tcPr>
            <w:tcW w:w="1140" w:type="dxa"/>
            <w:vAlign w:val="bottom"/>
            <w:gridSpan w:val="3"/>
          </w:tcPr>
          <w:p>
            <w:pPr>
              <w:ind w:left="80"/>
              <w:spacing w:after="0"/>
              <w:rPr>
                <w:sz w:val="20"/>
                <w:szCs w:val="20"/>
                <w:color w:val="auto"/>
              </w:rPr>
            </w:pPr>
            <w:r>
              <w:rPr>
                <w:rFonts w:ascii="Arial" w:cs="Arial" w:eastAsia="Arial" w:hAnsi="Arial"/>
                <w:sz w:val="15"/>
                <w:szCs w:val="15"/>
                <w:b w:val="1"/>
                <w:bCs w:val="1"/>
                <w:color w:val="auto"/>
              </w:rPr>
              <w:t>June 30, 2020</w:t>
            </w:r>
          </w:p>
        </w:tc>
        <w:tc>
          <w:tcPr>
            <w:tcW w:w="1140" w:type="dxa"/>
            <w:vAlign w:val="bottom"/>
            <w:gridSpan w:val="3"/>
          </w:tcPr>
          <w:p>
            <w:pPr>
              <w:ind w:left="60"/>
              <w:spacing w:after="0"/>
              <w:rPr>
                <w:sz w:val="20"/>
                <w:szCs w:val="20"/>
                <w:color w:val="auto"/>
              </w:rPr>
            </w:pPr>
            <w:r>
              <w:rPr>
                <w:rFonts w:ascii="Arial" w:cs="Arial" w:eastAsia="Arial" w:hAnsi="Arial"/>
                <w:sz w:val="15"/>
                <w:szCs w:val="15"/>
                <w:b w:val="1"/>
                <w:bCs w:val="1"/>
                <w:color w:val="auto"/>
              </w:rPr>
              <w:t>June 30, 2019</w:t>
            </w:r>
          </w:p>
        </w:tc>
        <w:tc>
          <w:tcPr>
            <w:tcW w:w="120" w:type="dxa"/>
            <w:vAlign w:val="bottom"/>
          </w:tcPr>
          <w:p>
            <w:pPr>
              <w:spacing w:after="0"/>
              <w:rPr>
                <w:sz w:val="18"/>
                <w:szCs w:val="18"/>
                <w:color w:val="auto"/>
              </w:rPr>
            </w:pPr>
          </w:p>
        </w:tc>
        <w:tc>
          <w:tcPr>
            <w:tcW w:w="660" w:type="dxa"/>
            <w:vAlign w:val="bottom"/>
          </w:tcPr>
          <w:p>
            <w:pPr>
              <w:jc w:val="right"/>
              <w:ind w:right="64"/>
              <w:spacing w:after="0"/>
              <w:rPr>
                <w:sz w:val="20"/>
                <w:szCs w:val="20"/>
                <w:color w:val="auto"/>
              </w:rPr>
            </w:pPr>
            <w:r>
              <w:rPr>
                <w:rFonts w:ascii="Arial" w:cs="Arial" w:eastAsia="Arial" w:hAnsi="Arial"/>
                <w:sz w:val="15"/>
                <w:szCs w:val="15"/>
                <w:b w:val="1"/>
                <w:bCs w:val="1"/>
                <w:color w:val="auto"/>
                <w:w w:val="90"/>
              </w:rPr>
              <w:t>Change</w:t>
            </w:r>
          </w:p>
        </w:tc>
        <w:tc>
          <w:tcPr>
            <w:tcW w:w="12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5"/>
                <w:szCs w:val="15"/>
                <w:b w:val="1"/>
                <w:bCs w:val="1"/>
                <w:color w:val="auto"/>
                <w:w w:val="96"/>
              </w:rPr>
              <w:t>% Change</w:t>
            </w:r>
          </w:p>
        </w:tc>
      </w:tr>
      <w:tr>
        <w:trPr>
          <w:trHeight w:val="198"/>
        </w:trPr>
        <w:tc>
          <w:tcPr>
            <w:tcW w:w="3200" w:type="dxa"/>
            <w:vAlign w:val="bottom"/>
          </w:tcPr>
          <w:p>
            <w:pPr>
              <w:ind w:left="20"/>
              <w:spacing w:after="0"/>
              <w:rPr>
                <w:sz w:val="20"/>
                <w:szCs w:val="20"/>
                <w:color w:val="auto"/>
              </w:rPr>
            </w:pPr>
            <w:r>
              <w:rPr>
                <w:rFonts w:ascii="Arial" w:cs="Arial" w:eastAsia="Arial" w:hAnsi="Arial"/>
                <w:sz w:val="15"/>
                <w:szCs w:val="15"/>
                <w:b w:val="1"/>
                <w:bCs w:val="1"/>
                <w:color w:val="auto"/>
              </w:rPr>
              <w:t>Financial Information</w:t>
            </w:r>
          </w:p>
        </w:tc>
        <w:tc>
          <w:tcPr>
            <w:tcW w:w="26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r>
      <w:tr>
        <w:trPr>
          <w:trHeight w:val="220"/>
        </w:trPr>
        <w:tc>
          <w:tcPr>
            <w:tcW w:w="3200" w:type="dxa"/>
            <w:vAlign w:val="bottom"/>
            <w:shd w:val="clear" w:color="auto" w:fill="CCEEFF"/>
          </w:tcPr>
          <w:p>
            <w:pPr>
              <w:ind w:left="120"/>
              <w:spacing w:after="0"/>
              <w:rPr>
                <w:sz w:val="20"/>
                <w:szCs w:val="20"/>
                <w:color w:val="auto"/>
              </w:rPr>
            </w:pPr>
            <w:r>
              <w:rPr>
                <w:rFonts w:ascii="Arial" w:cs="Arial" w:eastAsia="Arial" w:hAnsi="Arial"/>
                <w:sz w:val="15"/>
                <w:szCs w:val="15"/>
                <w:b w:val="1"/>
                <w:bCs w:val="1"/>
                <w:color w:val="auto"/>
              </w:rPr>
              <w:t>Revenues</w:t>
            </w:r>
          </w:p>
        </w:tc>
        <w:tc>
          <w:tcPr>
            <w:tcW w:w="2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r>
      <w:tr>
        <w:trPr>
          <w:trHeight w:val="212"/>
        </w:trPr>
        <w:tc>
          <w:tcPr>
            <w:tcW w:w="3200" w:type="dxa"/>
            <w:vAlign w:val="bottom"/>
          </w:tcPr>
          <w:p>
            <w:pPr>
              <w:ind w:left="320"/>
              <w:spacing w:after="0"/>
              <w:rPr>
                <w:sz w:val="20"/>
                <w:szCs w:val="20"/>
                <w:color w:val="auto"/>
              </w:rPr>
            </w:pPr>
            <w:r>
              <w:rPr>
                <w:rFonts w:ascii="Arial" w:cs="Arial" w:eastAsia="Arial" w:hAnsi="Arial"/>
                <w:sz w:val="15"/>
                <w:szCs w:val="15"/>
                <w:color w:val="auto"/>
              </w:rPr>
              <w:t>Rental home revenue</w:t>
            </w:r>
          </w:p>
        </w:tc>
        <w:tc>
          <w:tcPr>
            <w:tcW w:w="260" w:type="dxa"/>
            <w:vAlign w:val="bottom"/>
          </w:tcPr>
          <w:p>
            <w:pPr>
              <w:jc w:val="right"/>
              <w:ind w:right="104"/>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ind w:right="64"/>
              <w:spacing w:after="0"/>
              <w:rPr>
                <w:sz w:val="20"/>
                <w:szCs w:val="20"/>
                <w:color w:val="auto"/>
              </w:rPr>
            </w:pPr>
            <w:r>
              <w:rPr>
                <w:rFonts w:ascii="Arial" w:cs="Arial" w:eastAsia="Arial" w:hAnsi="Arial"/>
                <w:sz w:val="15"/>
                <w:szCs w:val="15"/>
                <w:color w:val="auto"/>
              </w:rPr>
              <w:t>14,968</w:t>
            </w: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ind w:right="64"/>
              <w:spacing w:after="0"/>
              <w:rPr>
                <w:sz w:val="20"/>
                <w:szCs w:val="20"/>
                <w:color w:val="auto"/>
              </w:rPr>
            </w:pPr>
            <w:r>
              <w:rPr>
                <w:rFonts w:ascii="Arial" w:cs="Arial" w:eastAsia="Arial" w:hAnsi="Arial"/>
                <w:sz w:val="15"/>
                <w:szCs w:val="15"/>
                <w:color w:val="auto"/>
              </w:rPr>
              <w:t>14,412</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ind w:right="84"/>
              <w:spacing w:after="0"/>
              <w:rPr>
                <w:sz w:val="20"/>
                <w:szCs w:val="20"/>
                <w:color w:val="auto"/>
              </w:rPr>
            </w:pPr>
            <w:r>
              <w:rPr>
                <w:rFonts w:ascii="Arial" w:cs="Arial" w:eastAsia="Arial" w:hAnsi="Arial"/>
                <w:sz w:val="15"/>
                <w:szCs w:val="15"/>
                <w:color w:val="auto"/>
              </w:rPr>
              <w:t>556</w:t>
            </w:r>
          </w:p>
        </w:tc>
        <w:tc>
          <w:tcPr>
            <w:tcW w:w="640" w:type="dxa"/>
            <w:vAlign w:val="bottom"/>
            <w:gridSpan w:val="2"/>
          </w:tcPr>
          <w:p>
            <w:pPr>
              <w:jc w:val="right"/>
              <w:spacing w:after="0"/>
              <w:rPr>
                <w:sz w:val="20"/>
                <w:szCs w:val="20"/>
                <w:color w:val="auto"/>
              </w:rPr>
            </w:pPr>
            <w:r>
              <w:rPr>
                <w:rFonts w:ascii="Arial" w:cs="Arial" w:eastAsia="Arial" w:hAnsi="Arial"/>
                <w:sz w:val="15"/>
                <w:szCs w:val="15"/>
                <w:color w:val="auto"/>
              </w:rPr>
              <w:t>3.9</w:t>
            </w:r>
          </w:p>
        </w:tc>
        <w:tc>
          <w:tcPr>
            <w:tcW w:w="180" w:type="dxa"/>
            <w:vAlign w:val="bottom"/>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8"/>
                <w:szCs w:val="18"/>
                <w:color w:val="auto"/>
              </w:rPr>
            </w:pPr>
          </w:p>
        </w:tc>
        <w:tc>
          <w:tcPr>
            <w:tcW w:w="240" w:type="dxa"/>
            <w:vAlign w:val="bottom"/>
          </w:tcPr>
          <w:p>
            <w:pPr>
              <w:jc w:val="right"/>
              <w:ind w:right="64"/>
              <w:spacing w:after="0"/>
              <w:rPr>
                <w:sz w:val="20"/>
                <w:szCs w:val="20"/>
                <w:color w:val="auto"/>
              </w:rPr>
            </w:pPr>
            <w:r>
              <w:rPr>
                <w:rFonts w:ascii="Arial" w:cs="Arial" w:eastAsia="Arial" w:hAnsi="Arial"/>
                <w:sz w:val="15"/>
                <w:szCs w:val="15"/>
                <w:color w:val="auto"/>
                <w:w w:val="95"/>
              </w:rPr>
              <w:t>$</w:t>
            </w:r>
          </w:p>
        </w:tc>
        <w:tc>
          <w:tcPr>
            <w:tcW w:w="800" w:type="dxa"/>
            <w:vAlign w:val="bottom"/>
          </w:tcPr>
          <w:p>
            <w:pPr>
              <w:jc w:val="right"/>
              <w:ind w:right="84"/>
              <w:spacing w:after="0"/>
              <w:rPr>
                <w:sz w:val="20"/>
                <w:szCs w:val="20"/>
                <w:color w:val="auto"/>
              </w:rPr>
            </w:pPr>
            <w:r>
              <w:rPr>
                <w:rFonts w:ascii="Arial" w:cs="Arial" w:eastAsia="Arial" w:hAnsi="Arial"/>
                <w:sz w:val="15"/>
                <w:szCs w:val="15"/>
                <w:color w:val="auto"/>
              </w:rPr>
              <w:t>30,440</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860" w:type="dxa"/>
            <w:vAlign w:val="bottom"/>
          </w:tcPr>
          <w:p>
            <w:pPr>
              <w:jc w:val="right"/>
              <w:ind w:right="64"/>
              <w:spacing w:after="0"/>
              <w:rPr>
                <w:sz w:val="20"/>
                <w:szCs w:val="20"/>
                <w:color w:val="auto"/>
              </w:rPr>
            </w:pPr>
            <w:r>
              <w:rPr>
                <w:rFonts w:ascii="Arial" w:cs="Arial" w:eastAsia="Arial" w:hAnsi="Arial"/>
                <w:sz w:val="15"/>
                <w:szCs w:val="15"/>
                <w:color w:val="auto"/>
              </w:rPr>
              <w:t>28,383</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ind w:right="64"/>
              <w:spacing w:after="0"/>
              <w:rPr>
                <w:sz w:val="20"/>
                <w:szCs w:val="20"/>
                <w:color w:val="auto"/>
              </w:rPr>
            </w:pPr>
            <w:r>
              <w:rPr>
                <w:rFonts w:ascii="Arial" w:cs="Arial" w:eastAsia="Arial" w:hAnsi="Arial"/>
                <w:sz w:val="15"/>
                <w:szCs w:val="15"/>
                <w:color w:val="auto"/>
              </w:rPr>
              <w:t>2,057</w:t>
            </w:r>
          </w:p>
        </w:tc>
        <w:tc>
          <w:tcPr>
            <w:tcW w:w="680" w:type="dxa"/>
            <w:vAlign w:val="bottom"/>
            <w:gridSpan w:val="2"/>
          </w:tcPr>
          <w:p>
            <w:pPr>
              <w:jc w:val="right"/>
              <w:spacing w:after="0"/>
              <w:rPr>
                <w:sz w:val="20"/>
                <w:szCs w:val="20"/>
                <w:color w:val="auto"/>
              </w:rPr>
            </w:pPr>
            <w:r>
              <w:rPr>
                <w:rFonts w:ascii="Arial" w:cs="Arial" w:eastAsia="Arial" w:hAnsi="Arial"/>
                <w:sz w:val="15"/>
                <w:szCs w:val="15"/>
                <w:color w:val="auto"/>
              </w:rPr>
              <w:t>7.2</w:t>
            </w:r>
          </w:p>
        </w:tc>
        <w:tc>
          <w:tcPr>
            <w:tcW w:w="18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16"/>
        </w:trPr>
        <w:tc>
          <w:tcPr>
            <w:tcW w:w="3200" w:type="dxa"/>
            <w:vAlign w:val="bottom"/>
            <w:shd w:val="clear" w:color="auto" w:fill="CCEEFF"/>
          </w:tcPr>
          <w:p>
            <w:pPr>
              <w:ind w:left="340"/>
              <w:spacing w:after="0"/>
              <w:rPr>
                <w:sz w:val="20"/>
                <w:szCs w:val="20"/>
                <w:color w:val="auto"/>
              </w:rPr>
            </w:pPr>
            <w:r>
              <w:rPr>
                <w:rFonts w:ascii="Arial" w:cs="Arial" w:eastAsia="Arial" w:hAnsi="Arial"/>
                <w:sz w:val="15"/>
                <w:szCs w:val="15"/>
                <w:color w:val="auto"/>
              </w:rPr>
              <w:t xml:space="preserve">Site rent from Rental Program </w:t>
            </w:r>
            <w:r>
              <w:rPr>
                <w:rFonts w:ascii="Arial" w:cs="Arial" w:eastAsia="Arial" w:hAnsi="Arial"/>
                <w:sz w:val="9"/>
                <w:szCs w:val="9"/>
                <w:color w:val="auto"/>
              </w:rPr>
              <w:t>(1)</w:t>
            </w:r>
          </w:p>
        </w:tc>
        <w:tc>
          <w:tcPr>
            <w:tcW w:w="2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ind w:right="64"/>
              <w:spacing w:after="0"/>
              <w:rPr>
                <w:sz w:val="20"/>
                <w:szCs w:val="20"/>
                <w:color w:val="auto"/>
              </w:rPr>
            </w:pPr>
            <w:r>
              <w:rPr>
                <w:rFonts w:ascii="Arial" w:cs="Arial" w:eastAsia="Arial" w:hAnsi="Arial"/>
                <w:sz w:val="15"/>
                <w:szCs w:val="15"/>
                <w:color w:val="auto"/>
              </w:rPr>
              <w:t>18,591</w:t>
            </w: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64"/>
              <w:spacing w:after="0"/>
              <w:rPr>
                <w:sz w:val="20"/>
                <w:szCs w:val="20"/>
                <w:color w:val="auto"/>
              </w:rPr>
            </w:pPr>
            <w:r>
              <w:rPr>
                <w:rFonts w:ascii="Arial" w:cs="Arial" w:eastAsia="Arial" w:hAnsi="Arial"/>
                <w:sz w:val="15"/>
                <w:szCs w:val="15"/>
                <w:color w:val="auto"/>
              </w:rPr>
              <w:t>17,178</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ind w:right="84"/>
              <w:spacing w:after="0"/>
              <w:rPr>
                <w:sz w:val="20"/>
                <w:szCs w:val="20"/>
                <w:color w:val="auto"/>
              </w:rPr>
            </w:pPr>
            <w:r>
              <w:rPr>
                <w:rFonts w:ascii="Arial" w:cs="Arial" w:eastAsia="Arial" w:hAnsi="Arial"/>
                <w:sz w:val="15"/>
                <w:szCs w:val="15"/>
                <w:color w:val="auto"/>
              </w:rPr>
              <w:t>1,413</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8.2</w:t>
            </w:r>
          </w:p>
        </w:tc>
        <w:tc>
          <w:tcPr>
            <w:tcW w:w="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84"/>
              <w:spacing w:after="0"/>
              <w:rPr>
                <w:sz w:val="20"/>
                <w:szCs w:val="20"/>
                <w:color w:val="auto"/>
              </w:rPr>
            </w:pPr>
            <w:r>
              <w:rPr>
                <w:rFonts w:ascii="Arial" w:cs="Arial" w:eastAsia="Arial" w:hAnsi="Arial"/>
                <w:sz w:val="15"/>
                <w:szCs w:val="15"/>
                <w:color w:val="auto"/>
              </w:rPr>
              <w:t>36,598</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64"/>
              <w:spacing w:after="0"/>
              <w:rPr>
                <w:sz w:val="20"/>
                <w:szCs w:val="20"/>
                <w:color w:val="auto"/>
              </w:rPr>
            </w:pPr>
            <w:r>
              <w:rPr>
                <w:rFonts w:ascii="Arial" w:cs="Arial" w:eastAsia="Arial" w:hAnsi="Arial"/>
                <w:sz w:val="15"/>
                <w:szCs w:val="15"/>
                <w:color w:val="auto"/>
              </w:rPr>
              <w:t>34,056</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ind w:right="64"/>
              <w:spacing w:after="0"/>
              <w:rPr>
                <w:sz w:val="20"/>
                <w:szCs w:val="20"/>
                <w:color w:val="auto"/>
              </w:rPr>
            </w:pPr>
            <w:r>
              <w:rPr>
                <w:rFonts w:ascii="Arial" w:cs="Arial" w:eastAsia="Arial" w:hAnsi="Arial"/>
                <w:sz w:val="15"/>
                <w:szCs w:val="15"/>
                <w:color w:val="auto"/>
              </w:rPr>
              <w:t>2,542</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7.5</w:t>
            </w:r>
          </w:p>
        </w:tc>
        <w:tc>
          <w:tcPr>
            <w:tcW w:w="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r>
      <w:tr>
        <w:trPr>
          <w:trHeight w:val="210"/>
        </w:trPr>
        <w:tc>
          <w:tcPr>
            <w:tcW w:w="3200" w:type="dxa"/>
            <w:vAlign w:val="bottom"/>
          </w:tcPr>
          <w:p>
            <w:pPr>
              <w:ind w:left="320"/>
              <w:spacing w:after="0"/>
              <w:rPr>
                <w:sz w:val="20"/>
                <w:szCs w:val="20"/>
                <w:color w:val="auto"/>
              </w:rPr>
            </w:pPr>
            <w:r>
              <w:rPr>
                <w:rFonts w:ascii="Arial" w:cs="Arial" w:eastAsia="Arial" w:hAnsi="Arial"/>
                <w:sz w:val="15"/>
                <w:szCs w:val="15"/>
                <w:color w:val="auto"/>
              </w:rPr>
              <w:t>Rental Program revenue</w:t>
            </w:r>
          </w:p>
        </w:tc>
        <w:tc>
          <w:tcPr>
            <w:tcW w:w="260" w:type="dxa"/>
            <w:vAlign w:val="bottom"/>
          </w:tcPr>
          <w:p>
            <w:pPr>
              <w:spacing w:after="0"/>
              <w:rPr>
                <w:sz w:val="18"/>
                <w:szCs w:val="18"/>
                <w:color w:val="auto"/>
              </w:rPr>
            </w:pPr>
          </w:p>
        </w:tc>
        <w:tc>
          <w:tcPr>
            <w:tcW w:w="740" w:type="dxa"/>
            <w:vAlign w:val="bottom"/>
          </w:tcPr>
          <w:p>
            <w:pPr>
              <w:jc w:val="right"/>
              <w:ind w:right="64"/>
              <w:spacing w:after="0"/>
              <w:rPr>
                <w:sz w:val="20"/>
                <w:szCs w:val="20"/>
                <w:color w:val="auto"/>
              </w:rPr>
            </w:pPr>
            <w:r>
              <w:rPr>
                <w:rFonts w:ascii="Arial" w:cs="Arial" w:eastAsia="Arial" w:hAnsi="Arial"/>
                <w:sz w:val="15"/>
                <w:szCs w:val="15"/>
                <w:color w:val="auto"/>
              </w:rPr>
              <w:t>33,559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ind w:right="64"/>
              <w:spacing w:after="0"/>
              <w:rPr>
                <w:sz w:val="20"/>
                <w:szCs w:val="20"/>
                <w:color w:val="auto"/>
              </w:rPr>
            </w:pPr>
            <w:r>
              <w:rPr>
                <w:rFonts w:ascii="Arial" w:cs="Arial" w:eastAsia="Arial" w:hAnsi="Arial"/>
                <w:sz w:val="15"/>
                <w:szCs w:val="15"/>
                <w:color w:val="auto"/>
              </w:rPr>
              <w:t>31,590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ind w:right="84"/>
              <w:spacing w:after="0"/>
              <w:rPr>
                <w:sz w:val="20"/>
                <w:szCs w:val="20"/>
                <w:color w:val="auto"/>
              </w:rPr>
            </w:pPr>
            <w:r>
              <w:rPr>
                <w:rFonts w:ascii="Arial" w:cs="Arial" w:eastAsia="Arial" w:hAnsi="Arial"/>
                <w:sz w:val="15"/>
                <w:szCs w:val="15"/>
                <w:color w:val="auto"/>
              </w:rPr>
              <w:t>1,969</w:t>
            </w:r>
          </w:p>
        </w:tc>
        <w:tc>
          <w:tcPr>
            <w:tcW w:w="640" w:type="dxa"/>
            <w:vAlign w:val="bottom"/>
            <w:gridSpan w:val="2"/>
          </w:tcPr>
          <w:p>
            <w:pPr>
              <w:jc w:val="right"/>
              <w:spacing w:after="0"/>
              <w:rPr>
                <w:sz w:val="20"/>
                <w:szCs w:val="20"/>
                <w:color w:val="auto"/>
              </w:rPr>
            </w:pPr>
            <w:r>
              <w:rPr>
                <w:rFonts w:ascii="Arial" w:cs="Arial" w:eastAsia="Arial" w:hAnsi="Arial"/>
                <w:sz w:val="15"/>
                <w:szCs w:val="15"/>
                <w:color w:val="auto"/>
              </w:rPr>
              <w:t>6.2</w:t>
            </w:r>
          </w:p>
        </w:tc>
        <w:tc>
          <w:tcPr>
            <w:tcW w:w="180" w:type="dxa"/>
            <w:vAlign w:val="bottom"/>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ind w:right="84"/>
              <w:spacing w:after="0"/>
              <w:rPr>
                <w:sz w:val="20"/>
                <w:szCs w:val="20"/>
                <w:color w:val="auto"/>
              </w:rPr>
            </w:pPr>
            <w:r>
              <w:rPr>
                <w:rFonts w:ascii="Arial" w:cs="Arial" w:eastAsia="Arial" w:hAnsi="Arial"/>
                <w:sz w:val="15"/>
                <w:szCs w:val="15"/>
                <w:color w:val="auto"/>
              </w:rPr>
              <w:t>67,038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ind w:right="64"/>
              <w:spacing w:after="0"/>
              <w:rPr>
                <w:sz w:val="20"/>
                <w:szCs w:val="20"/>
                <w:color w:val="auto"/>
              </w:rPr>
            </w:pPr>
            <w:r>
              <w:rPr>
                <w:rFonts w:ascii="Arial" w:cs="Arial" w:eastAsia="Arial" w:hAnsi="Arial"/>
                <w:sz w:val="15"/>
                <w:szCs w:val="15"/>
                <w:color w:val="auto"/>
              </w:rPr>
              <w:t>62,439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ind w:right="64"/>
              <w:spacing w:after="0"/>
              <w:rPr>
                <w:sz w:val="20"/>
                <w:szCs w:val="20"/>
                <w:color w:val="auto"/>
              </w:rPr>
            </w:pPr>
            <w:r>
              <w:rPr>
                <w:rFonts w:ascii="Arial" w:cs="Arial" w:eastAsia="Arial" w:hAnsi="Arial"/>
                <w:sz w:val="15"/>
                <w:szCs w:val="15"/>
                <w:color w:val="auto"/>
              </w:rPr>
              <w:t>4,599</w:t>
            </w:r>
          </w:p>
        </w:tc>
        <w:tc>
          <w:tcPr>
            <w:tcW w:w="680" w:type="dxa"/>
            <w:vAlign w:val="bottom"/>
            <w:gridSpan w:val="2"/>
          </w:tcPr>
          <w:p>
            <w:pPr>
              <w:jc w:val="right"/>
              <w:spacing w:after="0"/>
              <w:rPr>
                <w:sz w:val="20"/>
                <w:szCs w:val="20"/>
                <w:color w:val="auto"/>
              </w:rPr>
            </w:pPr>
            <w:r>
              <w:rPr>
                <w:rFonts w:ascii="Arial" w:cs="Arial" w:eastAsia="Arial" w:hAnsi="Arial"/>
                <w:sz w:val="15"/>
                <w:szCs w:val="15"/>
                <w:color w:val="auto"/>
              </w:rPr>
              <w:t>7.4</w:t>
            </w:r>
          </w:p>
        </w:tc>
        <w:tc>
          <w:tcPr>
            <w:tcW w:w="18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20"/>
        </w:trPr>
        <w:tc>
          <w:tcPr>
            <w:tcW w:w="3200" w:type="dxa"/>
            <w:vAlign w:val="bottom"/>
            <w:shd w:val="clear" w:color="auto" w:fill="CCEEFF"/>
          </w:tcPr>
          <w:p>
            <w:pPr>
              <w:ind w:left="120"/>
              <w:spacing w:after="0"/>
              <w:rPr>
                <w:sz w:val="20"/>
                <w:szCs w:val="20"/>
                <w:color w:val="auto"/>
              </w:rPr>
            </w:pPr>
            <w:r>
              <w:rPr>
                <w:rFonts w:ascii="Arial" w:cs="Arial" w:eastAsia="Arial" w:hAnsi="Arial"/>
                <w:sz w:val="15"/>
                <w:szCs w:val="15"/>
                <w:b w:val="1"/>
                <w:bCs w:val="1"/>
                <w:color w:val="auto"/>
              </w:rPr>
              <w:t>Expenses</w:t>
            </w:r>
          </w:p>
        </w:tc>
        <w:tc>
          <w:tcPr>
            <w:tcW w:w="2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r>
      <w:tr>
        <w:trPr>
          <w:trHeight w:val="212"/>
        </w:trPr>
        <w:tc>
          <w:tcPr>
            <w:tcW w:w="3200" w:type="dxa"/>
            <w:vAlign w:val="bottom"/>
          </w:tcPr>
          <w:p>
            <w:pPr>
              <w:ind w:left="320"/>
              <w:spacing w:after="0"/>
              <w:rPr>
                <w:sz w:val="20"/>
                <w:szCs w:val="20"/>
                <w:color w:val="auto"/>
              </w:rPr>
            </w:pPr>
            <w:r>
              <w:rPr>
                <w:rFonts w:ascii="Arial" w:cs="Arial" w:eastAsia="Arial" w:hAnsi="Arial"/>
                <w:sz w:val="15"/>
                <w:szCs w:val="15"/>
                <w:color w:val="auto"/>
              </w:rPr>
              <w:t>Repairs and refurbishment</w:t>
            </w:r>
          </w:p>
        </w:tc>
        <w:tc>
          <w:tcPr>
            <w:tcW w:w="260" w:type="dxa"/>
            <w:vAlign w:val="bottom"/>
          </w:tcPr>
          <w:p>
            <w:pPr>
              <w:spacing w:after="0"/>
              <w:rPr>
                <w:sz w:val="18"/>
                <w:szCs w:val="18"/>
                <w:color w:val="auto"/>
              </w:rPr>
            </w:pPr>
          </w:p>
        </w:tc>
        <w:tc>
          <w:tcPr>
            <w:tcW w:w="740" w:type="dxa"/>
            <w:vAlign w:val="bottom"/>
          </w:tcPr>
          <w:p>
            <w:pPr>
              <w:jc w:val="right"/>
              <w:ind w:right="64"/>
              <w:spacing w:after="0"/>
              <w:rPr>
                <w:sz w:val="20"/>
                <w:szCs w:val="20"/>
                <w:color w:val="auto"/>
              </w:rPr>
            </w:pPr>
            <w:r>
              <w:rPr>
                <w:rFonts w:ascii="Arial" w:cs="Arial" w:eastAsia="Arial" w:hAnsi="Arial"/>
                <w:sz w:val="15"/>
                <w:szCs w:val="15"/>
                <w:color w:val="auto"/>
              </w:rPr>
              <w:t>2,256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ind w:right="64"/>
              <w:spacing w:after="0"/>
              <w:rPr>
                <w:sz w:val="20"/>
                <w:szCs w:val="20"/>
                <w:color w:val="auto"/>
              </w:rPr>
            </w:pPr>
            <w:r>
              <w:rPr>
                <w:rFonts w:ascii="Arial" w:cs="Arial" w:eastAsia="Arial" w:hAnsi="Arial"/>
                <w:sz w:val="15"/>
                <w:szCs w:val="15"/>
                <w:color w:val="auto"/>
              </w:rPr>
              <w:t>2,889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ind w:right="44"/>
              <w:spacing w:after="0"/>
              <w:rPr>
                <w:sz w:val="20"/>
                <w:szCs w:val="20"/>
                <w:color w:val="auto"/>
              </w:rPr>
            </w:pPr>
            <w:r>
              <w:rPr>
                <w:rFonts w:ascii="Arial" w:cs="Arial" w:eastAsia="Arial" w:hAnsi="Arial"/>
                <w:sz w:val="15"/>
                <w:szCs w:val="15"/>
                <w:color w:val="auto"/>
              </w:rPr>
              <w:t>(633)</w:t>
            </w:r>
          </w:p>
        </w:tc>
        <w:tc>
          <w:tcPr>
            <w:tcW w:w="820" w:type="dxa"/>
            <w:vAlign w:val="bottom"/>
            <w:gridSpan w:val="3"/>
          </w:tcPr>
          <w:p>
            <w:pPr>
              <w:jc w:val="right"/>
              <w:spacing w:after="0"/>
              <w:rPr>
                <w:sz w:val="20"/>
                <w:szCs w:val="20"/>
                <w:color w:val="auto"/>
              </w:rPr>
            </w:pPr>
            <w:r>
              <w:rPr>
                <w:rFonts w:ascii="Arial" w:cs="Arial" w:eastAsia="Arial" w:hAnsi="Arial"/>
                <w:sz w:val="15"/>
                <w:szCs w:val="15"/>
                <w:color w:val="auto"/>
              </w:rPr>
              <w:t>(21.9)%</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ind w:right="84"/>
              <w:spacing w:after="0"/>
              <w:rPr>
                <w:sz w:val="20"/>
                <w:szCs w:val="20"/>
                <w:color w:val="auto"/>
              </w:rPr>
            </w:pPr>
            <w:r>
              <w:rPr>
                <w:rFonts w:ascii="Arial" w:cs="Arial" w:eastAsia="Arial" w:hAnsi="Arial"/>
                <w:sz w:val="15"/>
                <w:szCs w:val="15"/>
                <w:color w:val="auto"/>
              </w:rPr>
              <w:t>5,209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ind w:right="64"/>
              <w:spacing w:after="0"/>
              <w:rPr>
                <w:sz w:val="20"/>
                <w:szCs w:val="20"/>
                <w:color w:val="auto"/>
              </w:rPr>
            </w:pPr>
            <w:r>
              <w:rPr>
                <w:rFonts w:ascii="Arial" w:cs="Arial" w:eastAsia="Arial" w:hAnsi="Arial"/>
                <w:sz w:val="15"/>
                <w:szCs w:val="15"/>
                <w:color w:val="auto"/>
              </w:rPr>
              <w:t>5,237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ind w:right="24"/>
              <w:spacing w:after="0"/>
              <w:rPr>
                <w:sz w:val="20"/>
                <w:szCs w:val="20"/>
                <w:color w:val="auto"/>
              </w:rPr>
            </w:pPr>
            <w:r>
              <w:rPr>
                <w:rFonts w:ascii="Arial" w:cs="Arial" w:eastAsia="Arial" w:hAnsi="Arial"/>
                <w:sz w:val="15"/>
                <w:szCs w:val="15"/>
                <w:color w:val="auto"/>
              </w:rPr>
              <w:t>(28)</w:t>
            </w:r>
          </w:p>
        </w:tc>
        <w:tc>
          <w:tcPr>
            <w:tcW w:w="860" w:type="dxa"/>
            <w:vAlign w:val="bottom"/>
            <w:gridSpan w:val="3"/>
          </w:tcPr>
          <w:p>
            <w:pPr>
              <w:jc w:val="right"/>
              <w:spacing w:after="0"/>
              <w:rPr>
                <w:sz w:val="20"/>
                <w:szCs w:val="20"/>
                <w:color w:val="auto"/>
              </w:rPr>
            </w:pPr>
            <w:r>
              <w:rPr>
                <w:rFonts w:ascii="Arial" w:cs="Arial" w:eastAsia="Arial" w:hAnsi="Arial"/>
                <w:sz w:val="15"/>
                <w:szCs w:val="15"/>
                <w:color w:val="auto"/>
              </w:rPr>
              <w:t>(0.5)%</w:t>
            </w:r>
          </w:p>
        </w:tc>
      </w:tr>
      <w:tr>
        <w:trPr>
          <w:trHeight w:val="220"/>
        </w:trPr>
        <w:tc>
          <w:tcPr>
            <w:tcW w:w="3200" w:type="dxa"/>
            <w:vAlign w:val="bottom"/>
            <w:shd w:val="clear" w:color="auto" w:fill="CCEEFF"/>
          </w:tcPr>
          <w:p>
            <w:pPr>
              <w:ind w:left="320"/>
              <w:spacing w:after="0"/>
              <w:rPr>
                <w:sz w:val="20"/>
                <w:szCs w:val="20"/>
                <w:color w:val="auto"/>
              </w:rPr>
            </w:pPr>
            <w:r>
              <w:rPr>
                <w:rFonts w:ascii="Arial" w:cs="Arial" w:eastAsia="Arial" w:hAnsi="Arial"/>
                <w:sz w:val="15"/>
                <w:szCs w:val="15"/>
                <w:color w:val="auto"/>
              </w:rPr>
              <w:t>Taxes and insurance</w:t>
            </w:r>
          </w:p>
        </w:tc>
        <w:tc>
          <w:tcPr>
            <w:tcW w:w="26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2,006</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1,827</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rPr>
              <w:t>179</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9.8</w:t>
            </w:r>
          </w:p>
        </w:tc>
        <w:tc>
          <w:tcPr>
            <w:tcW w:w="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rPr>
              <w:t>4,019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3,691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328</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8.9</w:t>
            </w:r>
          </w:p>
        </w:tc>
        <w:tc>
          <w:tcPr>
            <w:tcW w:w="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r>
      <w:tr>
        <w:trPr>
          <w:trHeight w:val="212"/>
        </w:trPr>
        <w:tc>
          <w:tcPr>
            <w:tcW w:w="3200" w:type="dxa"/>
            <w:vAlign w:val="bottom"/>
            <w:tcBorders>
              <w:bottom w:val="single" w:sz="8" w:color="CCEEFF"/>
            </w:tcBorders>
          </w:tcPr>
          <w:p>
            <w:pPr>
              <w:ind w:left="320"/>
              <w:spacing w:after="0"/>
              <w:rPr>
                <w:sz w:val="20"/>
                <w:szCs w:val="20"/>
                <w:color w:val="auto"/>
              </w:rPr>
            </w:pPr>
            <w:r>
              <w:rPr>
                <w:rFonts w:ascii="Arial" w:cs="Arial" w:eastAsia="Arial" w:hAnsi="Arial"/>
                <w:sz w:val="15"/>
                <w:szCs w:val="15"/>
                <w:color w:val="auto"/>
              </w:rPr>
              <w:t>Other</w:t>
            </w:r>
          </w:p>
        </w:tc>
        <w:tc>
          <w:tcPr>
            <w:tcW w:w="2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color w:val="auto"/>
              </w:rPr>
              <w:t>423</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color w:val="auto"/>
              </w:rPr>
              <w:t>461</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(38)</w:t>
            </w:r>
          </w:p>
        </w:tc>
        <w:tc>
          <w:tcPr>
            <w:tcW w:w="820" w:type="dxa"/>
            <w:vAlign w:val="bottom"/>
            <w:tcBorders>
              <w:bottom w:val="single" w:sz="8" w:color="CCEEFF"/>
            </w:tcBorders>
            <w:gridSpan w:val="3"/>
          </w:tcPr>
          <w:p>
            <w:pPr>
              <w:jc w:val="right"/>
              <w:spacing w:after="0"/>
              <w:rPr>
                <w:sz w:val="20"/>
                <w:szCs w:val="20"/>
                <w:color w:val="auto"/>
              </w:rPr>
            </w:pPr>
            <w:r>
              <w:rPr>
                <w:rFonts w:ascii="Arial" w:cs="Arial" w:eastAsia="Arial" w:hAnsi="Arial"/>
                <w:sz w:val="15"/>
                <w:szCs w:val="15"/>
                <w:color w:val="auto"/>
              </w:rPr>
              <w:t>(8.2)%</w:t>
            </w:r>
          </w:p>
        </w:tc>
        <w:tc>
          <w:tcPr>
            <w:tcW w:w="2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color w:val="auto"/>
              </w:rPr>
              <w:t>951</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color w:val="auto"/>
              </w:rPr>
              <w:t>1,081</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(130)</w:t>
            </w:r>
          </w:p>
        </w:tc>
        <w:tc>
          <w:tcPr>
            <w:tcW w:w="860" w:type="dxa"/>
            <w:vAlign w:val="bottom"/>
            <w:tcBorders>
              <w:bottom w:val="single" w:sz="8" w:color="CCEEFF"/>
            </w:tcBorders>
            <w:gridSpan w:val="3"/>
          </w:tcPr>
          <w:p>
            <w:pPr>
              <w:jc w:val="right"/>
              <w:spacing w:after="0"/>
              <w:rPr>
                <w:sz w:val="20"/>
                <w:szCs w:val="20"/>
                <w:color w:val="auto"/>
              </w:rPr>
            </w:pPr>
            <w:r>
              <w:rPr>
                <w:rFonts w:ascii="Arial" w:cs="Arial" w:eastAsia="Arial" w:hAnsi="Arial"/>
                <w:sz w:val="15"/>
                <w:szCs w:val="15"/>
                <w:color w:val="auto"/>
              </w:rPr>
              <w:t>(12.0)%</w:t>
            </w:r>
          </w:p>
        </w:tc>
      </w:tr>
      <w:tr>
        <w:trPr>
          <w:trHeight w:val="209"/>
        </w:trPr>
        <w:tc>
          <w:tcPr>
            <w:tcW w:w="3200" w:type="dxa"/>
            <w:vAlign w:val="bottom"/>
            <w:shd w:val="clear" w:color="auto" w:fill="CCEEFF"/>
          </w:tcPr>
          <w:p>
            <w:pPr>
              <w:ind w:left="320"/>
              <w:spacing w:after="0"/>
              <w:rPr>
                <w:sz w:val="20"/>
                <w:szCs w:val="20"/>
                <w:color w:val="auto"/>
              </w:rPr>
            </w:pPr>
            <w:r>
              <w:rPr>
                <w:rFonts w:ascii="Arial" w:cs="Arial" w:eastAsia="Arial" w:hAnsi="Arial"/>
                <w:sz w:val="15"/>
                <w:szCs w:val="15"/>
                <w:color w:val="auto"/>
                <w:w w:val="98"/>
              </w:rPr>
              <w:t>Rental Program operating and maintenance</w:t>
            </w:r>
          </w:p>
        </w:tc>
        <w:tc>
          <w:tcPr>
            <w:tcW w:w="2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ind w:right="64"/>
              <w:spacing w:after="0"/>
              <w:rPr>
                <w:sz w:val="20"/>
                <w:szCs w:val="20"/>
                <w:color w:val="auto"/>
              </w:rPr>
            </w:pPr>
            <w:r>
              <w:rPr>
                <w:rFonts w:ascii="Arial" w:cs="Arial" w:eastAsia="Arial" w:hAnsi="Arial"/>
                <w:sz w:val="15"/>
                <w:szCs w:val="15"/>
                <w:color w:val="auto"/>
              </w:rPr>
              <w:t>4,685</w:t>
            </w: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64"/>
              <w:spacing w:after="0"/>
              <w:rPr>
                <w:sz w:val="20"/>
                <w:szCs w:val="20"/>
                <w:color w:val="auto"/>
              </w:rPr>
            </w:pPr>
            <w:r>
              <w:rPr>
                <w:rFonts w:ascii="Arial" w:cs="Arial" w:eastAsia="Arial" w:hAnsi="Arial"/>
                <w:sz w:val="15"/>
                <w:szCs w:val="15"/>
                <w:color w:val="auto"/>
              </w:rPr>
              <w:t>5,177</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rPr>
              <w:t>(492)</w:t>
            </w: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(9.5)%</w:t>
            </w:r>
          </w:p>
        </w:tc>
        <w:tc>
          <w:tcPr>
            <w:tcW w:w="2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84"/>
              <w:spacing w:after="0"/>
              <w:rPr>
                <w:sz w:val="20"/>
                <w:szCs w:val="20"/>
                <w:color w:val="auto"/>
              </w:rPr>
            </w:pPr>
            <w:r>
              <w:rPr>
                <w:rFonts w:ascii="Arial" w:cs="Arial" w:eastAsia="Arial" w:hAnsi="Arial"/>
                <w:sz w:val="15"/>
                <w:szCs w:val="15"/>
                <w:color w:val="auto"/>
              </w:rPr>
              <w:t>10,179</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64"/>
              <w:spacing w:after="0"/>
              <w:rPr>
                <w:sz w:val="20"/>
                <w:szCs w:val="20"/>
                <w:color w:val="auto"/>
              </w:rPr>
            </w:pPr>
            <w:r>
              <w:rPr>
                <w:rFonts w:ascii="Arial" w:cs="Arial" w:eastAsia="Arial" w:hAnsi="Arial"/>
                <w:sz w:val="15"/>
                <w:szCs w:val="15"/>
                <w:color w:val="auto"/>
              </w:rPr>
              <w:t>10,009</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ind w:right="64"/>
              <w:spacing w:after="0"/>
              <w:rPr>
                <w:sz w:val="20"/>
                <w:szCs w:val="20"/>
                <w:color w:val="auto"/>
              </w:rPr>
            </w:pPr>
            <w:r>
              <w:rPr>
                <w:rFonts w:ascii="Arial" w:cs="Arial" w:eastAsia="Arial" w:hAnsi="Arial"/>
                <w:sz w:val="15"/>
                <w:szCs w:val="15"/>
                <w:color w:val="auto"/>
              </w:rPr>
              <w:t>170</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1.7</w:t>
            </w:r>
          </w:p>
        </w:tc>
        <w:tc>
          <w:tcPr>
            <w:tcW w:w="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r>
      <w:tr>
        <w:trPr>
          <w:trHeight w:val="213"/>
        </w:trPr>
        <w:tc>
          <w:tcPr>
            <w:tcW w:w="3200" w:type="dxa"/>
            <w:vAlign w:val="bottom"/>
          </w:tcPr>
          <w:p>
            <w:pPr>
              <w:ind w:left="120"/>
              <w:spacing w:after="0"/>
              <w:rPr>
                <w:sz w:val="20"/>
                <w:szCs w:val="20"/>
                <w:color w:val="auto"/>
              </w:rPr>
            </w:pPr>
            <w:r>
              <w:rPr>
                <w:rFonts w:ascii="Arial" w:cs="Arial" w:eastAsia="Arial" w:hAnsi="Arial"/>
                <w:sz w:val="15"/>
                <w:szCs w:val="15"/>
                <w:color w:val="auto"/>
              </w:rPr>
              <w:t>Rental Program NOI</w:t>
            </w:r>
          </w:p>
        </w:tc>
        <w:tc>
          <w:tcPr>
            <w:tcW w:w="260" w:type="dxa"/>
            <w:vAlign w:val="bottom"/>
            <w:tcBorders>
              <w:bottom w:val="single" w:sz="8" w:color="auto"/>
            </w:tcBorders>
          </w:tcPr>
          <w:p>
            <w:pPr>
              <w:jc w:val="right"/>
              <w:ind w:right="104"/>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color w:val="auto"/>
              </w:rPr>
              <w:t>28,874</w:t>
            </w:r>
          </w:p>
        </w:tc>
        <w:tc>
          <w:tcPr>
            <w:tcW w:w="1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color w:val="auto"/>
              </w:rPr>
              <w:t>26,413</w:t>
            </w:r>
          </w:p>
        </w:tc>
        <w:tc>
          <w:tcPr>
            <w:tcW w:w="1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color w:val="auto"/>
              </w:rPr>
              <w:t>2,461</w:t>
            </w:r>
          </w:p>
        </w:tc>
        <w:tc>
          <w:tcPr>
            <w:tcW w:w="640" w:type="dxa"/>
            <w:vAlign w:val="bottom"/>
            <w:gridSpan w:val="2"/>
          </w:tcPr>
          <w:p>
            <w:pPr>
              <w:jc w:val="right"/>
              <w:spacing w:after="0"/>
              <w:rPr>
                <w:sz w:val="20"/>
                <w:szCs w:val="20"/>
                <w:color w:val="auto"/>
              </w:rPr>
            </w:pPr>
            <w:r>
              <w:rPr>
                <w:rFonts w:ascii="Arial" w:cs="Arial" w:eastAsia="Arial" w:hAnsi="Arial"/>
                <w:sz w:val="15"/>
                <w:szCs w:val="15"/>
                <w:color w:val="auto"/>
              </w:rPr>
              <w:t>9.3</w:t>
            </w:r>
          </w:p>
        </w:tc>
        <w:tc>
          <w:tcPr>
            <w:tcW w:w="180" w:type="dxa"/>
            <w:vAlign w:val="bottom"/>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8"/>
                <w:szCs w:val="18"/>
                <w:color w:val="auto"/>
              </w:rPr>
            </w:pPr>
          </w:p>
        </w:tc>
        <w:tc>
          <w:tcPr>
            <w:tcW w:w="24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color w:val="auto"/>
                <w:w w:val="95"/>
              </w:rPr>
              <w:t>$</w:t>
            </w:r>
          </w:p>
        </w:tc>
        <w:tc>
          <w:tcPr>
            <w:tcW w:w="80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color w:val="auto"/>
              </w:rPr>
              <w:t>56,859</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86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color w:val="auto"/>
              </w:rPr>
              <w:t>52,430</w:t>
            </w:r>
          </w:p>
        </w:tc>
        <w:tc>
          <w:tcPr>
            <w:tcW w:w="1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color w:val="auto"/>
              </w:rPr>
              <w:t>4,429</w:t>
            </w:r>
          </w:p>
        </w:tc>
        <w:tc>
          <w:tcPr>
            <w:tcW w:w="680" w:type="dxa"/>
            <w:vAlign w:val="bottom"/>
            <w:gridSpan w:val="2"/>
          </w:tcPr>
          <w:p>
            <w:pPr>
              <w:jc w:val="right"/>
              <w:spacing w:after="0"/>
              <w:rPr>
                <w:sz w:val="20"/>
                <w:szCs w:val="20"/>
                <w:color w:val="auto"/>
              </w:rPr>
            </w:pPr>
            <w:r>
              <w:rPr>
                <w:rFonts w:ascii="Arial" w:cs="Arial" w:eastAsia="Arial" w:hAnsi="Arial"/>
                <w:sz w:val="15"/>
                <w:szCs w:val="15"/>
                <w:color w:val="auto"/>
              </w:rPr>
              <w:t>8.4</w:t>
            </w:r>
          </w:p>
        </w:tc>
        <w:tc>
          <w:tcPr>
            <w:tcW w:w="18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0"/>
        </w:trPr>
        <w:tc>
          <w:tcPr>
            <w:tcW w:w="32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r>
      <w:tr>
        <w:trPr>
          <w:trHeight w:val="223"/>
        </w:trPr>
        <w:tc>
          <w:tcPr>
            <w:tcW w:w="32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r>
      <w:tr>
        <w:trPr>
          <w:trHeight w:val="212"/>
        </w:trPr>
        <w:tc>
          <w:tcPr>
            <w:tcW w:w="3200" w:type="dxa"/>
            <w:vAlign w:val="bottom"/>
          </w:tcPr>
          <w:p>
            <w:pPr>
              <w:ind w:left="20"/>
              <w:spacing w:after="0"/>
              <w:rPr>
                <w:sz w:val="20"/>
                <w:szCs w:val="20"/>
                <w:color w:val="auto"/>
              </w:rPr>
            </w:pPr>
            <w:r>
              <w:rPr>
                <w:rFonts w:ascii="Arial" w:cs="Arial" w:eastAsia="Arial" w:hAnsi="Arial"/>
                <w:sz w:val="15"/>
                <w:szCs w:val="15"/>
                <w:b w:val="1"/>
                <w:bCs w:val="1"/>
                <w:color w:val="auto"/>
              </w:rPr>
              <w:t>Other Information</w:t>
            </w: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20"/>
        </w:trPr>
        <w:tc>
          <w:tcPr>
            <w:tcW w:w="3200" w:type="dxa"/>
            <w:vAlign w:val="bottom"/>
            <w:shd w:val="clear" w:color="auto" w:fill="CCEEFF"/>
          </w:tcPr>
          <w:p>
            <w:pPr>
              <w:ind w:left="120"/>
              <w:spacing w:after="0"/>
              <w:rPr>
                <w:sz w:val="20"/>
                <w:szCs w:val="20"/>
                <w:color w:val="auto"/>
              </w:rPr>
            </w:pPr>
            <w:r>
              <w:rPr>
                <w:rFonts w:ascii="Arial" w:cs="Arial" w:eastAsia="Arial" w:hAnsi="Arial"/>
                <w:sz w:val="15"/>
                <w:szCs w:val="15"/>
                <w:color w:val="auto"/>
              </w:rPr>
              <w:t>Number of sold rental homes</w:t>
            </w:r>
          </w:p>
        </w:tc>
        <w:tc>
          <w:tcPr>
            <w:tcW w:w="26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122</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332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(210)</w:t>
            </w: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(63.3)%</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rPr>
              <w:t>356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542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(186)</w:t>
            </w:r>
          </w:p>
        </w:tc>
        <w:tc>
          <w:tcPr>
            <w:tcW w:w="86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(34.3)%</w:t>
            </w:r>
          </w:p>
        </w:tc>
      </w:tr>
      <w:tr>
        <w:trPr>
          <w:trHeight w:val="212"/>
        </w:trPr>
        <w:tc>
          <w:tcPr>
            <w:tcW w:w="3200" w:type="dxa"/>
            <w:vAlign w:val="bottom"/>
          </w:tcPr>
          <w:p>
            <w:pPr>
              <w:ind w:left="120"/>
              <w:spacing w:after="0"/>
              <w:rPr>
                <w:sz w:val="20"/>
                <w:szCs w:val="20"/>
                <w:color w:val="auto"/>
              </w:rPr>
            </w:pPr>
            <w:r>
              <w:rPr>
                <w:rFonts w:ascii="Arial" w:cs="Arial" w:eastAsia="Arial" w:hAnsi="Arial"/>
                <w:sz w:val="15"/>
                <w:szCs w:val="15"/>
                <w:color w:val="auto"/>
              </w:rPr>
              <w:t>Number of occupied rentals, end of period</w:t>
            </w: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ind w:right="84"/>
              <w:spacing w:after="0"/>
              <w:rPr>
                <w:sz w:val="20"/>
                <w:szCs w:val="20"/>
                <w:color w:val="auto"/>
              </w:rPr>
            </w:pPr>
            <w:r>
              <w:rPr>
                <w:rFonts w:ascii="Arial" w:cs="Arial" w:eastAsia="Arial" w:hAnsi="Arial"/>
                <w:sz w:val="15"/>
                <w:szCs w:val="15"/>
                <w:color w:val="auto"/>
              </w:rPr>
              <w:t>11,785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ind w:right="64"/>
              <w:spacing w:after="0"/>
              <w:rPr>
                <w:sz w:val="20"/>
                <w:szCs w:val="20"/>
                <w:color w:val="auto"/>
              </w:rPr>
            </w:pPr>
            <w:r>
              <w:rPr>
                <w:rFonts w:ascii="Arial" w:cs="Arial" w:eastAsia="Arial" w:hAnsi="Arial"/>
                <w:sz w:val="15"/>
                <w:szCs w:val="15"/>
                <w:color w:val="auto"/>
              </w:rPr>
              <w:t>11,230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ind w:right="64"/>
              <w:spacing w:after="0"/>
              <w:rPr>
                <w:sz w:val="20"/>
                <w:szCs w:val="20"/>
                <w:color w:val="auto"/>
              </w:rPr>
            </w:pPr>
            <w:r>
              <w:rPr>
                <w:rFonts w:ascii="Arial" w:cs="Arial" w:eastAsia="Arial" w:hAnsi="Arial"/>
                <w:sz w:val="15"/>
                <w:szCs w:val="15"/>
                <w:color w:val="auto"/>
              </w:rPr>
              <w:t>555</w:t>
            </w:r>
          </w:p>
        </w:tc>
        <w:tc>
          <w:tcPr>
            <w:tcW w:w="680" w:type="dxa"/>
            <w:vAlign w:val="bottom"/>
            <w:gridSpan w:val="2"/>
          </w:tcPr>
          <w:p>
            <w:pPr>
              <w:jc w:val="right"/>
              <w:spacing w:after="0"/>
              <w:rPr>
                <w:sz w:val="20"/>
                <w:szCs w:val="20"/>
                <w:color w:val="auto"/>
              </w:rPr>
            </w:pPr>
            <w:r>
              <w:rPr>
                <w:rFonts w:ascii="Arial" w:cs="Arial" w:eastAsia="Arial" w:hAnsi="Arial"/>
                <w:sz w:val="15"/>
                <w:szCs w:val="15"/>
                <w:color w:val="auto"/>
              </w:rPr>
              <w:t>4.9</w:t>
            </w:r>
          </w:p>
        </w:tc>
        <w:tc>
          <w:tcPr>
            <w:tcW w:w="18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180"/>
        </w:trPr>
        <w:tc>
          <w:tcPr>
            <w:tcW w:w="3200" w:type="dxa"/>
            <w:vAlign w:val="bottom"/>
            <w:shd w:val="clear" w:color="auto" w:fill="CCEEFF"/>
          </w:tcPr>
          <w:p>
            <w:pPr>
              <w:ind w:left="120"/>
              <w:spacing w:after="0"/>
              <w:rPr>
                <w:sz w:val="20"/>
                <w:szCs w:val="20"/>
                <w:color w:val="auto"/>
              </w:rPr>
            </w:pPr>
            <w:r>
              <w:rPr>
                <w:rFonts w:ascii="Arial" w:cs="Arial" w:eastAsia="Arial" w:hAnsi="Arial"/>
                <w:sz w:val="15"/>
                <w:szCs w:val="15"/>
                <w:color w:val="auto"/>
              </w:rPr>
              <w:t>Investment in occupied rental homes, end of</w:t>
            </w:r>
          </w:p>
        </w:tc>
        <w:tc>
          <w:tcPr>
            <w:tcW w:w="2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r>
      <w:tr>
        <w:trPr>
          <w:trHeight w:val="202"/>
        </w:trPr>
        <w:tc>
          <w:tcPr>
            <w:tcW w:w="3200" w:type="dxa"/>
            <w:vAlign w:val="bottom"/>
            <w:shd w:val="clear" w:color="auto" w:fill="CCEEFF"/>
          </w:tcPr>
          <w:p>
            <w:pPr>
              <w:ind w:left="120"/>
              <w:spacing w:after="0"/>
              <w:rPr>
                <w:sz w:val="20"/>
                <w:szCs w:val="20"/>
                <w:color w:val="auto"/>
              </w:rPr>
            </w:pPr>
            <w:r>
              <w:rPr>
                <w:rFonts w:ascii="Arial" w:cs="Arial" w:eastAsia="Arial" w:hAnsi="Arial"/>
                <w:sz w:val="15"/>
                <w:szCs w:val="15"/>
                <w:color w:val="auto"/>
              </w:rPr>
              <w:t>period</w:t>
            </w:r>
          </w:p>
        </w:tc>
        <w:tc>
          <w:tcPr>
            <w:tcW w:w="2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w w:val="95"/>
              </w:rPr>
              <w:t>$</w:t>
            </w:r>
          </w:p>
        </w:tc>
        <w:tc>
          <w:tcPr>
            <w:tcW w:w="80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rPr>
              <w:t>621,327</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86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561,219</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60,108</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10.7</w:t>
            </w:r>
          </w:p>
        </w:tc>
        <w:tc>
          <w:tcPr>
            <w:tcW w:w="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r>
      <w:tr>
        <w:trPr>
          <w:trHeight w:val="176"/>
        </w:trPr>
        <w:tc>
          <w:tcPr>
            <w:tcW w:w="3200" w:type="dxa"/>
            <w:vAlign w:val="bottom"/>
          </w:tcPr>
          <w:p>
            <w:pPr>
              <w:ind w:left="120"/>
              <w:spacing w:after="0"/>
              <w:rPr>
                <w:sz w:val="20"/>
                <w:szCs w:val="20"/>
                <w:color w:val="auto"/>
              </w:rPr>
            </w:pPr>
            <w:r>
              <w:rPr>
                <w:rFonts w:ascii="Arial" w:cs="Arial" w:eastAsia="Arial" w:hAnsi="Arial"/>
                <w:sz w:val="15"/>
                <w:szCs w:val="15"/>
                <w:color w:val="auto"/>
              </w:rPr>
              <w:t>Weighted average monthly rental rate, end of</w:t>
            </w:r>
          </w:p>
        </w:tc>
        <w:tc>
          <w:tcPr>
            <w:tcW w:w="2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r>
      <w:tr>
        <w:trPr>
          <w:trHeight w:val="194"/>
        </w:trPr>
        <w:tc>
          <w:tcPr>
            <w:tcW w:w="3200" w:type="dxa"/>
            <w:vAlign w:val="bottom"/>
          </w:tcPr>
          <w:p>
            <w:pPr>
              <w:ind w:left="120"/>
              <w:spacing w:after="0"/>
              <w:rPr>
                <w:sz w:val="20"/>
                <w:szCs w:val="20"/>
                <w:color w:val="auto"/>
              </w:rPr>
            </w:pPr>
            <w:r>
              <w:rPr>
                <w:rFonts w:ascii="Arial" w:cs="Arial" w:eastAsia="Arial" w:hAnsi="Arial"/>
                <w:sz w:val="15"/>
                <w:szCs w:val="15"/>
                <w:color w:val="auto"/>
              </w:rPr>
              <w:t>period</w:t>
            </w:r>
          </w:p>
        </w:tc>
        <w:tc>
          <w:tcPr>
            <w:tcW w:w="2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jc w:val="right"/>
              <w:ind w:right="64"/>
              <w:spacing w:after="0"/>
              <w:rPr>
                <w:sz w:val="20"/>
                <w:szCs w:val="20"/>
                <w:color w:val="auto"/>
              </w:rPr>
            </w:pPr>
            <w:r>
              <w:rPr>
                <w:rFonts w:ascii="Arial" w:cs="Arial" w:eastAsia="Arial" w:hAnsi="Arial"/>
                <w:sz w:val="15"/>
                <w:szCs w:val="15"/>
                <w:color w:val="auto"/>
                <w:w w:val="95"/>
              </w:rPr>
              <w:t>$</w:t>
            </w:r>
          </w:p>
        </w:tc>
        <w:tc>
          <w:tcPr>
            <w:tcW w:w="800" w:type="dxa"/>
            <w:vAlign w:val="bottom"/>
          </w:tcPr>
          <w:p>
            <w:pPr>
              <w:jc w:val="right"/>
              <w:ind w:right="84"/>
              <w:spacing w:after="0"/>
              <w:rPr>
                <w:sz w:val="20"/>
                <w:szCs w:val="20"/>
                <w:color w:val="auto"/>
              </w:rPr>
            </w:pPr>
            <w:r>
              <w:rPr>
                <w:rFonts w:ascii="Arial" w:cs="Arial" w:eastAsia="Arial" w:hAnsi="Arial"/>
                <w:sz w:val="15"/>
                <w:szCs w:val="15"/>
                <w:color w:val="auto"/>
              </w:rPr>
              <w:t>1,018</w:t>
            </w:r>
          </w:p>
        </w:tc>
        <w:tc>
          <w:tcPr>
            <w:tcW w:w="10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860" w:type="dxa"/>
            <w:vAlign w:val="bottom"/>
          </w:tcPr>
          <w:p>
            <w:pPr>
              <w:jc w:val="right"/>
              <w:ind w:right="64"/>
              <w:spacing w:after="0"/>
              <w:rPr>
                <w:sz w:val="20"/>
                <w:szCs w:val="20"/>
                <w:color w:val="auto"/>
              </w:rPr>
            </w:pPr>
            <w:r>
              <w:rPr>
                <w:rFonts w:ascii="Arial" w:cs="Arial" w:eastAsia="Arial" w:hAnsi="Arial"/>
                <w:sz w:val="15"/>
                <w:szCs w:val="15"/>
                <w:color w:val="auto"/>
              </w:rPr>
              <w:t>975</w:t>
            </w:r>
          </w:p>
        </w:tc>
        <w:tc>
          <w:tcPr>
            <w:tcW w:w="12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ind w:right="64"/>
              <w:spacing w:after="0"/>
              <w:rPr>
                <w:sz w:val="20"/>
                <w:szCs w:val="20"/>
                <w:color w:val="auto"/>
              </w:rPr>
            </w:pPr>
            <w:r>
              <w:rPr>
                <w:rFonts w:ascii="Arial" w:cs="Arial" w:eastAsia="Arial" w:hAnsi="Arial"/>
                <w:sz w:val="15"/>
                <w:szCs w:val="15"/>
                <w:color w:val="auto"/>
              </w:rPr>
              <w:t>43</w:t>
            </w:r>
          </w:p>
        </w:tc>
        <w:tc>
          <w:tcPr>
            <w:tcW w:w="680" w:type="dxa"/>
            <w:vAlign w:val="bottom"/>
            <w:gridSpan w:val="2"/>
          </w:tcPr>
          <w:p>
            <w:pPr>
              <w:jc w:val="right"/>
              <w:spacing w:after="0"/>
              <w:rPr>
                <w:sz w:val="20"/>
                <w:szCs w:val="20"/>
                <w:color w:val="auto"/>
              </w:rPr>
            </w:pPr>
            <w:r>
              <w:rPr>
                <w:rFonts w:ascii="Arial" w:cs="Arial" w:eastAsia="Arial" w:hAnsi="Arial"/>
                <w:sz w:val="15"/>
                <w:szCs w:val="15"/>
                <w:color w:val="auto"/>
              </w:rPr>
              <w:t>4.4</w:t>
            </w:r>
          </w:p>
        </w:tc>
        <w:tc>
          <w:tcPr>
            <w:tcW w:w="180" w:type="dxa"/>
            <w:vAlign w:val="bottom"/>
          </w:tcPr>
          <w:p>
            <w:pPr>
              <w:jc w:val="right"/>
              <w:spacing w:after="0"/>
              <w:rPr>
                <w:sz w:val="20"/>
                <w:szCs w:val="20"/>
                <w:color w:val="auto"/>
              </w:rPr>
            </w:pPr>
            <w:r>
              <w:rPr>
                <w:rFonts w:ascii="Arial" w:cs="Arial" w:eastAsia="Arial" w:hAnsi="Arial"/>
                <w:sz w:val="15"/>
                <w:szCs w:val="15"/>
                <w:color w:val="auto"/>
              </w:rPr>
              <w:t>%</w:t>
            </w:r>
          </w:p>
        </w:tc>
      </w:tr>
    </w:tbl>
    <w:p>
      <w:pPr>
        <w:spacing w:after="0" w:line="103" w:lineRule="exact"/>
        <w:rPr>
          <w:sz w:val="20"/>
          <w:szCs w:val="20"/>
          <w:color w:val="auto"/>
        </w:rPr>
      </w:pPr>
    </w:p>
    <w:p>
      <w:pPr>
        <w:jc w:val="both"/>
        <w:ind w:firstLine="8"/>
        <w:spacing w:after="0" w:line="284" w:lineRule="auto"/>
        <w:tabs>
          <w:tab w:leader="none" w:pos="154" w:val="left"/>
        </w:tabs>
        <w:numPr>
          <w:ilvl w:val="0"/>
          <w:numId w:val="28"/>
        </w:numPr>
        <w:rPr>
          <w:rFonts w:ascii="Arial" w:cs="Arial" w:eastAsia="Arial" w:hAnsi="Arial"/>
          <w:sz w:val="16"/>
          <w:szCs w:val="16"/>
          <w:color w:val="auto"/>
          <w:vertAlign w:val="superscript"/>
        </w:rPr>
      </w:pPr>
      <w:r>
        <w:rPr>
          <w:rFonts w:ascii="Arial" w:cs="Arial" w:eastAsia="Arial" w:hAnsi="Arial"/>
          <w:sz w:val="13"/>
          <w:szCs w:val="13"/>
          <w:color w:val="auto"/>
        </w:rPr>
        <w:t>The renter’s monthly payment includes the site rent and an amount attributable to the home lease. The site rent is reflected in Real Property Operations’ segment revenue. For purposes of management analysis, site rent is included in Rental Program revenue to evaluate the incremental revenue gains associated with the implementation of the Rental Program, and to assess the overall growth and performance of the Rental Program and financial impact on our operations.</w:t>
      </w:r>
    </w:p>
    <w:p>
      <w:pPr>
        <w:spacing w:after="0" w:line="197"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Rental Program NOI increased $2.5 million, or 9.3 percent for the three months ended June 30, 2020 as compared to the same period in 2019. The increase is primarily due to an increase in Rental Program revenue of 6.2 percent, or $2.0 million, in addition to a $0.5 million decrease in expenses.</w:t>
      </w:r>
    </w:p>
    <w:p>
      <w:pPr>
        <w:spacing w:after="0" w:line="17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Rental Program NOI increased $4.4 million, or 8.4 percent for the six months ended June 30, 2020 as compared to the same period in 2019. The increase is primarily due to an increase in Rental Program revenue of 7.4 percent, or $5.0 million. The increase in revenue is partially attributable to a 4.4 percent increase in the weighted average monthly rental rate and a 4.9 percent increase in the number of occupied rentals in the six months ended June 30, 2020 as compared to the same period in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42" w:name="page43"/>
    <w:bookmarkEnd w:id="42"/>
    <w:p>
      <w:pPr>
        <w:jc w:val="center"/>
        <w:spacing w:after="0"/>
        <w:rPr>
          <w:sz w:val="20"/>
          <w:szCs w:val="20"/>
          <w:color w:val="auto"/>
        </w:rPr>
      </w:pPr>
      <w:r>
        <w:rPr>
          <w:rFonts w:ascii="Arial" w:cs="Arial" w:eastAsia="Arial" w:hAnsi="Arial"/>
          <w:sz w:val="18"/>
          <w:szCs w:val="18"/>
          <w:b w:val="1"/>
          <w:bCs w:val="1"/>
          <w:color w:val="auto"/>
        </w:rPr>
        <w:t>SUN COMMUNITIES, INC.</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Other Items - Statements of Operations </w:t>
      </w:r>
      <w:r>
        <w:rPr>
          <w:rFonts w:ascii="Arial" w:cs="Arial" w:eastAsia="Arial" w:hAnsi="Arial"/>
          <w:sz w:val="18"/>
          <w:szCs w:val="18"/>
          <w:color w:val="auto"/>
          <w:vertAlign w:val="superscript"/>
        </w:rPr>
        <w:t>(1)</w:t>
      </w:r>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other income and expenses for the three and six months ended June 30, 2020 and 2019 (amounts in thousands):</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40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gridSpan w:val="6"/>
          </w:tcPr>
          <w:p>
            <w:pPr>
              <w:ind w:left="80"/>
              <w:spacing w:after="0"/>
              <w:rPr>
                <w:sz w:val="20"/>
                <w:szCs w:val="20"/>
                <w:color w:val="auto"/>
              </w:rPr>
            </w:pPr>
            <w:r>
              <w:rPr>
                <w:rFonts w:ascii="Arial" w:cs="Arial" w:eastAsia="Arial" w:hAnsi="Arial"/>
                <w:sz w:val="15"/>
                <w:szCs w:val="15"/>
                <w:b w:val="1"/>
                <w:bCs w:val="1"/>
                <w:color w:val="auto"/>
              </w:rPr>
              <w:t>Three Months Ended</w:t>
            </w:r>
          </w:p>
        </w:tc>
        <w:tc>
          <w:tcPr>
            <w:tcW w:w="760" w:type="dxa"/>
            <w:vAlign w:val="bottom"/>
            <w:tcBorders>
              <w:bottom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gridSpan w:val="5"/>
          </w:tcPr>
          <w:p>
            <w:pPr>
              <w:ind w:left="100"/>
              <w:spacing w:after="0"/>
              <w:rPr>
                <w:sz w:val="20"/>
                <w:szCs w:val="20"/>
                <w:color w:val="auto"/>
              </w:rPr>
            </w:pPr>
            <w:r>
              <w:rPr>
                <w:rFonts w:ascii="Arial" w:cs="Arial" w:eastAsia="Arial" w:hAnsi="Arial"/>
                <w:sz w:val="15"/>
                <w:szCs w:val="15"/>
                <w:b w:val="1"/>
                <w:bCs w:val="1"/>
                <w:color w:val="auto"/>
              </w:rPr>
              <w:t>Six Months Ended</w:t>
            </w:r>
          </w:p>
        </w:tc>
        <w:tc>
          <w:tcPr>
            <w:tcW w:w="740" w:type="dxa"/>
            <w:vAlign w:val="bottom"/>
            <w:tcBorders>
              <w:bottom w:val="single" w:sz="8" w:color="auto"/>
            </w:tcBorders>
          </w:tcPr>
          <w:p>
            <w:pPr>
              <w:spacing w:after="0"/>
              <w:rPr>
                <w:sz w:val="17"/>
                <w:szCs w:val="17"/>
                <w:color w:val="auto"/>
              </w:rPr>
            </w:pPr>
          </w:p>
        </w:tc>
      </w:tr>
      <w:tr>
        <w:trPr>
          <w:trHeight w:val="169"/>
        </w:trPr>
        <w:tc>
          <w:tcPr>
            <w:tcW w:w="4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tcPr>
          <w:p>
            <w:pPr>
              <w:ind w:left="20"/>
              <w:spacing w:after="0" w:line="169" w:lineRule="exact"/>
              <w:rPr>
                <w:sz w:val="20"/>
                <w:szCs w:val="20"/>
                <w:color w:val="auto"/>
              </w:rPr>
            </w:pPr>
            <w:r>
              <w:rPr>
                <w:rFonts w:ascii="Arial" w:cs="Arial" w:eastAsia="Arial" w:hAnsi="Arial"/>
                <w:sz w:val="15"/>
                <w:szCs w:val="15"/>
                <w:b w:val="1"/>
                <w:bCs w:val="1"/>
                <w:color w:val="auto"/>
              </w:rPr>
              <w:t>June 30,</w:t>
            </w:r>
          </w:p>
        </w:tc>
        <w:tc>
          <w:tcPr>
            <w:tcW w:w="120" w:type="dxa"/>
            <w:vAlign w:val="bottom"/>
          </w:tcPr>
          <w:p>
            <w:pPr>
              <w:spacing w:after="0"/>
              <w:rPr>
                <w:sz w:val="14"/>
                <w:szCs w:val="14"/>
                <w:color w:val="auto"/>
              </w:rPr>
            </w:pPr>
          </w:p>
        </w:tc>
        <w:tc>
          <w:tcPr>
            <w:tcW w:w="820" w:type="dxa"/>
            <w:vAlign w:val="bottom"/>
            <w:gridSpan w:val="2"/>
          </w:tcPr>
          <w:p>
            <w:pPr>
              <w:ind w:left="20"/>
              <w:spacing w:after="0" w:line="169" w:lineRule="exact"/>
              <w:rPr>
                <w:sz w:val="20"/>
                <w:szCs w:val="20"/>
                <w:color w:val="auto"/>
              </w:rPr>
            </w:pPr>
            <w:r>
              <w:rPr>
                <w:rFonts w:ascii="Arial" w:cs="Arial" w:eastAsia="Arial" w:hAnsi="Arial"/>
                <w:sz w:val="15"/>
                <w:szCs w:val="15"/>
                <w:b w:val="1"/>
                <w:bCs w:val="1"/>
                <w:color w:val="auto"/>
              </w:rPr>
              <w:t>June 30,</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tcPr>
          <w:p>
            <w:pPr>
              <w:ind w:left="20"/>
              <w:spacing w:after="0" w:line="169" w:lineRule="exact"/>
              <w:rPr>
                <w:sz w:val="20"/>
                <w:szCs w:val="20"/>
                <w:color w:val="auto"/>
              </w:rPr>
            </w:pPr>
            <w:r>
              <w:rPr>
                <w:rFonts w:ascii="Arial" w:cs="Arial" w:eastAsia="Arial" w:hAnsi="Arial"/>
                <w:sz w:val="15"/>
                <w:szCs w:val="15"/>
                <w:b w:val="1"/>
                <w:bCs w:val="1"/>
                <w:color w:val="auto"/>
              </w:rPr>
              <w:t>June 30,</w:t>
            </w:r>
          </w:p>
        </w:tc>
        <w:tc>
          <w:tcPr>
            <w:tcW w:w="120" w:type="dxa"/>
            <w:vAlign w:val="bottom"/>
          </w:tcPr>
          <w:p>
            <w:pPr>
              <w:spacing w:after="0"/>
              <w:rPr>
                <w:sz w:val="14"/>
                <w:szCs w:val="14"/>
                <w:color w:val="auto"/>
              </w:rPr>
            </w:pPr>
          </w:p>
        </w:tc>
        <w:tc>
          <w:tcPr>
            <w:tcW w:w="840" w:type="dxa"/>
            <w:vAlign w:val="bottom"/>
            <w:gridSpan w:val="2"/>
          </w:tcPr>
          <w:p>
            <w:pPr>
              <w:ind w:left="40"/>
              <w:spacing w:after="0" w:line="169" w:lineRule="exact"/>
              <w:rPr>
                <w:sz w:val="20"/>
                <w:szCs w:val="20"/>
                <w:color w:val="auto"/>
              </w:rPr>
            </w:pPr>
            <w:r>
              <w:rPr>
                <w:rFonts w:ascii="Arial" w:cs="Arial" w:eastAsia="Arial" w:hAnsi="Arial"/>
                <w:sz w:val="15"/>
                <w:szCs w:val="15"/>
                <w:b w:val="1"/>
                <w:bCs w:val="1"/>
                <w:color w:val="auto"/>
              </w:rPr>
              <w:t>June 30,</w:t>
            </w: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202"/>
        </w:trPr>
        <w:tc>
          <w:tcPr>
            <w:tcW w:w="4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jc w:val="right"/>
              <w:ind w:right="184"/>
              <w:spacing w:after="0"/>
              <w:rPr>
                <w:sz w:val="20"/>
                <w:szCs w:val="20"/>
                <w:color w:val="auto"/>
              </w:rPr>
            </w:pPr>
            <w:r>
              <w:rPr>
                <w:rFonts w:ascii="Arial" w:cs="Arial" w:eastAsia="Arial" w:hAnsi="Arial"/>
                <w:sz w:val="15"/>
                <w:szCs w:val="15"/>
                <w:b w:val="1"/>
                <w:bCs w:val="1"/>
                <w:color w:val="auto"/>
              </w:rPr>
              <w:t>2020</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jc w:val="right"/>
              <w:ind w:right="204"/>
              <w:spacing w:after="0"/>
              <w:rPr>
                <w:sz w:val="20"/>
                <w:szCs w:val="20"/>
                <w:color w:val="auto"/>
              </w:rPr>
            </w:pPr>
            <w:r>
              <w:rPr>
                <w:rFonts w:ascii="Arial" w:cs="Arial" w:eastAsia="Arial" w:hAnsi="Arial"/>
                <w:sz w:val="15"/>
                <w:szCs w:val="15"/>
                <w:b w:val="1"/>
                <w:bCs w:val="1"/>
                <w:color w:val="auto"/>
              </w:rPr>
              <w:t>2019</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2"/>
          </w:tcPr>
          <w:p>
            <w:pPr>
              <w:spacing w:after="0"/>
              <w:rPr>
                <w:sz w:val="20"/>
                <w:szCs w:val="20"/>
                <w:color w:val="auto"/>
              </w:rPr>
            </w:pPr>
            <w:r>
              <w:rPr>
                <w:rFonts w:ascii="Arial" w:cs="Arial" w:eastAsia="Arial" w:hAnsi="Arial"/>
                <w:sz w:val="15"/>
                <w:szCs w:val="15"/>
                <w:b w:val="1"/>
                <w:bCs w:val="1"/>
                <w:color w:val="auto"/>
              </w:rPr>
              <w:t>Change</w:t>
            </w:r>
          </w:p>
        </w:tc>
        <w:tc>
          <w:tcPr>
            <w:tcW w:w="1020" w:type="dxa"/>
            <w:vAlign w:val="bottom"/>
            <w:gridSpan w:val="2"/>
          </w:tcPr>
          <w:p>
            <w:pPr>
              <w:ind w:left="40"/>
              <w:spacing w:after="0"/>
              <w:rPr>
                <w:sz w:val="20"/>
                <w:szCs w:val="20"/>
                <w:color w:val="auto"/>
              </w:rPr>
            </w:pPr>
            <w:r>
              <w:rPr>
                <w:rFonts w:ascii="Arial" w:cs="Arial" w:eastAsia="Arial" w:hAnsi="Arial"/>
                <w:sz w:val="15"/>
                <w:szCs w:val="15"/>
                <w:b w:val="1"/>
                <w:bCs w:val="1"/>
                <w:color w:val="auto"/>
              </w:rPr>
              <w:t>% Change</w:t>
            </w:r>
          </w:p>
        </w:tc>
        <w:tc>
          <w:tcPr>
            <w:tcW w:w="120" w:type="dxa"/>
            <w:vAlign w:val="bottom"/>
          </w:tcPr>
          <w:p>
            <w:pPr>
              <w:spacing w:after="0"/>
              <w:rPr>
                <w:sz w:val="17"/>
                <w:szCs w:val="17"/>
                <w:color w:val="auto"/>
              </w:rPr>
            </w:pPr>
          </w:p>
        </w:tc>
        <w:tc>
          <w:tcPr>
            <w:tcW w:w="700" w:type="dxa"/>
            <w:vAlign w:val="bottom"/>
          </w:tcPr>
          <w:p>
            <w:pPr>
              <w:jc w:val="right"/>
              <w:ind w:right="184"/>
              <w:spacing w:after="0"/>
              <w:rPr>
                <w:sz w:val="20"/>
                <w:szCs w:val="20"/>
                <w:color w:val="auto"/>
              </w:rPr>
            </w:pPr>
            <w:r>
              <w:rPr>
                <w:rFonts w:ascii="Arial" w:cs="Arial" w:eastAsia="Arial" w:hAnsi="Arial"/>
                <w:sz w:val="15"/>
                <w:szCs w:val="15"/>
                <w:b w:val="1"/>
                <w:bCs w:val="1"/>
                <w:color w:val="auto"/>
              </w:rPr>
              <w:t>2020</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jc w:val="right"/>
              <w:ind w:right="184"/>
              <w:spacing w:after="0"/>
              <w:rPr>
                <w:sz w:val="20"/>
                <w:szCs w:val="20"/>
                <w:color w:val="auto"/>
              </w:rPr>
            </w:pPr>
            <w:r>
              <w:rPr>
                <w:rFonts w:ascii="Arial" w:cs="Arial" w:eastAsia="Arial" w:hAnsi="Arial"/>
                <w:sz w:val="15"/>
                <w:szCs w:val="15"/>
                <w:b w:val="1"/>
                <w:bCs w:val="1"/>
                <w:color w:val="auto"/>
              </w:rPr>
              <w:t>2019</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gridSpan w:val="2"/>
          </w:tcPr>
          <w:p>
            <w:pPr>
              <w:ind w:left="20"/>
              <w:spacing w:after="0"/>
              <w:rPr>
                <w:sz w:val="20"/>
                <w:szCs w:val="20"/>
                <w:color w:val="auto"/>
              </w:rPr>
            </w:pPr>
            <w:r>
              <w:rPr>
                <w:rFonts w:ascii="Arial" w:cs="Arial" w:eastAsia="Arial" w:hAnsi="Arial"/>
                <w:sz w:val="15"/>
                <w:szCs w:val="15"/>
                <w:b w:val="1"/>
                <w:bCs w:val="1"/>
                <w:color w:val="auto"/>
              </w:rPr>
              <w:t>Change</w:t>
            </w:r>
          </w:p>
        </w:tc>
        <w:tc>
          <w:tcPr>
            <w:tcW w:w="740" w:type="dxa"/>
            <w:vAlign w:val="bottom"/>
          </w:tcPr>
          <w:p>
            <w:pPr>
              <w:jc w:val="right"/>
              <w:spacing w:after="0"/>
              <w:rPr>
                <w:sz w:val="20"/>
                <w:szCs w:val="20"/>
                <w:color w:val="auto"/>
              </w:rPr>
            </w:pPr>
            <w:r>
              <w:rPr>
                <w:rFonts w:ascii="Arial" w:cs="Arial" w:eastAsia="Arial" w:hAnsi="Arial"/>
                <w:sz w:val="15"/>
                <w:szCs w:val="15"/>
                <w:b w:val="1"/>
                <w:bCs w:val="1"/>
                <w:color w:val="auto"/>
                <w:w w:val="96"/>
              </w:rPr>
              <w:t>% Change</w:t>
            </w:r>
          </w:p>
        </w:tc>
      </w:tr>
      <w:tr>
        <w:trPr>
          <w:trHeight w:val="214"/>
        </w:trPr>
        <w:tc>
          <w:tcPr>
            <w:tcW w:w="40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Ancillary revenues, net</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EFF"/>
          </w:tcPr>
          <w:p>
            <w:pPr>
              <w:jc w:val="right"/>
              <w:ind w:right="64"/>
              <w:spacing w:after="0"/>
              <w:rPr>
                <w:sz w:val="20"/>
                <w:szCs w:val="20"/>
                <w:color w:val="auto"/>
              </w:rPr>
            </w:pPr>
            <w:r>
              <w:rPr>
                <w:rFonts w:ascii="Arial" w:cs="Arial" w:eastAsia="Arial" w:hAnsi="Arial"/>
                <w:sz w:val="15"/>
                <w:szCs w:val="15"/>
                <w:color w:val="auto"/>
              </w:rPr>
              <w:t>4,149</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720" w:type="dxa"/>
            <w:vAlign w:val="bottom"/>
            <w:tcBorders>
              <w:top w:val="single" w:sz="8" w:color="auto"/>
            </w:tcBorders>
            <w:shd w:val="clear" w:color="auto" w:fill="CCEEFF"/>
          </w:tcPr>
          <w:p>
            <w:pPr>
              <w:jc w:val="right"/>
              <w:ind w:right="84"/>
              <w:spacing w:after="0"/>
              <w:rPr>
                <w:sz w:val="20"/>
                <w:szCs w:val="20"/>
                <w:color w:val="auto"/>
              </w:rPr>
            </w:pPr>
            <w:r>
              <w:rPr>
                <w:rFonts w:ascii="Arial" w:cs="Arial" w:eastAsia="Arial" w:hAnsi="Arial"/>
                <w:sz w:val="15"/>
                <w:szCs w:val="15"/>
                <w:color w:val="auto"/>
              </w:rPr>
              <w:t>7,240</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580" w:type="dxa"/>
            <w:vAlign w:val="bottom"/>
            <w:tcBorders>
              <w:top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w w:val="96"/>
              </w:rPr>
              <w:t>(3,091)</w:t>
            </w:r>
          </w:p>
        </w:tc>
        <w:tc>
          <w:tcPr>
            <w:tcW w:w="12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(42.7)%</w:t>
            </w:r>
          </w:p>
        </w:tc>
        <w:tc>
          <w:tcPr>
            <w:tcW w:w="2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EFF"/>
          </w:tcPr>
          <w:p>
            <w:pPr>
              <w:jc w:val="right"/>
              <w:ind w:right="64"/>
              <w:spacing w:after="0"/>
              <w:rPr>
                <w:sz w:val="20"/>
                <w:szCs w:val="20"/>
                <w:color w:val="auto"/>
              </w:rPr>
            </w:pPr>
            <w:r>
              <w:rPr>
                <w:rFonts w:ascii="Arial" w:cs="Arial" w:eastAsia="Arial" w:hAnsi="Arial"/>
                <w:sz w:val="15"/>
                <w:szCs w:val="15"/>
                <w:color w:val="auto"/>
              </w:rPr>
              <w:t>6,862</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720" w:type="dxa"/>
            <w:vAlign w:val="bottom"/>
            <w:tcBorders>
              <w:top w:val="single" w:sz="8" w:color="auto"/>
            </w:tcBorders>
            <w:shd w:val="clear" w:color="auto" w:fill="CCEEFF"/>
          </w:tcPr>
          <w:p>
            <w:pPr>
              <w:jc w:val="right"/>
              <w:ind w:right="64"/>
              <w:spacing w:after="0"/>
              <w:rPr>
                <w:sz w:val="20"/>
                <w:szCs w:val="20"/>
                <w:color w:val="auto"/>
              </w:rPr>
            </w:pPr>
            <w:r>
              <w:rPr>
                <w:rFonts w:ascii="Arial" w:cs="Arial" w:eastAsia="Arial" w:hAnsi="Arial"/>
                <w:sz w:val="15"/>
                <w:szCs w:val="15"/>
                <w:color w:val="auto"/>
              </w:rPr>
              <w:t>10,317</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rPr>
              <w:t>(3,455)</w:t>
            </w:r>
          </w:p>
        </w:tc>
        <w:tc>
          <w:tcPr>
            <w:tcW w:w="12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(33.5)%</w:t>
            </w:r>
          </w:p>
        </w:tc>
      </w:tr>
      <w:tr>
        <w:trPr>
          <w:trHeight w:val="212"/>
        </w:trPr>
        <w:tc>
          <w:tcPr>
            <w:tcW w:w="4080" w:type="dxa"/>
            <w:vAlign w:val="bottom"/>
          </w:tcPr>
          <w:p>
            <w:pPr>
              <w:ind w:left="20"/>
              <w:spacing w:after="0"/>
              <w:rPr>
                <w:sz w:val="20"/>
                <w:szCs w:val="20"/>
                <w:color w:val="auto"/>
              </w:rPr>
            </w:pPr>
            <w:r>
              <w:rPr>
                <w:rFonts w:ascii="Arial" w:cs="Arial" w:eastAsia="Arial" w:hAnsi="Arial"/>
                <w:sz w:val="15"/>
                <w:szCs w:val="15"/>
                <w:color w:val="auto"/>
              </w:rPr>
              <w:t>Interest income</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ind w:right="64"/>
              <w:spacing w:after="0"/>
              <w:rPr>
                <w:sz w:val="20"/>
                <w:szCs w:val="20"/>
                <w:color w:val="auto"/>
              </w:rPr>
            </w:pPr>
            <w:r>
              <w:rPr>
                <w:rFonts w:ascii="Arial" w:cs="Arial" w:eastAsia="Arial" w:hAnsi="Arial"/>
                <w:sz w:val="15"/>
                <w:szCs w:val="15"/>
                <w:color w:val="auto"/>
              </w:rPr>
              <w:t>2,635</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720" w:type="dxa"/>
            <w:vAlign w:val="bottom"/>
          </w:tcPr>
          <w:p>
            <w:pPr>
              <w:jc w:val="right"/>
              <w:ind w:right="84"/>
              <w:spacing w:after="0"/>
              <w:rPr>
                <w:sz w:val="20"/>
                <w:szCs w:val="20"/>
                <w:color w:val="auto"/>
              </w:rPr>
            </w:pPr>
            <w:r>
              <w:rPr>
                <w:rFonts w:ascii="Arial" w:cs="Arial" w:eastAsia="Arial" w:hAnsi="Arial"/>
                <w:sz w:val="15"/>
                <w:szCs w:val="15"/>
                <w:color w:val="auto"/>
              </w:rPr>
              <w:t>4,919</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580" w:type="dxa"/>
            <w:vAlign w:val="bottom"/>
          </w:tcPr>
          <w:p>
            <w:pPr>
              <w:jc w:val="right"/>
              <w:ind w:right="24"/>
              <w:spacing w:after="0"/>
              <w:rPr>
                <w:sz w:val="20"/>
                <w:szCs w:val="20"/>
                <w:color w:val="auto"/>
              </w:rPr>
            </w:pPr>
            <w:r>
              <w:rPr>
                <w:rFonts w:ascii="Arial" w:cs="Arial" w:eastAsia="Arial" w:hAnsi="Arial"/>
                <w:sz w:val="15"/>
                <w:szCs w:val="15"/>
                <w:color w:val="auto"/>
                <w:w w:val="96"/>
              </w:rPr>
              <w:t>(2,284)</w:t>
            </w: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(46.4)%</w:t>
            </w:r>
          </w:p>
        </w:tc>
        <w:tc>
          <w:tcPr>
            <w:tcW w:w="2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ind w:right="64"/>
              <w:spacing w:after="0"/>
              <w:rPr>
                <w:sz w:val="20"/>
                <w:szCs w:val="20"/>
                <w:color w:val="auto"/>
              </w:rPr>
            </w:pPr>
            <w:r>
              <w:rPr>
                <w:rFonts w:ascii="Arial" w:cs="Arial" w:eastAsia="Arial" w:hAnsi="Arial"/>
                <w:sz w:val="15"/>
                <w:szCs w:val="15"/>
                <w:color w:val="auto"/>
              </w:rPr>
              <w:t>4,985</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720" w:type="dxa"/>
            <w:vAlign w:val="bottom"/>
          </w:tcPr>
          <w:p>
            <w:pPr>
              <w:jc w:val="right"/>
              <w:ind w:right="64"/>
              <w:spacing w:after="0"/>
              <w:rPr>
                <w:sz w:val="20"/>
                <w:szCs w:val="20"/>
                <w:color w:val="auto"/>
              </w:rPr>
            </w:pPr>
            <w:r>
              <w:rPr>
                <w:rFonts w:ascii="Arial" w:cs="Arial" w:eastAsia="Arial" w:hAnsi="Arial"/>
                <w:sz w:val="15"/>
                <w:szCs w:val="15"/>
                <w:color w:val="auto"/>
              </w:rPr>
              <w:t>9,719</w:t>
            </w: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ind w:right="24"/>
              <w:spacing w:after="0"/>
              <w:rPr>
                <w:sz w:val="20"/>
                <w:szCs w:val="20"/>
                <w:color w:val="auto"/>
              </w:rPr>
            </w:pPr>
            <w:r>
              <w:rPr>
                <w:rFonts w:ascii="Arial" w:cs="Arial" w:eastAsia="Arial" w:hAnsi="Arial"/>
                <w:sz w:val="15"/>
                <w:szCs w:val="15"/>
                <w:color w:val="auto"/>
              </w:rPr>
              <w:t>(4,734)</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(48.7)%</w:t>
            </w:r>
          </w:p>
        </w:tc>
      </w:tr>
      <w:tr>
        <w:trPr>
          <w:trHeight w:val="220"/>
        </w:trPr>
        <w:tc>
          <w:tcPr>
            <w:tcW w:w="4080" w:type="dxa"/>
            <w:vAlign w:val="bottom"/>
            <w:shd w:val="clear" w:color="auto" w:fill="CCEEFF"/>
          </w:tcPr>
          <w:p>
            <w:pPr>
              <w:ind w:left="20"/>
              <w:spacing w:after="0"/>
              <w:rPr>
                <w:sz w:val="20"/>
                <w:szCs w:val="20"/>
                <w:color w:val="auto"/>
              </w:rPr>
            </w:pPr>
            <w:r>
              <w:rPr>
                <w:rFonts w:ascii="Arial" w:cs="Arial" w:eastAsia="Arial" w:hAnsi="Arial"/>
                <w:sz w:val="15"/>
                <w:szCs w:val="15"/>
                <w:color w:val="auto"/>
              </w:rPr>
              <w:t>Brokerage commissions and other revenues, net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3,274</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72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rPr>
              <w:t>2,508</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58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766</w:t>
            </w: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30.5 %</w:t>
            </w:r>
          </w:p>
        </w:tc>
        <w:tc>
          <w:tcPr>
            <w:tcW w:w="26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7,187</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72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6,188</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999</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16.1 %</w:t>
            </w:r>
          </w:p>
        </w:tc>
      </w:tr>
      <w:tr>
        <w:trPr>
          <w:trHeight w:val="212"/>
        </w:trPr>
        <w:tc>
          <w:tcPr>
            <w:tcW w:w="4080" w:type="dxa"/>
            <w:vAlign w:val="bottom"/>
          </w:tcPr>
          <w:p>
            <w:pPr>
              <w:ind w:left="20"/>
              <w:spacing w:after="0"/>
              <w:rPr>
                <w:sz w:val="20"/>
                <w:szCs w:val="20"/>
                <w:color w:val="auto"/>
              </w:rPr>
            </w:pPr>
            <w:r>
              <w:rPr>
                <w:rFonts w:ascii="Arial" w:cs="Arial" w:eastAsia="Arial" w:hAnsi="Arial"/>
                <w:sz w:val="15"/>
                <w:szCs w:val="15"/>
                <w:color w:val="auto"/>
              </w:rPr>
              <w:t>Home selling expenses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ind w:right="64"/>
              <w:spacing w:after="0"/>
              <w:rPr>
                <w:sz w:val="20"/>
                <w:szCs w:val="20"/>
                <w:color w:val="auto"/>
              </w:rPr>
            </w:pPr>
            <w:r>
              <w:rPr>
                <w:rFonts w:ascii="Arial" w:cs="Arial" w:eastAsia="Arial" w:hAnsi="Arial"/>
                <w:sz w:val="15"/>
                <w:szCs w:val="15"/>
                <w:color w:val="auto"/>
              </w:rPr>
              <w:t>2,864</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720" w:type="dxa"/>
            <w:vAlign w:val="bottom"/>
          </w:tcPr>
          <w:p>
            <w:pPr>
              <w:jc w:val="right"/>
              <w:ind w:right="84"/>
              <w:spacing w:after="0"/>
              <w:rPr>
                <w:sz w:val="20"/>
                <w:szCs w:val="20"/>
                <w:color w:val="auto"/>
              </w:rPr>
            </w:pPr>
            <w:r>
              <w:rPr>
                <w:rFonts w:ascii="Arial" w:cs="Arial" w:eastAsia="Arial" w:hAnsi="Arial"/>
                <w:sz w:val="15"/>
                <w:szCs w:val="15"/>
                <w:color w:val="auto"/>
              </w:rPr>
              <w:t>3,626</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580" w:type="dxa"/>
            <w:vAlign w:val="bottom"/>
          </w:tcPr>
          <w:p>
            <w:pPr>
              <w:jc w:val="right"/>
              <w:ind w:right="24"/>
              <w:spacing w:after="0"/>
              <w:rPr>
                <w:sz w:val="20"/>
                <w:szCs w:val="20"/>
                <w:color w:val="auto"/>
              </w:rPr>
            </w:pPr>
            <w:r>
              <w:rPr>
                <w:rFonts w:ascii="Arial" w:cs="Arial" w:eastAsia="Arial" w:hAnsi="Arial"/>
                <w:sz w:val="15"/>
                <w:szCs w:val="15"/>
                <w:color w:val="auto"/>
              </w:rPr>
              <w:t>(762)</w:t>
            </w: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(21.0)%</w:t>
            </w:r>
          </w:p>
        </w:tc>
        <w:tc>
          <w:tcPr>
            <w:tcW w:w="2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ind w:right="64"/>
              <w:spacing w:after="0"/>
              <w:rPr>
                <w:sz w:val="20"/>
                <w:szCs w:val="20"/>
                <w:color w:val="auto"/>
              </w:rPr>
            </w:pPr>
            <w:r>
              <w:rPr>
                <w:rFonts w:ascii="Arial" w:cs="Arial" w:eastAsia="Arial" w:hAnsi="Arial"/>
                <w:sz w:val="15"/>
                <w:szCs w:val="15"/>
                <w:color w:val="auto"/>
              </w:rPr>
              <w:t>6,856</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720" w:type="dxa"/>
            <w:vAlign w:val="bottom"/>
          </w:tcPr>
          <w:p>
            <w:pPr>
              <w:jc w:val="right"/>
              <w:ind w:right="64"/>
              <w:spacing w:after="0"/>
              <w:rPr>
                <w:sz w:val="20"/>
                <w:szCs w:val="20"/>
                <w:color w:val="auto"/>
              </w:rPr>
            </w:pPr>
            <w:r>
              <w:rPr>
                <w:rFonts w:ascii="Arial" w:cs="Arial" w:eastAsia="Arial" w:hAnsi="Arial"/>
                <w:sz w:val="15"/>
                <w:szCs w:val="15"/>
                <w:color w:val="auto"/>
              </w:rPr>
              <w:t>6,950</w:t>
            </w: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ind w:right="24"/>
              <w:spacing w:after="0"/>
              <w:rPr>
                <w:sz w:val="20"/>
                <w:szCs w:val="20"/>
                <w:color w:val="auto"/>
              </w:rPr>
            </w:pPr>
            <w:r>
              <w:rPr>
                <w:rFonts w:ascii="Arial" w:cs="Arial" w:eastAsia="Arial" w:hAnsi="Arial"/>
                <w:sz w:val="15"/>
                <w:szCs w:val="15"/>
                <w:color w:val="auto"/>
              </w:rPr>
              <w:t>(94)</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(1.4)%</w:t>
            </w:r>
          </w:p>
        </w:tc>
      </w:tr>
      <w:tr>
        <w:trPr>
          <w:trHeight w:val="220"/>
        </w:trPr>
        <w:tc>
          <w:tcPr>
            <w:tcW w:w="4080" w:type="dxa"/>
            <w:vAlign w:val="bottom"/>
            <w:shd w:val="clear" w:color="auto" w:fill="CCEEFF"/>
          </w:tcPr>
          <w:p>
            <w:pPr>
              <w:ind w:left="20"/>
              <w:spacing w:after="0"/>
              <w:rPr>
                <w:sz w:val="20"/>
                <w:szCs w:val="20"/>
                <w:color w:val="auto"/>
              </w:rPr>
            </w:pPr>
            <w:r>
              <w:rPr>
                <w:rFonts w:ascii="Arial" w:cs="Arial" w:eastAsia="Arial" w:hAnsi="Arial"/>
                <w:sz w:val="15"/>
                <w:szCs w:val="15"/>
                <w:color w:val="auto"/>
              </w:rPr>
              <w:t>General and administrative expenses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26,733</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72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rPr>
              <w:t>23,697</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58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3,036</w:t>
            </w: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12.8 %</w:t>
            </w:r>
          </w:p>
        </w:tc>
        <w:tc>
          <w:tcPr>
            <w:tcW w:w="26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52,250</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72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45,584</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6,666</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14.6 %</w:t>
            </w:r>
          </w:p>
        </w:tc>
      </w:tr>
      <w:tr>
        <w:trPr>
          <w:trHeight w:val="212"/>
        </w:trPr>
        <w:tc>
          <w:tcPr>
            <w:tcW w:w="4080" w:type="dxa"/>
            <w:vAlign w:val="bottom"/>
          </w:tcPr>
          <w:p>
            <w:pPr>
              <w:ind w:left="20"/>
              <w:spacing w:after="0"/>
              <w:rPr>
                <w:sz w:val="20"/>
                <w:szCs w:val="20"/>
                <w:color w:val="auto"/>
              </w:rPr>
            </w:pPr>
            <w:r>
              <w:rPr>
                <w:rFonts w:ascii="Arial" w:cs="Arial" w:eastAsia="Arial" w:hAnsi="Arial"/>
                <w:sz w:val="15"/>
                <w:szCs w:val="15"/>
                <w:color w:val="auto"/>
              </w:rPr>
              <w:t>Catastrophic weather-related charges, net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ind w:right="24"/>
              <w:spacing w:after="0"/>
              <w:rPr>
                <w:sz w:val="20"/>
                <w:szCs w:val="20"/>
                <w:color w:val="auto"/>
              </w:rPr>
            </w:pPr>
            <w:r>
              <w:rPr>
                <w:rFonts w:ascii="Arial" w:cs="Arial" w:eastAsia="Arial" w:hAnsi="Arial"/>
                <w:sz w:val="15"/>
                <w:szCs w:val="15"/>
                <w:color w:val="auto"/>
              </w:rPr>
              <w:t>(566)</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720" w:type="dxa"/>
            <w:vAlign w:val="bottom"/>
          </w:tcPr>
          <w:p>
            <w:pPr>
              <w:jc w:val="right"/>
              <w:ind w:right="84"/>
              <w:spacing w:after="0"/>
              <w:rPr>
                <w:sz w:val="20"/>
                <w:szCs w:val="20"/>
                <w:color w:val="auto"/>
              </w:rPr>
            </w:pPr>
            <w:r>
              <w:rPr>
                <w:rFonts w:ascii="Arial" w:cs="Arial" w:eastAsia="Arial" w:hAnsi="Arial"/>
                <w:sz w:val="15"/>
                <w:szCs w:val="15"/>
                <w:color w:val="auto"/>
              </w:rPr>
              <w:t>179</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580" w:type="dxa"/>
            <w:vAlign w:val="bottom"/>
          </w:tcPr>
          <w:p>
            <w:pPr>
              <w:jc w:val="right"/>
              <w:ind w:right="24"/>
              <w:spacing w:after="0"/>
              <w:rPr>
                <w:sz w:val="20"/>
                <w:szCs w:val="20"/>
                <w:color w:val="auto"/>
              </w:rPr>
            </w:pPr>
            <w:r>
              <w:rPr>
                <w:rFonts w:ascii="Arial" w:cs="Arial" w:eastAsia="Arial" w:hAnsi="Arial"/>
                <w:sz w:val="15"/>
                <w:szCs w:val="15"/>
                <w:color w:val="auto"/>
              </w:rPr>
              <w:t>(745)</w:t>
            </w: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(416.2)%</w:t>
            </w:r>
          </w:p>
        </w:tc>
        <w:tc>
          <w:tcPr>
            <w:tcW w:w="2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ind w:right="64"/>
              <w:spacing w:after="0"/>
              <w:rPr>
                <w:sz w:val="20"/>
                <w:szCs w:val="20"/>
                <w:color w:val="auto"/>
              </w:rPr>
            </w:pPr>
            <w:r>
              <w:rPr>
                <w:rFonts w:ascii="Arial" w:cs="Arial" w:eastAsia="Arial" w:hAnsi="Arial"/>
                <w:sz w:val="15"/>
                <w:szCs w:val="15"/>
                <w:color w:val="auto"/>
              </w:rPr>
              <w:t>40</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720" w:type="dxa"/>
            <w:vAlign w:val="bottom"/>
          </w:tcPr>
          <w:p>
            <w:pPr>
              <w:jc w:val="right"/>
              <w:ind w:right="64"/>
              <w:spacing w:after="0"/>
              <w:rPr>
                <w:sz w:val="20"/>
                <w:szCs w:val="20"/>
                <w:color w:val="auto"/>
              </w:rPr>
            </w:pPr>
            <w:r>
              <w:rPr>
                <w:rFonts w:ascii="Arial" w:cs="Arial" w:eastAsia="Arial" w:hAnsi="Arial"/>
                <w:sz w:val="15"/>
                <w:szCs w:val="15"/>
                <w:color w:val="auto"/>
              </w:rPr>
              <w:t>961</w:t>
            </w: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ind w:right="24"/>
              <w:spacing w:after="0"/>
              <w:rPr>
                <w:sz w:val="20"/>
                <w:szCs w:val="20"/>
                <w:color w:val="auto"/>
              </w:rPr>
            </w:pPr>
            <w:r>
              <w:rPr>
                <w:rFonts w:ascii="Arial" w:cs="Arial" w:eastAsia="Arial" w:hAnsi="Arial"/>
                <w:sz w:val="15"/>
                <w:szCs w:val="15"/>
                <w:color w:val="auto"/>
              </w:rPr>
              <w:t>(921)</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(95.8)%</w:t>
            </w:r>
          </w:p>
        </w:tc>
      </w:tr>
      <w:tr>
        <w:trPr>
          <w:trHeight w:val="220"/>
        </w:trPr>
        <w:tc>
          <w:tcPr>
            <w:tcW w:w="4080" w:type="dxa"/>
            <w:vAlign w:val="bottom"/>
            <w:shd w:val="clear" w:color="auto" w:fill="CCEEFF"/>
          </w:tcPr>
          <w:p>
            <w:pPr>
              <w:ind w:left="20"/>
              <w:spacing w:after="0"/>
              <w:rPr>
                <w:sz w:val="20"/>
                <w:szCs w:val="20"/>
                <w:color w:val="auto"/>
              </w:rPr>
            </w:pPr>
            <w:r>
              <w:rPr>
                <w:rFonts w:ascii="Arial" w:cs="Arial" w:eastAsia="Arial" w:hAnsi="Arial"/>
                <w:sz w:val="15"/>
                <w:szCs w:val="15"/>
                <w:color w:val="auto"/>
              </w:rPr>
              <w:t>Depreciation and amortization</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87,265</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72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rPr>
              <w:t>76,153</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58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w w:val="91"/>
              </w:rPr>
              <w:t>11,112</w:t>
            </w: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14.6 %</w:t>
            </w:r>
          </w:p>
        </w:tc>
        <w:tc>
          <w:tcPr>
            <w:tcW w:w="26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w w:val="99"/>
              </w:rPr>
              <w:t>170,954</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72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152,709</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18,245</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11.9 %</w:t>
            </w:r>
          </w:p>
        </w:tc>
      </w:tr>
      <w:tr>
        <w:trPr>
          <w:trHeight w:val="212"/>
        </w:trPr>
        <w:tc>
          <w:tcPr>
            <w:tcW w:w="4080" w:type="dxa"/>
            <w:vAlign w:val="bottom"/>
          </w:tcPr>
          <w:p>
            <w:pPr>
              <w:ind w:left="20"/>
              <w:spacing w:after="0"/>
              <w:rPr>
                <w:sz w:val="20"/>
                <w:szCs w:val="20"/>
                <w:color w:val="auto"/>
              </w:rPr>
            </w:pPr>
            <w:r>
              <w:rPr>
                <w:rFonts w:ascii="Arial" w:cs="Arial" w:eastAsia="Arial" w:hAnsi="Arial"/>
                <w:sz w:val="15"/>
                <w:szCs w:val="15"/>
                <w:color w:val="auto"/>
              </w:rPr>
              <w:t>Loss on extinguishment of debt (see Note 8)</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ind w:right="64"/>
              <w:spacing w:after="0"/>
              <w:rPr>
                <w:sz w:val="20"/>
                <w:szCs w:val="20"/>
                <w:color w:val="auto"/>
              </w:rPr>
            </w:pPr>
            <w:r>
              <w:rPr>
                <w:rFonts w:ascii="Arial" w:cs="Arial" w:eastAsia="Arial" w:hAnsi="Arial"/>
                <w:sz w:val="15"/>
                <w:szCs w:val="15"/>
                <w:color w:val="auto"/>
              </w:rPr>
              <w:t>1,930</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720" w:type="dxa"/>
            <w:vAlign w:val="bottom"/>
          </w:tcPr>
          <w:p>
            <w:pPr>
              <w:jc w:val="right"/>
              <w:ind w:right="84"/>
              <w:spacing w:after="0"/>
              <w:rPr>
                <w:sz w:val="20"/>
                <w:szCs w:val="20"/>
                <w:color w:val="auto"/>
              </w:rPr>
            </w:pPr>
            <w:r>
              <w:rPr>
                <w:rFonts w:ascii="Arial" w:cs="Arial" w:eastAsia="Arial" w:hAnsi="Arial"/>
                <w:sz w:val="15"/>
                <w:szCs w:val="15"/>
                <w:color w:val="auto"/>
              </w:rPr>
              <w:t>70</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580" w:type="dxa"/>
            <w:vAlign w:val="bottom"/>
          </w:tcPr>
          <w:p>
            <w:pPr>
              <w:jc w:val="right"/>
              <w:ind w:right="64"/>
              <w:spacing w:after="0"/>
              <w:rPr>
                <w:sz w:val="20"/>
                <w:szCs w:val="20"/>
                <w:color w:val="auto"/>
              </w:rPr>
            </w:pPr>
            <w:r>
              <w:rPr>
                <w:rFonts w:ascii="Arial" w:cs="Arial" w:eastAsia="Arial" w:hAnsi="Arial"/>
                <w:sz w:val="15"/>
                <w:szCs w:val="15"/>
                <w:color w:val="auto"/>
              </w:rPr>
              <w:t>1,860</w:t>
            </w:r>
          </w:p>
        </w:tc>
        <w:tc>
          <w:tcPr>
            <w:tcW w:w="120" w:type="dxa"/>
            <w:vAlign w:val="bottom"/>
          </w:tcPr>
          <w:p>
            <w:pPr>
              <w:spacing w:after="0"/>
              <w:rPr>
                <w:sz w:val="18"/>
                <w:szCs w:val="18"/>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5"/>
                <w:szCs w:val="15"/>
                <w:color w:val="auto"/>
              </w:rPr>
              <w:t>N/M</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ind w:right="64"/>
              <w:spacing w:after="0"/>
              <w:rPr>
                <w:sz w:val="20"/>
                <w:szCs w:val="20"/>
                <w:color w:val="auto"/>
              </w:rPr>
            </w:pPr>
            <w:r>
              <w:rPr>
                <w:rFonts w:ascii="Arial" w:cs="Arial" w:eastAsia="Arial" w:hAnsi="Arial"/>
                <w:sz w:val="15"/>
                <w:szCs w:val="15"/>
                <w:color w:val="auto"/>
              </w:rPr>
              <w:t>5,209</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720" w:type="dxa"/>
            <w:vAlign w:val="bottom"/>
          </w:tcPr>
          <w:p>
            <w:pPr>
              <w:jc w:val="right"/>
              <w:ind w:right="64"/>
              <w:spacing w:after="0"/>
              <w:rPr>
                <w:sz w:val="20"/>
                <w:szCs w:val="20"/>
                <w:color w:val="auto"/>
              </w:rPr>
            </w:pPr>
            <w:r>
              <w:rPr>
                <w:rFonts w:ascii="Arial" w:cs="Arial" w:eastAsia="Arial" w:hAnsi="Arial"/>
                <w:sz w:val="15"/>
                <w:szCs w:val="15"/>
                <w:color w:val="auto"/>
              </w:rPr>
              <w:t>723</w:t>
            </w: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ind w:right="64"/>
              <w:spacing w:after="0"/>
              <w:rPr>
                <w:sz w:val="20"/>
                <w:szCs w:val="20"/>
                <w:color w:val="auto"/>
              </w:rPr>
            </w:pPr>
            <w:r>
              <w:rPr>
                <w:rFonts w:ascii="Arial" w:cs="Arial" w:eastAsia="Arial" w:hAnsi="Arial"/>
                <w:sz w:val="15"/>
                <w:szCs w:val="15"/>
                <w:color w:val="auto"/>
              </w:rPr>
              <w:t>4,486</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N/M</w:t>
            </w:r>
          </w:p>
        </w:tc>
      </w:tr>
      <w:tr>
        <w:trPr>
          <w:trHeight w:val="220"/>
        </w:trPr>
        <w:tc>
          <w:tcPr>
            <w:tcW w:w="4080" w:type="dxa"/>
            <w:vAlign w:val="bottom"/>
            <w:shd w:val="clear" w:color="auto" w:fill="CCEEFF"/>
          </w:tcPr>
          <w:p>
            <w:pPr>
              <w:ind w:left="20"/>
              <w:spacing w:after="0"/>
              <w:rPr>
                <w:sz w:val="20"/>
                <w:szCs w:val="20"/>
                <w:color w:val="auto"/>
              </w:rPr>
            </w:pPr>
            <w:r>
              <w:rPr>
                <w:rFonts w:ascii="Arial" w:cs="Arial" w:eastAsia="Arial" w:hAnsi="Arial"/>
                <w:sz w:val="15"/>
                <w:szCs w:val="15"/>
                <w:color w:val="auto"/>
              </w:rPr>
              <w:t>Interest expense</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31,428</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72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rPr>
              <w:t>33,661</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5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96"/>
              </w:rPr>
              <w:t>(2,233)</w:t>
            </w: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(6.6)%</w:t>
            </w:r>
          </w:p>
        </w:tc>
        <w:tc>
          <w:tcPr>
            <w:tcW w:w="26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63,844</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72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67,675</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(3,831)</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(5.7)%</w:t>
            </w:r>
          </w:p>
        </w:tc>
      </w:tr>
      <w:tr>
        <w:trPr>
          <w:trHeight w:val="212"/>
        </w:trPr>
        <w:tc>
          <w:tcPr>
            <w:tcW w:w="4080" w:type="dxa"/>
            <w:vAlign w:val="bottom"/>
          </w:tcPr>
          <w:p>
            <w:pPr>
              <w:ind w:left="20"/>
              <w:spacing w:after="0"/>
              <w:rPr>
                <w:sz w:val="20"/>
                <w:szCs w:val="20"/>
                <w:color w:val="auto"/>
              </w:rPr>
            </w:pPr>
            <w:r>
              <w:rPr>
                <w:rFonts w:ascii="Arial" w:cs="Arial" w:eastAsia="Arial" w:hAnsi="Arial"/>
                <w:sz w:val="15"/>
                <w:szCs w:val="15"/>
                <w:color w:val="auto"/>
                <w:w w:val="97"/>
              </w:rPr>
              <w:t>Interest on mandatorily redeemable preferred OP units / equity</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ind w:right="64"/>
              <w:spacing w:after="0"/>
              <w:rPr>
                <w:sz w:val="20"/>
                <w:szCs w:val="20"/>
                <w:color w:val="auto"/>
              </w:rPr>
            </w:pPr>
            <w:r>
              <w:rPr>
                <w:rFonts w:ascii="Arial" w:cs="Arial" w:eastAsia="Arial" w:hAnsi="Arial"/>
                <w:sz w:val="15"/>
                <w:szCs w:val="15"/>
                <w:color w:val="auto"/>
              </w:rPr>
              <w:t>1,042</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720" w:type="dxa"/>
            <w:vAlign w:val="bottom"/>
          </w:tcPr>
          <w:p>
            <w:pPr>
              <w:jc w:val="right"/>
              <w:ind w:right="84"/>
              <w:spacing w:after="0"/>
              <w:rPr>
                <w:sz w:val="20"/>
                <w:szCs w:val="20"/>
                <w:color w:val="auto"/>
              </w:rPr>
            </w:pPr>
            <w:r>
              <w:rPr>
                <w:rFonts w:ascii="Arial" w:cs="Arial" w:eastAsia="Arial" w:hAnsi="Arial"/>
                <w:sz w:val="15"/>
                <w:szCs w:val="15"/>
                <w:color w:val="auto"/>
              </w:rPr>
              <w:t>1,181</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580" w:type="dxa"/>
            <w:vAlign w:val="bottom"/>
          </w:tcPr>
          <w:p>
            <w:pPr>
              <w:jc w:val="right"/>
              <w:ind w:right="24"/>
              <w:spacing w:after="0"/>
              <w:rPr>
                <w:sz w:val="20"/>
                <w:szCs w:val="20"/>
                <w:color w:val="auto"/>
              </w:rPr>
            </w:pPr>
            <w:r>
              <w:rPr>
                <w:rFonts w:ascii="Arial" w:cs="Arial" w:eastAsia="Arial" w:hAnsi="Arial"/>
                <w:sz w:val="15"/>
                <w:szCs w:val="15"/>
                <w:color w:val="auto"/>
              </w:rPr>
              <w:t>(139)</w:t>
            </w: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(11.8)%</w:t>
            </w:r>
          </w:p>
        </w:tc>
        <w:tc>
          <w:tcPr>
            <w:tcW w:w="2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ind w:right="64"/>
              <w:spacing w:after="0"/>
              <w:rPr>
                <w:sz w:val="20"/>
                <w:szCs w:val="20"/>
                <w:color w:val="auto"/>
              </w:rPr>
            </w:pPr>
            <w:r>
              <w:rPr>
                <w:rFonts w:ascii="Arial" w:cs="Arial" w:eastAsia="Arial" w:hAnsi="Arial"/>
                <w:sz w:val="15"/>
                <w:szCs w:val="15"/>
                <w:color w:val="auto"/>
              </w:rPr>
              <w:t>2,083</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720" w:type="dxa"/>
            <w:vAlign w:val="bottom"/>
          </w:tcPr>
          <w:p>
            <w:pPr>
              <w:jc w:val="right"/>
              <w:ind w:right="64"/>
              <w:spacing w:after="0"/>
              <w:rPr>
                <w:sz w:val="20"/>
                <w:szCs w:val="20"/>
                <w:color w:val="auto"/>
              </w:rPr>
            </w:pPr>
            <w:r>
              <w:rPr>
                <w:rFonts w:ascii="Arial" w:cs="Arial" w:eastAsia="Arial" w:hAnsi="Arial"/>
                <w:sz w:val="15"/>
                <w:szCs w:val="15"/>
                <w:color w:val="auto"/>
              </w:rPr>
              <w:t>2,275</w:t>
            </w: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ind w:right="24"/>
              <w:spacing w:after="0"/>
              <w:rPr>
                <w:sz w:val="20"/>
                <w:szCs w:val="20"/>
                <w:color w:val="auto"/>
              </w:rPr>
            </w:pPr>
            <w:r>
              <w:rPr>
                <w:rFonts w:ascii="Arial" w:cs="Arial" w:eastAsia="Arial" w:hAnsi="Arial"/>
                <w:sz w:val="15"/>
                <w:szCs w:val="15"/>
                <w:color w:val="auto"/>
              </w:rPr>
              <w:t>(192)</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(8.4)%</w:t>
            </w:r>
          </w:p>
        </w:tc>
      </w:tr>
      <w:tr>
        <w:trPr>
          <w:trHeight w:val="180"/>
        </w:trPr>
        <w:tc>
          <w:tcPr>
            <w:tcW w:w="4080" w:type="dxa"/>
            <w:vAlign w:val="bottom"/>
            <w:shd w:val="clear" w:color="auto" w:fill="CCEEFF"/>
          </w:tcPr>
          <w:p>
            <w:pPr>
              <w:ind w:left="20"/>
              <w:spacing w:after="0"/>
              <w:rPr>
                <w:sz w:val="20"/>
                <w:szCs w:val="20"/>
                <w:color w:val="auto"/>
              </w:rPr>
            </w:pPr>
            <w:r>
              <w:rPr>
                <w:rFonts w:ascii="Arial" w:cs="Arial" w:eastAsia="Arial" w:hAnsi="Arial"/>
                <w:sz w:val="15"/>
                <w:szCs w:val="15"/>
                <w:color w:val="auto"/>
                <w:w w:val="99"/>
              </w:rPr>
              <w:t>Gain / (loss) on remeasurement of marketable securities (see</w:t>
            </w: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r>
      <w:tr>
        <w:trPr>
          <w:trHeight w:val="202"/>
        </w:trPr>
        <w:tc>
          <w:tcPr>
            <w:tcW w:w="4080" w:type="dxa"/>
            <w:vAlign w:val="bottom"/>
            <w:shd w:val="clear" w:color="auto" w:fill="CCEEFF"/>
          </w:tcPr>
          <w:p>
            <w:pPr>
              <w:ind w:left="20"/>
              <w:spacing w:after="0"/>
              <w:rPr>
                <w:sz w:val="20"/>
                <w:szCs w:val="20"/>
                <w:color w:val="auto"/>
              </w:rPr>
            </w:pPr>
            <w:r>
              <w:rPr>
                <w:rFonts w:ascii="Arial" w:cs="Arial" w:eastAsia="Arial" w:hAnsi="Arial"/>
                <w:sz w:val="15"/>
                <w:szCs w:val="15"/>
                <w:color w:val="auto"/>
              </w:rPr>
              <w:t>Note 14)</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24,519</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72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rPr>
              <w:t>3,620</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58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w w:val="91"/>
              </w:rPr>
              <w:t>20,899</w:t>
            </w:r>
          </w:p>
        </w:tc>
        <w:tc>
          <w:tcPr>
            <w:tcW w:w="1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5"/>
                <w:szCs w:val="15"/>
                <w:color w:val="auto"/>
              </w:rPr>
              <w:t>N/M</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(4,128)</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72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3,887</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(8,015)</w:t>
            </w: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N/M</w:t>
            </w:r>
          </w:p>
        </w:tc>
      </w:tr>
      <w:tr>
        <w:trPr>
          <w:trHeight w:val="212"/>
        </w:trPr>
        <w:tc>
          <w:tcPr>
            <w:tcW w:w="4080" w:type="dxa"/>
            <w:vAlign w:val="bottom"/>
          </w:tcPr>
          <w:p>
            <w:pPr>
              <w:ind w:left="20"/>
              <w:spacing w:after="0"/>
              <w:rPr>
                <w:sz w:val="20"/>
                <w:szCs w:val="20"/>
                <w:color w:val="auto"/>
              </w:rPr>
            </w:pPr>
            <w:r>
              <w:rPr>
                <w:rFonts w:ascii="Arial" w:cs="Arial" w:eastAsia="Arial" w:hAnsi="Arial"/>
                <w:sz w:val="15"/>
                <w:szCs w:val="15"/>
                <w:color w:val="auto"/>
              </w:rPr>
              <w:t>Gain / (loss) on foreign currency translation</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ind w:right="64"/>
              <w:spacing w:after="0"/>
              <w:rPr>
                <w:sz w:val="20"/>
                <w:szCs w:val="20"/>
                <w:color w:val="auto"/>
              </w:rPr>
            </w:pPr>
            <w:r>
              <w:rPr>
                <w:rFonts w:ascii="Arial" w:cs="Arial" w:eastAsia="Arial" w:hAnsi="Arial"/>
                <w:sz w:val="15"/>
                <w:szCs w:val="15"/>
                <w:color w:val="auto"/>
              </w:rPr>
              <w:t>10,374</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720" w:type="dxa"/>
            <w:vAlign w:val="bottom"/>
          </w:tcPr>
          <w:p>
            <w:pPr>
              <w:jc w:val="right"/>
              <w:ind w:right="84"/>
              <w:spacing w:after="0"/>
              <w:rPr>
                <w:sz w:val="20"/>
                <w:szCs w:val="20"/>
                <w:color w:val="auto"/>
              </w:rPr>
            </w:pPr>
            <w:r>
              <w:rPr>
                <w:rFonts w:ascii="Arial" w:cs="Arial" w:eastAsia="Arial" w:hAnsi="Arial"/>
                <w:sz w:val="15"/>
                <w:szCs w:val="15"/>
                <w:color w:val="auto"/>
              </w:rPr>
              <w:t>1,116</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580" w:type="dxa"/>
            <w:vAlign w:val="bottom"/>
          </w:tcPr>
          <w:p>
            <w:pPr>
              <w:jc w:val="right"/>
              <w:ind w:right="64"/>
              <w:spacing w:after="0"/>
              <w:rPr>
                <w:sz w:val="20"/>
                <w:szCs w:val="20"/>
                <w:color w:val="auto"/>
              </w:rPr>
            </w:pPr>
            <w:r>
              <w:rPr>
                <w:rFonts w:ascii="Arial" w:cs="Arial" w:eastAsia="Arial" w:hAnsi="Arial"/>
                <w:sz w:val="15"/>
                <w:szCs w:val="15"/>
                <w:color w:val="auto"/>
              </w:rPr>
              <w:t>9,258</w:t>
            </w:r>
          </w:p>
        </w:tc>
        <w:tc>
          <w:tcPr>
            <w:tcW w:w="120" w:type="dxa"/>
            <w:vAlign w:val="bottom"/>
          </w:tcPr>
          <w:p>
            <w:pPr>
              <w:spacing w:after="0"/>
              <w:rPr>
                <w:sz w:val="18"/>
                <w:szCs w:val="18"/>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5"/>
                <w:szCs w:val="15"/>
                <w:color w:val="auto"/>
              </w:rPr>
              <w:t>N/M</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ind w:right="24"/>
              <w:spacing w:after="0"/>
              <w:rPr>
                <w:sz w:val="20"/>
                <w:szCs w:val="20"/>
                <w:color w:val="auto"/>
              </w:rPr>
            </w:pPr>
            <w:r>
              <w:rPr>
                <w:rFonts w:ascii="Arial" w:cs="Arial" w:eastAsia="Arial" w:hAnsi="Arial"/>
                <w:sz w:val="15"/>
                <w:szCs w:val="15"/>
                <w:color w:val="auto"/>
              </w:rPr>
              <w:t>(7,105)</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720" w:type="dxa"/>
            <w:vAlign w:val="bottom"/>
          </w:tcPr>
          <w:p>
            <w:pPr>
              <w:jc w:val="right"/>
              <w:ind w:right="64"/>
              <w:spacing w:after="0"/>
              <w:rPr>
                <w:sz w:val="20"/>
                <w:szCs w:val="20"/>
                <w:color w:val="auto"/>
              </w:rPr>
            </w:pPr>
            <w:r>
              <w:rPr>
                <w:rFonts w:ascii="Arial" w:cs="Arial" w:eastAsia="Arial" w:hAnsi="Arial"/>
                <w:sz w:val="15"/>
                <w:szCs w:val="15"/>
                <w:color w:val="auto"/>
              </w:rPr>
              <w:t>3,081</w:t>
            </w: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ind w:right="24"/>
              <w:spacing w:after="0"/>
              <w:rPr>
                <w:sz w:val="20"/>
                <w:szCs w:val="20"/>
                <w:color w:val="auto"/>
              </w:rPr>
            </w:pPr>
            <w:r>
              <w:rPr>
                <w:rFonts w:ascii="Arial" w:cs="Arial" w:eastAsia="Arial" w:hAnsi="Arial"/>
                <w:sz w:val="15"/>
                <w:szCs w:val="15"/>
                <w:color w:val="auto"/>
                <w:w w:val="93"/>
              </w:rPr>
              <w:t>(10,186)</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N/M</w:t>
            </w:r>
          </w:p>
        </w:tc>
      </w:tr>
      <w:tr>
        <w:trPr>
          <w:trHeight w:val="220"/>
        </w:trPr>
        <w:tc>
          <w:tcPr>
            <w:tcW w:w="4080" w:type="dxa"/>
            <w:vAlign w:val="bottom"/>
            <w:shd w:val="clear" w:color="auto" w:fill="CCEEFF"/>
          </w:tcPr>
          <w:p>
            <w:pPr>
              <w:ind w:left="20"/>
              <w:spacing w:after="0"/>
              <w:rPr>
                <w:sz w:val="20"/>
                <w:szCs w:val="20"/>
                <w:color w:val="auto"/>
              </w:rPr>
            </w:pPr>
            <w:r>
              <w:rPr>
                <w:rFonts w:ascii="Arial" w:cs="Arial" w:eastAsia="Arial" w:hAnsi="Arial"/>
                <w:sz w:val="15"/>
                <w:szCs w:val="15"/>
                <w:color w:val="auto"/>
              </w:rPr>
              <w:t>Other expense, net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(552)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72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(95)</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5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(457)</w:t>
            </w:r>
          </w:p>
        </w:tc>
        <w:tc>
          <w:tcPr>
            <w:tcW w:w="1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5"/>
                <w:szCs w:val="15"/>
                <w:color w:val="auto"/>
              </w:rPr>
              <w:t>N/M</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(854)</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72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(162)</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(692)</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N/M</w:t>
            </w:r>
          </w:p>
        </w:tc>
      </w:tr>
      <w:tr>
        <w:trPr>
          <w:trHeight w:val="212"/>
        </w:trPr>
        <w:tc>
          <w:tcPr>
            <w:tcW w:w="4080" w:type="dxa"/>
            <w:vAlign w:val="bottom"/>
          </w:tcPr>
          <w:p>
            <w:pPr>
              <w:ind w:left="20"/>
              <w:spacing w:after="0"/>
              <w:rPr>
                <w:sz w:val="20"/>
                <w:szCs w:val="20"/>
                <w:color w:val="auto"/>
              </w:rPr>
            </w:pPr>
            <w:r>
              <w:rPr>
                <w:rFonts w:ascii="Arial" w:cs="Arial" w:eastAsia="Arial" w:hAnsi="Arial"/>
                <w:sz w:val="15"/>
                <w:szCs w:val="15"/>
                <w:color w:val="auto"/>
                <w:w w:val="94"/>
              </w:rPr>
              <w:t>Gain / (loss) on remeasurement of notes receivable (see Note 4)</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ind w:right="64"/>
              <w:spacing w:after="0"/>
              <w:rPr>
                <w:sz w:val="20"/>
                <w:szCs w:val="20"/>
                <w:color w:val="auto"/>
              </w:rPr>
            </w:pPr>
            <w:r>
              <w:rPr>
                <w:rFonts w:ascii="Arial" w:cs="Arial" w:eastAsia="Arial" w:hAnsi="Arial"/>
                <w:sz w:val="15"/>
                <w:szCs w:val="15"/>
                <w:color w:val="auto"/>
              </w:rPr>
              <w:t>246</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82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580" w:type="dxa"/>
            <w:vAlign w:val="bottom"/>
          </w:tcPr>
          <w:p>
            <w:pPr>
              <w:jc w:val="right"/>
              <w:ind w:right="64"/>
              <w:spacing w:after="0"/>
              <w:rPr>
                <w:sz w:val="20"/>
                <w:szCs w:val="20"/>
                <w:color w:val="auto"/>
              </w:rPr>
            </w:pPr>
            <w:r>
              <w:rPr>
                <w:rFonts w:ascii="Arial" w:cs="Arial" w:eastAsia="Arial" w:hAnsi="Arial"/>
                <w:sz w:val="15"/>
                <w:szCs w:val="15"/>
                <w:color w:val="auto"/>
              </w:rPr>
              <w:t>246</w:t>
            </w:r>
          </w:p>
        </w:tc>
        <w:tc>
          <w:tcPr>
            <w:tcW w:w="120" w:type="dxa"/>
            <w:vAlign w:val="bottom"/>
          </w:tcPr>
          <w:p>
            <w:pPr>
              <w:spacing w:after="0"/>
              <w:rPr>
                <w:sz w:val="18"/>
                <w:szCs w:val="18"/>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5"/>
                <w:szCs w:val="15"/>
                <w:color w:val="auto"/>
              </w:rPr>
              <w:t>N/A</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ind w:right="24"/>
              <w:spacing w:after="0"/>
              <w:rPr>
                <w:sz w:val="20"/>
                <w:szCs w:val="20"/>
                <w:color w:val="auto"/>
              </w:rPr>
            </w:pPr>
            <w:r>
              <w:rPr>
                <w:rFonts w:ascii="Arial" w:cs="Arial" w:eastAsia="Arial" w:hAnsi="Arial"/>
                <w:sz w:val="15"/>
                <w:szCs w:val="15"/>
                <w:color w:val="auto"/>
              </w:rPr>
              <w:t>(1,866)</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84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ind w:right="24"/>
              <w:spacing w:after="0"/>
              <w:rPr>
                <w:sz w:val="20"/>
                <w:szCs w:val="20"/>
                <w:color w:val="auto"/>
              </w:rPr>
            </w:pPr>
            <w:r>
              <w:rPr>
                <w:rFonts w:ascii="Arial" w:cs="Arial" w:eastAsia="Arial" w:hAnsi="Arial"/>
                <w:sz w:val="15"/>
                <w:szCs w:val="15"/>
                <w:color w:val="auto"/>
              </w:rPr>
              <w:t>(1,866)</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N/A</w:t>
            </w:r>
          </w:p>
        </w:tc>
      </w:tr>
      <w:tr>
        <w:trPr>
          <w:trHeight w:val="220"/>
        </w:trPr>
        <w:tc>
          <w:tcPr>
            <w:tcW w:w="4080" w:type="dxa"/>
            <w:vAlign w:val="bottom"/>
            <w:shd w:val="clear" w:color="auto" w:fill="CCEEFF"/>
          </w:tcPr>
          <w:p>
            <w:pPr>
              <w:ind w:left="20"/>
              <w:spacing w:after="0"/>
              <w:rPr>
                <w:sz w:val="20"/>
                <w:szCs w:val="20"/>
                <w:color w:val="auto"/>
              </w:rPr>
            </w:pPr>
            <w:r>
              <w:rPr>
                <w:rFonts w:ascii="Arial" w:cs="Arial" w:eastAsia="Arial" w:hAnsi="Arial"/>
                <w:sz w:val="15"/>
                <w:szCs w:val="15"/>
                <w:color w:val="auto"/>
              </w:rPr>
              <w:t>Income from nonconsolidated affiliates (see Note 6)</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92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72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rPr>
              <w:t>479</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5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(387)</w:t>
            </w: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(80.8)%</w:t>
            </w:r>
          </w:p>
        </w:tc>
        <w:tc>
          <w:tcPr>
            <w:tcW w:w="26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144</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72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867</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(723)</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(83.4)%</w:t>
            </w:r>
          </w:p>
        </w:tc>
      </w:tr>
      <w:tr>
        <w:trPr>
          <w:trHeight w:val="176"/>
        </w:trPr>
        <w:tc>
          <w:tcPr>
            <w:tcW w:w="4080" w:type="dxa"/>
            <w:vAlign w:val="bottom"/>
          </w:tcPr>
          <w:p>
            <w:pPr>
              <w:ind w:left="20"/>
              <w:spacing w:after="0"/>
              <w:rPr>
                <w:sz w:val="20"/>
                <w:szCs w:val="20"/>
                <w:color w:val="auto"/>
              </w:rPr>
            </w:pPr>
            <w:r>
              <w:rPr>
                <w:rFonts w:ascii="Arial" w:cs="Arial" w:eastAsia="Arial" w:hAnsi="Arial"/>
                <w:sz w:val="15"/>
                <w:szCs w:val="15"/>
                <w:color w:val="auto"/>
                <w:w w:val="93"/>
              </w:rPr>
              <w:t>Gain / (loss) on remeasurement of investment in nonconsolidated</w:t>
            </w: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98"/>
        </w:trPr>
        <w:tc>
          <w:tcPr>
            <w:tcW w:w="4080" w:type="dxa"/>
            <w:vAlign w:val="bottom"/>
          </w:tcPr>
          <w:p>
            <w:pPr>
              <w:ind w:left="20"/>
              <w:spacing w:after="0"/>
              <w:rPr>
                <w:sz w:val="20"/>
                <w:szCs w:val="20"/>
                <w:color w:val="auto"/>
              </w:rPr>
            </w:pPr>
            <w:r>
              <w:rPr>
                <w:rFonts w:ascii="Arial" w:cs="Arial" w:eastAsia="Arial" w:hAnsi="Arial"/>
                <w:sz w:val="15"/>
                <w:szCs w:val="15"/>
                <w:color w:val="auto"/>
              </w:rPr>
              <w:t>affiliates (see Note 6)</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ind w:right="64"/>
              <w:spacing w:after="0"/>
              <w:rPr>
                <w:sz w:val="20"/>
                <w:szCs w:val="20"/>
                <w:color w:val="auto"/>
              </w:rPr>
            </w:pPr>
            <w:r>
              <w:rPr>
                <w:rFonts w:ascii="Arial" w:cs="Arial" w:eastAsia="Arial" w:hAnsi="Arial"/>
                <w:sz w:val="15"/>
                <w:szCs w:val="15"/>
                <w:color w:val="auto"/>
              </w:rPr>
              <w:t>1,132</w:t>
            </w:r>
          </w:p>
        </w:tc>
        <w:tc>
          <w:tcPr>
            <w:tcW w:w="1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82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580" w:type="dxa"/>
            <w:vAlign w:val="bottom"/>
          </w:tcPr>
          <w:p>
            <w:pPr>
              <w:jc w:val="right"/>
              <w:ind w:right="64"/>
              <w:spacing w:after="0"/>
              <w:rPr>
                <w:sz w:val="20"/>
                <w:szCs w:val="20"/>
                <w:color w:val="auto"/>
              </w:rPr>
            </w:pPr>
            <w:r>
              <w:rPr>
                <w:rFonts w:ascii="Arial" w:cs="Arial" w:eastAsia="Arial" w:hAnsi="Arial"/>
                <w:sz w:val="15"/>
                <w:szCs w:val="15"/>
                <w:color w:val="auto"/>
              </w:rPr>
              <w:t>1,132</w:t>
            </w:r>
          </w:p>
        </w:tc>
        <w:tc>
          <w:tcPr>
            <w:tcW w:w="120" w:type="dxa"/>
            <w:vAlign w:val="bottom"/>
          </w:tcPr>
          <w:p>
            <w:pPr>
              <w:spacing w:after="0"/>
              <w:rPr>
                <w:sz w:val="17"/>
                <w:szCs w:val="17"/>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5"/>
                <w:szCs w:val="15"/>
                <w:color w:val="auto"/>
              </w:rPr>
              <w:t>N/A</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ind w:right="24"/>
              <w:spacing w:after="0"/>
              <w:rPr>
                <w:sz w:val="20"/>
                <w:szCs w:val="20"/>
                <w:color w:val="auto"/>
              </w:rPr>
            </w:pPr>
            <w:r>
              <w:rPr>
                <w:rFonts w:ascii="Arial" w:cs="Arial" w:eastAsia="Arial" w:hAnsi="Arial"/>
                <w:sz w:val="15"/>
                <w:szCs w:val="15"/>
                <w:color w:val="auto"/>
              </w:rPr>
              <w:t>(1,059)</w:t>
            </w: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84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ind w:right="24"/>
              <w:spacing w:after="0"/>
              <w:rPr>
                <w:sz w:val="20"/>
                <w:szCs w:val="20"/>
                <w:color w:val="auto"/>
              </w:rPr>
            </w:pPr>
            <w:r>
              <w:rPr>
                <w:rFonts w:ascii="Arial" w:cs="Arial" w:eastAsia="Arial" w:hAnsi="Arial"/>
                <w:sz w:val="15"/>
                <w:szCs w:val="15"/>
                <w:color w:val="auto"/>
              </w:rPr>
              <w:t>(1,059)</w:t>
            </w:r>
          </w:p>
        </w:tc>
        <w:tc>
          <w:tcPr>
            <w:tcW w:w="1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N/A</w:t>
            </w:r>
          </w:p>
        </w:tc>
      </w:tr>
      <w:tr>
        <w:trPr>
          <w:trHeight w:val="220"/>
        </w:trPr>
        <w:tc>
          <w:tcPr>
            <w:tcW w:w="4080" w:type="dxa"/>
            <w:vAlign w:val="bottom"/>
            <w:shd w:val="clear" w:color="auto" w:fill="CCEEFF"/>
          </w:tcPr>
          <w:p>
            <w:pPr>
              <w:ind w:left="20"/>
              <w:spacing w:after="0"/>
              <w:rPr>
                <w:sz w:val="20"/>
                <w:szCs w:val="20"/>
                <w:color w:val="auto"/>
              </w:rPr>
            </w:pPr>
            <w:r>
              <w:rPr>
                <w:rFonts w:ascii="Arial" w:cs="Arial" w:eastAsia="Arial" w:hAnsi="Arial"/>
                <w:sz w:val="15"/>
                <w:szCs w:val="15"/>
                <w:color w:val="auto"/>
              </w:rPr>
              <w:t>Current tax expense (see Note 12)</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(119)</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72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(272)</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58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153</w:t>
            </w: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(56.3)%</w:t>
            </w:r>
          </w:p>
        </w:tc>
        <w:tc>
          <w:tcPr>
            <w:tcW w:w="26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(569)</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72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(486)</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(83)</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17.1 %</w:t>
            </w:r>
          </w:p>
        </w:tc>
      </w:tr>
      <w:tr>
        <w:trPr>
          <w:trHeight w:val="212"/>
        </w:trPr>
        <w:tc>
          <w:tcPr>
            <w:tcW w:w="4080" w:type="dxa"/>
            <w:vAlign w:val="bottom"/>
          </w:tcPr>
          <w:p>
            <w:pPr>
              <w:ind w:left="20"/>
              <w:spacing w:after="0"/>
              <w:rPr>
                <w:sz w:val="20"/>
                <w:szCs w:val="20"/>
                <w:color w:val="auto"/>
              </w:rPr>
            </w:pPr>
            <w:r>
              <w:rPr>
                <w:rFonts w:ascii="Arial" w:cs="Arial" w:eastAsia="Arial" w:hAnsi="Arial"/>
                <w:sz w:val="15"/>
                <w:szCs w:val="15"/>
                <w:color w:val="auto"/>
              </w:rPr>
              <w:t>Deferred tax benefit (see Note 12)</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ind w:right="64"/>
              <w:spacing w:after="0"/>
              <w:rPr>
                <w:sz w:val="20"/>
                <w:szCs w:val="20"/>
                <w:color w:val="auto"/>
              </w:rPr>
            </w:pPr>
            <w:r>
              <w:rPr>
                <w:rFonts w:ascii="Arial" w:cs="Arial" w:eastAsia="Arial" w:hAnsi="Arial"/>
                <w:sz w:val="15"/>
                <w:szCs w:val="15"/>
                <w:color w:val="auto"/>
              </w:rPr>
              <w:t>112</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720" w:type="dxa"/>
            <w:vAlign w:val="bottom"/>
          </w:tcPr>
          <w:p>
            <w:pPr>
              <w:jc w:val="right"/>
              <w:ind w:right="84"/>
              <w:spacing w:after="0"/>
              <w:rPr>
                <w:sz w:val="20"/>
                <w:szCs w:val="20"/>
                <w:color w:val="auto"/>
              </w:rPr>
            </w:pPr>
            <w:r>
              <w:rPr>
                <w:rFonts w:ascii="Arial" w:cs="Arial" w:eastAsia="Arial" w:hAnsi="Arial"/>
                <w:sz w:val="15"/>
                <w:szCs w:val="15"/>
                <w:color w:val="auto"/>
              </w:rPr>
              <w:t>96</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580" w:type="dxa"/>
            <w:vAlign w:val="bottom"/>
          </w:tcPr>
          <w:p>
            <w:pPr>
              <w:jc w:val="right"/>
              <w:ind w:right="64"/>
              <w:spacing w:after="0"/>
              <w:rPr>
                <w:sz w:val="20"/>
                <w:szCs w:val="20"/>
                <w:color w:val="auto"/>
              </w:rPr>
            </w:pPr>
            <w:r>
              <w:rPr>
                <w:rFonts w:ascii="Arial" w:cs="Arial" w:eastAsia="Arial" w:hAnsi="Arial"/>
                <w:sz w:val="15"/>
                <w:szCs w:val="15"/>
                <w:color w:val="auto"/>
              </w:rPr>
              <w:t>16</w:t>
            </w: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16.7 %</w:t>
            </w:r>
          </w:p>
        </w:tc>
        <w:tc>
          <w:tcPr>
            <w:tcW w:w="2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ind w:right="64"/>
              <w:spacing w:after="0"/>
              <w:rPr>
                <w:sz w:val="20"/>
                <w:szCs w:val="20"/>
                <w:color w:val="auto"/>
              </w:rPr>
            </w:pPr>
            <w:r>
              <w:rPr>
                <w:rFonts w:ascii="Arial" w:cs="Arial" w:eastAsia="Arial" w:hAnsi="Arial"/>
                <w:sz w:val="15"/>
                <w:szCs w:val="15"/>
                <w:color w:val="auto"/>
              </w:rPr>
              <w:t>242</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720" w:type="dxa"/>
            <w:vAlign w:val="bottom"/>
          </w:tcPr>
          <w:p>
            <w:pPr>
              <w:jc w:val="right"/>
              <w:ind w:right="64"/>
              <w:spacing w:after="0"/>
              <w:rPr>
                <w:sz w:val="20"/>
                <w:szCs w:val="20"/>
                <w:color w:val="auto"/>
              </w:rPr>
            </w:pPr>
            <w:r>
              <w:rPr>
                <w:rFonts w:ascii="Arial" w:cs="Arial" w:eastAsia="Arial" w:hAnsi="Arial"/>
                <w:sz w:val="15"/>
                <w:szCs w:val="15"/>
                <w:color w:val="auto"/>
              </w:rPr>
              <w:t>313</w:t>
            </w: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ind w:right="24"/>
              <w:spacing w:after="0"/>
              <w:rPr>
                <w:sz w:val="20"/>
                <w:szCs w:val="20"/>
                <w:color w:val="auto"/>
              </w:rPr>
            </w:pPr>
            <w:r>
              <w:rPr>
                <w:rFonts w:ascii="Arial" w:cs="Arial" w:eastAsia="Arial" w:hAnsi="Arial"/>
                <w:sz w:val="15"/>
                <w:szCs w:val="15"/>
                <w:color w:val="auto"/>
              </w:rPr>
              <w:t>(71)</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(22.7)%</w:t>
            </w:r>
          </w:p>
        </w:tc>
      </w:tr>
      <w:tr>
        <w:trPr>
          <w:trHeight w:val="220"/>
        </w:trPr>
        <w:tc>
          <w:tcPr>
            <w:tcW w:w="4080" w:type="dxa"/>
            <w:vAlign w:val="bottom"/>
            <w:shd w:val="clear" w:color="auto" w:fill="CCEEFF"/>
          </w:tcPr>
          <w:p>
            <w:pPr>
              <w:ind w:left="20"/>
              <w:spacing w:after="0"/>
              <w:rPr>
                <w:sz w:val="20"/>
                <w:szCs w:val="20"/>
                <w:color w:val="auto"/>
              </w:rPr>
            </w:pPr>
            <w:r>
              <w:rPr>
                <w:rFonts w:ascii="Arial" w:cs="Arial" w:eastAsia="Arial" w:hAnsi="Arial"/>
                <w:sz w:val="15"/>
                <w:szCs w:val="15"/>
                <w:color w:val="auto"/>
              </w:rPr>
              <w:t>Preferred return to preferred OP units / equity</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1,584</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72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rPr>
              <w:t>1,718</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5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(134)</w:t>
            </w: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(7.8)%</w:t>
            </w:r>
          </w:p>
        </w:tc>
        <w:tc>
          <w:tcPr>
            <w:tcW w:w="26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3,154</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72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3,041</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113</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3.7 %</w:t>
            </w:r>
          </w:p>
        </w:tc>
      </w:tr>
      <w:tr>
        <w:trPr>
          <w:trHeight w:val="212"/>
        </w:trPr>
        <w:tc>
          <w:tcPr>
            <w:tcW w:w="4080" w:type="dxa"/>
            <w:vAlign w:val="bottom"/>
          </w:tcPr>
          <w:p>
            <w:pPr>
              <w:ind w:left="20"/>
              <w:spacing w:after="0"/>
              <w:rPr>
                <w:sz w:val="20"/>
                <w:szCs w:val="20"/>
                <w:color w:val="auto"/>
              </w:rPr>
            </w:pPr>
            <w:r>
              <w:rPr>
                <w:rFonts w:ascii="Arial" w:cs="Arial" w:eastAsia="Arial" w:hAnsi="Arial"/>
                <w:sz w:val="15"/>
                <w:szCs w:val="15"/>
                <w:color w:val="auto"/>
              </w:rPr>
              <w:t>Income attributable to noncontrolling interests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ind w:right="64"/>
              <w:spacing w:after="0"/>
              <w:rPr>
                <w:sz w:val="20"/>
                <w:szCs w:val="20"/>
                <w:color w:val="auto"/>
              </w:rPr>
            </w:pPr>
            <w:r>
              <w:rPr>
                <w:rFonts w:ascii="Arial" w:cs="Arial" w:eastAsia="Arial" w:hAnsi="Arial"/>
                <w:sz w:val="15"/>
                <w:szCs w:val="15"/>
                <w:color w:val="auto"/>
              </w:rPr>
              <w:t>2,861</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720" w:type="dxa"/>
            <w:vAlign w:val="bottom"/>
          </w:tcPr>
          <w:p>
            <w:pPr>
              <w:jc w:val="right"/>
              <w:ind w:right="84"/>
              <w:spacing w:after="0"/>
              <w:rPr>
                <w:sz w:val="20"/>
                <w:szCs w:val="20"/>
                <w:color w:val="auto"/>
              </w:rPr>
            </w:pPr>
            <w:r>
              <w:rPr>
                <w:rFonts w:ascii="Arial" w:cs="Arial" w:eastAsia="Arial" w:hAnsi="Arial"/>
                <w:sz w:val="15"/>
                <w:szCs w:val="15"/>
                <w:color w:val="auto"/>
              </w:rPr>
              <w:t>2,585</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580" w:type="dxa"/>
            <w:vAlign w:val="bottom"/>
          </w:tcPr>
          <w:p>
            <w:pPr>
              <w:jc w:val="right"/>
              <w:ind w:right="64"/>
              <w:spacing w:after="0"/>
              <w:rPr>
                <w:sz w:val="20"/>
                <w:szCs w:val="20"/>
                <w:color w:val="auto"/>
              </w:rPr>
            </w:pPr>
            <w:r>
              <w:rPr>
                <w:rFonts w:ascii="Arial" w:cs="Arial" w:eastAsia="Arial" w:hAnsi="Arial"/>
                <w:sz w:val="15"/>
                <w:szCs w:val="15"/>
                <w:color w:val="auto"/>
              </w:rPr>
              <w:t>276</w:t>
            </w: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10.7 %</w:t>
            </w:r>
          </w:p>
        </w:tc>
        <w:tc>
          <w:tcPr>
            <w:tcW w:w="2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ind w:right="64"/>
              <w:spacing w:after="0"/>
              <w:rPr>
                <w:sz w:val="20"/>
                <w:szCs w:val="20"/>
                <w:color w:val="auto"/>
              </w:rPr>
            </w:pPr>
            <w:r>
              <w:rPr>
                <w:rFonts w:ascii="Arial" w:cs="Arial" w:eastAsia="Arial" w:hAnsi="Arial"/>
                <w:sz w:val="15"/>
                <w:szCs w:val="15"/>
                <w:color w:val="auto"/>
              </w:rPr>
              <w:t>1,899</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720" w:type="dxa"/>
            <w:vAlign w:val="bottom"/>
          </w:tcPr>
          <w:p>
            <w:pPr>
              <w:jc w:val="right"/>
              <w:ind w:right="64"/>
              <w:spacing w:after="0"/>
              <w:rPr>
                <w:sz w:val="20"/>
                <w:szCs w:val="20"/>
                <w:color w:val="auto"/>
              </w:rPr>
            </w:pPr>
            <w:r>
              <w:rPr>
                <w:rFonts w:ascii="Arial" w:cs="Arial" w:eastAsia="Arial" w:hAnsi="Arial"/>
                <w:sz w:val="15"/>
                <w:szCs w:val="15"/>
                <w:color w:val="auto"/>
              </w:rPr>
              <w:t>3,626</w:t>
            </w: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ind w:right="24"/>
              <w:spacing w:after="0"/>
              <w:rPr>
                <w:sz w:val="20"/>
                <w:szCs w:val="20"/>
                <w:color w:val="auto"/>
              </w:rPr>
            </w:pPr>
            <w:r>
              <w:rPr>
                <w:rFonts w:ascii="Arial" w:cs="Arial" w:eastAsia="Arial" w:hAnsi="Arial"/>
                <w:sz w:val="15"/>
                <w:szCs w:val="15"/>
                <w:color w:val="auto"/>
              </w:rPr>
              <w:t>(1,727)</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(47.6)%</w:t>
            </w:r>
          </w:p>
        </w:tc>
      </w:tr>
      <w:tr>
        <w:trPr>
          <w:trHeight w:val="220"/>
        </w:trPr>
        <w:tc>
          <w:tcPr>
            <w:tcW w:w="4080" w:type="dxa"/>
            <w:vAlign w:val="bottom"/>
            <w:shd w:val="clear" w:color="auto" w:fill="CCEEFF"/>
          </w:tcPr>
          <w:p>
            <w:pPr>
              <w:ind w:left="20"/>
              <w:spacing w:after="0"/>
              <w:rPr>
                <w:sz w:val="20"/>
                <w:szCs w:val="20"/>
                <w:color w:val="auto"/>
              </w:rPr>
            </w:pPr>
            <w:r>
              <w:rPr>
                <w:rFonts w:ascii="Arial" w:cs="Arial" w:eastAsia="Arial" w:hAnsi="Arial"/>
                <w:sz w:val="15"/>
                <w:szCs w:val="15"/>
                <w:color w:val="auto"/>
              </w:rPr>
              <w:t>Preferred stock distribution</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72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rPr>
              <w:t>428</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5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(428)</w:t>
            </w: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(100.0)%</w:t>
            </w:r>
          </w:p>
        </w:tc>
        <w:tc>
          <w:tcPr>
            <w:tcW w:w="26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72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860</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(860)</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(100.0)%</w:t>
            </w:r>
          </w:p>
        </w:tc>
      </w:tr>
    </w:tbl>
    <w:p>
      <w:pPr>
        <w:spacing w:after="0" w:line="95" w:lineRule="exact"/>
        <w:rPr>
          <w:sz w:val="20"/>
          <w:szCs w:val="20"/>
          <w:color w:val="auto"/>
        </w:rPr>
      </w:pPr>
    </w:p>
    <w:p>
      <w:pPr>
        <w:ind w:right="3280" w:firstLine="8"/>
        <w:spacing w:after="0" w:line="298" w:lineRule="auto"/>
        <w:tabs>
          <w:tab w:leader="none" w:pos="140" w:val="left"/>
        </w:tabs>
        <w:numPr>
          <w:ilvl w:val="0"/>
          <w:numId w:val="29"/>
        </w:numPr>
        <w:rPr>
          <w:rFonts w:ascii="Arial" w:cs="Arial" w:eastAsia="Arial" w:hAnsi="Arial"/>
          <w:sz w:val="16"/>
          <w:szCs w:val="16"/>
          <w:color w:val="auto"/>
          <w:vertAlign w:val="superscript"/>
        </w:rPr>
      </w:pPr>
      <w:r>
        <w:rPr>
          <w:rFonts w:ascii="Arial" w:cs="Arial" w:eastAsia="Arial" w:hAnsi="Arial"/>
          <w:sz w:val="13"/>
          <w:szCs w:val="13"/>
          <w:color w:val="auto"/>
        </w:rPr>
        <w:t>Only items determined by management to be material, of interest, or unique to the periods disclosed above are explained below. N/M = Percentage change is not meaningful</w:t>
      </w:r>
    </w:p>
    <w:p>
      <w:pPr>
        <w:spacing w:after="0" w:line="1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Anciliary revenues, net </w:t>
      </w:r>
      <w:r>
        <w:rPr>
          <w:rFonts w:ascii="Arial" w:cs="Arial" w:eastAsia="Arial" w:hAnsi="Arial"/>
          <w:sz w:val="18"/>
          <w:szCs w:val="18"/>
          <w:color w:val="auto"/>
        </w:rPr>
        <w:t>- for the three and six months ended June 30, 2020, decreased primarily due to COVID-19 related travel restrictions leading to</w:t>
      </w:r>
      <w:r>
        <w:rPr>
          <w:rFonts w:ascii="Arial" w:cs="Arial" w:eastAsia="Arial" w:hAnsi="Arial"/>
          <w:sz w:val="18"/>
          <w:szCs w:val="18"/>
          <w:i w:val="1"/>
          <w:iCs w:val="1"/>
          <w:color w:val="auto"/>
        </w:rPr>
        <w:t xml:space="preserve"> </w:t>
      </w:r>
      <w:r>
        <w:rPr>
          <w:rFonts w:ascii="Arial" w:cs="Arial" w:eastAsia="Arial" w:hAnsi="Arial"/>
          <w:sz w:val="18"/>
          <w:szCs w:val="18"/>
          <w:color w:val="auto"/>
        </w:rPr>
        <w:t>fewer guest reservations and ancillary purchases at RV resorts.</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Interest income - </w:t>
      </w:r>
      <w:r>
        <w:rPr>
          <w:rFonts w:ascii="Arial" w:cs="Arial" w:eastAsia="Arial" w:hAnsi="Arial"/>
          <w:sz w:val="18"/>
          <w:szCs w:val="18"/>
          <w:color w:val="auto"/>
        </w:rPr>
        <w:t>for the three and six months ended June 30, 2020, decreased primarily due to lower balances on our notes receivable and derecognition of</w:t>
      </w:r>
      <w:r>
        <w:rPr>
          <w:rFonts w:ascii="Arial" w:cs="Arial" w:eastAsia="Arial" w:hAnsi="Arial"/>
          <w:sz w:val="18"/>
          <w:szCs w:val="18"/>
          <w:i w:val="1"/>
          <w:iCs w:val="1"/>
          <w:color w:val="auto"/>
        </w:rPr>
        <w:t xml:space="preserve"> </w:t>
      </w:r>
      <w:r>
        <w:rPr>
          <w:rFonts w:ascii="Arial" w:cs="Arial" w:eastAsia="Arial" w:hAnsi="Arial"/>
          <w:sz w:val="18"/>
          <w:szCs w:val="18"/>
          <w:color w:val="auto"/>
        </w:rPr>
        <w:t>collateralized notes receivable in November 2019.</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General and administrative expenses - </w:t>
      </w:r>
      <w:r>
        <w:rPr>
          <w:rFonts w:ascii="Arial" w:cs="Arial" w:eastAsia="Arial" w:hAnsi="Arial"/>
          <w:sz w:val="18"/>
          <w:szCs w:val="18"/>
          <w:color w:val="auto"/>
        </w:rPr>
        <w:t>for the three and six months ended June 30, 2020, increased primarily due to an increase in wages and incentives as</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the same period in 2019, and COVID-19 personal protective equipment expense that did not exist in 2019.</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Depreciation and amortization - </w:t>
      </w:r>
      <w:r>
        <w:rPr>
          <w:rFonts w:ascii="Arial" w:cs="Arial" w:eastAsia="Arial" w:hAnsi="Arial"/>
          <w:sz w:val="16"/>
          <w:szCs w:val="16"/>
          <w:color w:val="auto"/>
        </w:rPr>
        <w:t>for the three and six months ended June 30, 2020, increased as a result of property acquisitions during 2019 and 2020.</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Refer to Note 3, “Real Estate Acquisitions,” in our accompanying Consolidated Financial Statements for additional information.</w:t>
      </w:r>
    </w:p>
    <w:p>
      <w:pPr>
        <w:spacing w:after="0" w:line="23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Loss on extinguishment of debt - </w:t>
      </w:r>
      <w:r>
        <w:rPr>
          <w:rFonts w:ascii="Arial" w:cs="Arial" w:eastAsia="Arial" w:hAnsi="Arial"/>
          <w:sz w:val="18"/>
          <w:szCs w:val="18"/>
          <w:color w:val="auto"/>
        </w:rPr>
        <w:t>for the three and six months ended June 30, 2020, increased primarily due to higher prepayment penalties related to debt</w:t>
      </w:r>
      <w:r>
        <w:rPr>
          <w:rFonts w:ascii="Arial" w:cs="Arial" w:eastAsia="Arial" w:hAnsi="Arial"/>
          <w:sz w:val="18"/>
          <w:szCs w:val="18"/>
          <w:i w:val="1"/>
          <w:iCs w:val="1"/>
          <w:color w:val="auto"/>
        </w:rPr>
        <w:t xml:space="preserve"> </w:t>
      </w:r>
      <w:r>
        <w:rPr>
          <w:rFonts w:ascii="Arial" w:cs="Arial" w:eastAsia="Arial" w:hAnsi="Arial"/>
          <w:sz w:val="18"/>
          <w:szCs w:val="18"/>
          <w:color w:val="auto"/>
        </w:rPr>
        <w:t>and financing activity as compared to the same period in 2019. Refer to Note 8, “Debt and Lines of Credit,” in our accompanying Consolidated Financial Statements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43" w:name="page44"/>
    <w:bookmarkEnd w:id="43"/>
    <w:p>
      <w:pPr>
        <w:jc w:val="center"/>
        <w:spacing w:after="0"/>
        <w:rPr>
          <w:sz w:val="20"/>
          <w:szCs w:val="20"/>
          <w:color w:val="auto"/>
        </w:rPr>
      </w:pPr>
      <w:r>
        <w:rPr>
          <w:rFonts w:ascii="Arial" w:cs="Arial" w:eastAsia="Arial" w:hAnsi="Arial"/>
          <w:sz w:val="18"/>
          <w:szCs w:val="18"/>
          <w:b w:val="1"/>
          <w:bCs w:val="1"/>
          <w:color w:val="auto"/>
        </w:rPr>
        <w:t>SUN COMMUNITIES, INC.</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Interest expense - </w:t>
      </w:r>
      <w:r>
        <w:rPr>
          <w:rFonts w:ascii="Arial" w:cs="Arial" w:eastAsia="Arial" w:hAnsi="Arial"/>
          <w:sz w:val="18"/>
          <w:szCs w:val="18"/>
          <w:color w:val="auto"/>
        </w:rPr>
        <w:t>for the three and six months ended June 30, 2020, decreased primarily due to lower prevailing interest rates and lower outstanding</w:t>
      </w:r>
      <w:r>
        <w:rPr>
          <w:rFonts w:ascii="Arial" w:cs="Arial" w:eastAsia="Arial" w:hAnsi="Arial"/>
          <w:sz w:val="18"/>
          <w:szCs w:val="18"/>
          <w:i w:val="1"/>
          <w:iCs w:val="1"/>
          <w:color w:val="auto"/>
        </w:rPr>
        <w:t xml:space="preserve"> </w:t>
      </w:r>
      <w:r>
        <w:rPr>
          <w:rFonts w:ascii="Arial" w:cs="Arial" w:eastAsia="Arial" w:hAnsi="Arial"/>
          <w:sz w:val="18"/>
          <w:szCs w:val="18"/>
          <w:color w:val="auto"/>
        </w:rPr>
        <w:t>balances on our lines of credit as compared to the same period in 2019. Refer to Note 8, “Debt and Lines of Credit,” of our accompanying Consolidated Financial Statements for additional information.</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Gain (loss) on remeasurement of marketable securities - </w:t>
      </w:r>
      <w:r>
        <w:rPr>
          <w:rFonts w:ascii="Arial" w:cs="Arial" w:eastAsia="Arial" w:hAnsi="Arial"/>
          <w:sz w:val="18"/>
          <w:szCs w:val="18"/>
          <w:color w:val="auto"/>
        </w:rPr>
        <w:t>for the three months ended June 30, 2020, was a $20.9 million gain, which represents the</w:t>
      </w:r>
      <w:r>
        <w:rPr>
          <w:rFonts w:ascii="Arial" w:cs="Arial" w:eastAsia="Arial" w:hAnsi="Arial"/>
          <w:sz w:val="18"/>
          <w:szCs w:val="18"/>
          <w:i w:val="1"/>
          <w:iCs w:val="1"/>
          <w:color w:val="auto"/>
        </w:rPr>
        <w:t xml:space="preserve"> </w:t>
      </w:r>
      <w:r>
        <w:rPr>
          <w:rFonts w:ascii="Arial" w:cs="Arial" w:eastAsia="Arial" w:hAnsi="Arial"/>
          <w:sz w:val="18"/>
          <w:szCs w:val="18"/>
          <w:color w:val="auto"/>
        </w:rPr>
        <w:t>remeasurement gain from our investment in marketable securities. For the six months ended June 30, 2020, there was an $8.0 million loss on remeasurement of marketable securities. Refer to Note 14, “Fair Value of Financial Instruments,” in our accompanying Consolidated Financial Statements for additional information.</w:t>
      </w:r>
    </w:p>
    <w:p>
      <w:pPr>
        <w:spacing w:after="0" w:line="21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Gain (loss) on foreign currency translation - </w:t>
      </w:r>
      <w:r>
        <w:rPr>
          <w:rFonts w:ascii="Arial" w:cs="Arial" w:eastAsia="Arial" w:hAnsi="Arial"/>
          <w:sz w:val="18"/>
          <w:szCs w:val="18"/>
          <w:color w:val="auto"/>
        </w:rPr>
        <w:t>for the three months ended June 30, 2020, was a $9.3 million gain as compared to the same period in 2019,</w:t>
      </w:r>
      <w:r>
        <w:rPr>
          <w:rFonts w:ascii="Arial" w:cs="Arial" w:eastAsia="Arial" w:hAnsi="Arial"/>
          <w:sz w:val="18"/>
          <w:szCs w:val="18"/>
          <w:i w:val="1"/>
          <w:iCs w:val="1"/>
          <w:color w:val="auto"/>
        </w:rPr>
        <w:t xml:space="preserve"> </w:t>
      </w:r>
      <w:r>
        <w:rPr>
          <w:rFonts w:ascii="Arial" w:cs="Arial" w:eastAsia="Arial" w:hAnsi="Arial"/>
          <w:sz w:val="18"/>
          <w:szCs w:val="18"/>
          <w:color w:val="auto"/>
        </w:rPr>
        <w:t>primarily due to the fluctuation in exchange rate on Canadian and Australian denominated currencies. For the six months ended June 30, 2020, there was a $10.2 million loss as compared to the same period in 2019.</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Gain (loss) on remeasurement of notes receivable - </w:t>
      </w:r>
      <w:r>
        <w:rPr>
          <w:rFonts w:ascii="Arial" w:cs="Arial" w:eastAsia="Arial" w:hAnsi="Arial"/>
          <w:sz w:val="18"/>
          <w:szCs w:val="18"/>
          <w:color w:val="auto"/>
        </w:rPr>
        <w:t>represents the adjustment of our in-house financing notes receivable portfolio, for which we elected the</w:t>
      </w:r>
      <w:r>
        <w:rPr>
          <w:rFonts w:ascii="Arial" w:cs="Arial" w:eastAsia="Arial" w:hAnsi="Arial"/>
          <w:sz w:val="18"/>
          <w:szCs w:val="18"/>
          <w:i w:val="1"/>
          <w:iCs w:val="1"/>
          <w:color w:val="auto"/>
        </w:rPr>
        <w:t xml:space="preserve"> </w:t>
      </w:r>
      <w:r>
        <w:rPr>
          <w:rFonts w:ascii="Arial" w:cs="Arial" w:eastAsia="Arial" w:hAnsi="Arial"/>
          <w:sz w:val="18"/>
          <w:szCs w:val="18"/>
          <w:color w:val="auto"/>
        </w:rPr>
        <w:t>fair value option on January 1, 2020. Refer to Note 4, “Notes and Other Receivables,” Note 14, “Fair Value of Financial instruments,” in our accompanying Consolidated Financial Statements for additional information.</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Gain (loss) on remeasurement of investment in nonconsolidated affiliates - </w:t>
      </w:r>
      <w:r>
        <w:rPr>
          <w:rFonts w:ascii="Arial" w:cs="Arial" w:eastAsia="Arial" w:hAnsi="Arial"/>
          <w:sz w:val="18"/>
          <w:szCs w:val="18"/>
          <w:color w:val="auto"/>
        </w:rPr>
        <w:t>represents the adjustment of our equity investment in GTSC, for which we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elected the fair value option on January 1, 2020. Refer to Note 6, </w:t>
      </w:r>
      <w:r>
        <w:rPr>
          <w:rFonts w:ascii="Arial" w:cs="Arial" w:eastAsia="Arial" w:hAnsi="Arial"/>
          <w:sz w:val="18"/>
          <w:szCs w:val="18"/>
          <w:b w:val="1"/>
          <w:bCs w:val="1"/>
          <w:color w:val="auto"/>
        </w:rPr>
        <w:t>“</w:t>
      </w:r>
      <w:r>
        <w:rPr>
          <w:rFonts w:ascii="Arial" w:cs="Arial" w:eastAsia="Arial" w:hAnsi="Arial"/>
          <w:sz w:val="18"/>
          <w:szCs w:val="18"/>
          <w:color w:val="auto"/>
        </w:rPr>
        <w:t>Investment in Nonconsolidated Affiliates,” in our accompanying Consolidated Financial Statements for additional information.</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Income attributable to noncontrolling interests - </w:t>
      </w:r>
      <w:r>
        <w:rPr>
          <w:rFonts w:ascii="Arial" w:cs="Arial" w:eastAsia="Arial" w:hAnsi="Arial"/>
          <w:sz w:val="18"/>
          <w:szCs w:val="18"/>
          <w:color w:val="auto"/>
        </w:rPr>
        <w:t>for the six months ended June 30, 2020, decreased primarily as a result of decreased performance in our</w:t>
      </w:r>
      <w:r>
        <w:rPr>
          <w:rFonts w:ascii="Arial" w:cs="Arial" w:eastAsia="Arial" w:hAnsi="Arial"/>
          <w:sz w:val="18"/>
          <w:szCs w:val="18"/>
          <w:i w:val="1"/>
          <w:iCs w:val="1"/>
          <w:color w:val="auto"/>
        </w:rPr>
        <w:t xml:space="preserve"> </w:t>
      </w:r>
      <w:r>
        <w:rPr>
          <w:rFonts w:ascii="Arial" w:cs="Arial" w:eastAsia="Arial" w:hAnsi="Arial"/>
          <w:sz w:val="18"/>
          <w:szCs w:val="18"/>
          <w:color w:val="auto"/>
        </w:rPr>
        <w:t>RV based joint ventures as compared to the same period in 2019. This decreased performance is attributable to the impact of COVID-19 on reservations at RV resorts.</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44" w:name="page45"/>
    <w:bookmarkEnd w:id="44"/>
    <w:p>
      <w:pPr>
        <w:jc w:val="center"/>
        <w:spacing w:after="0"/>
        <w:rPr>
          <w:sz w:val="20"/>
          <w:szCs w:val="20"/>
          <w:color w:val="auto"/>
        </w:rPr>
      </w:pPr>
      <w:r>
        <w:rPr>
          <w:rFonts w:ascii="Arial" w:cs="Arial" w:eastAsia="Arial" w:hAnsi="Arial"/>
          <w:sz w:val="18"/>
          <w:szCs w:val="18"/>
          <w:b w:val="1"/>
          <w:bCs w:val="1"/>
          <w:color w:val="auto"/>
        </w:rPr>
        <w:t>SUN COMMUNITIES, INC.</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 of Net Income Attributable to Sun Communities, Inc. Common Stockholders to FFO</w:t>
      </w:r>
    </w:p>
    <w:p>
      <w:pPr>
        <w:spacing w:after="0" w:line="256"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following table reconciles Net income attributable to Sun Communities, Inc. common stockholders to FFO for the three and six months ended June 30, 2020 and 2019 (in thousands, except per share amounts):</w:t>
      </w:r>
    </w:p>
    <w:p>
      <w:pPr>
        <w:sectPr>
          <w:pgSz w:w="11900" w:h="16838" w:orient="portrait"/>
          <w:cols w:equalWidth="0" w:num="1">
            <w:col w:w="11240"/>
          </w:cols>
          <w:pgMar w:left="320" w:top="36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Net Income Attributable to Sun Communities, Inc. Common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-123825</wp:posOffset>
            </wp:positionV>
            <wp:extent cx="7132320" cy="14541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28" w:lineRule="exact"/>
        <w:rPr>
          <w:sz w:val="20"/>
          <w:szCs w:val="20"/>
          <w:color w:val="auto"/>
        </w:rPr>
      </w:pPr>
    </w:p>
    <w:p>
      <w:pPr>
        <w:ind w:left="20"/>
        <w:spacing w:after="0"/>
        <w:rPr>
          <w:sz w:val="20"/>
          <w:szCs w:val="20"/>
          <w:color w:val="auto"/>
        </w:rPr>
      </w:pPr>
      <w:r>
        <w:rPr>
          <w:rFonts w:ascii="Arial" w:cs="Arial" w:eastAsia="Arial" w:hAnsi="Arial"/>
          <w:sz w:val="15"/>
          <w:szCs w:val="15"/>
          <w:color w:val="auto"/>
        </w:rPr>
        <w:t>Adjustments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7132320" cy="13716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4" w:lineRule="exact"/>
        <w:rPr>
          <w:sz w:val="20"/>
          <w:szCs w:val="20"/>
          <w:color w:val="auto"/>
        </w:rPr>
      </w:pPr>
    </w:p>
    <w:p>
      <w:pPr>
        <w:ind w:left="220"/>
        <w:spacing w:after="0"/>
        <w:rPr>
          <w:sz w:val="20"/>
          <w:szCs w:val="20"/>
          <w:color w:val="auto"/>
        </w:rPr>
      </w:pPr>
      <w:r>
        <w:rPr>
          <w:rFonts w:ascii="Arial" w:cs="Arial" w:eastAsia="Arial" w:hAnsi="Arial"/>
          <w:sz w:val="15"/>
          <w:szCs w:val="15"/>
          <w:color w:val="auto"/>
        </w:rPr>
        <w:t>Depreciation and amortization</w:t>
      </w:r>
    </w:p>
    <w:p>
      <w:pPr>
        <w:spacing w:after="0" w:line="44" w:lineRule="exact"/>
        <w:rPr>
          <w:sz w:val="20"/>
          <w:szCs w:val="20"/>
          <w:color w:val="auto"/>
        </w:rPr>
      </w:pPr>
    </w:p>
    <w:p>
      <w:pPr>
        <w:ind w:left="220"/>
        <w:spacing w:after="0"/>
        <w:rPr>
          <w:sz w:val="20"/>
          <w:szCs w:val="20"/>
          <w:color w:val="auto"/>
        </w:rPr>
      </w:pPr>
      <w:r>
        <w:rPr>
          <w:rFonts w:ascii="Arial" w:cs="Arial" w:eastAsia="Arial" w:hAnsi="Arial"/>
          <w:sz w:val="15"/>
          <w:szCs w:val="15"/>
          <w:color w:val="auto"/>
        </w:rPr>
        <w:t>Depreciation on nonconsolidated affiliates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7132320" cy="13716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4" w:lineRule="exact"/>
        <w:rPr>
          <w:sz w:val="20"/>
          <w:szCs w:val="20"/>
          <w:color w:val="auto"/>
        </w:rPr>
      </w:pPr>
    </w:p>
    <w:p>
      <w:pPr>
        <w:ind w:left="220"/>
        <w:spacing w:after="0"/>
        <w:rPr>
          <w:sz w:val="20"/>
          <w:szCs w:val="20"/>
          <w:color w:val="auto"/>
        </w:rPr>
      </w:pPr>
      <w:r>
        <w:rPr>
          <w:rFonts w:ascii="Arial" w:cs="Arial" w:eastAsia="Arial" w:hAnsi="Arial"/>
          <w:sz w:val="15"/>
          <w:szCs w:val="15"/>
          <w:color w:val="auto"/>
        </w:rPr>
        <w:t>(Gain) / loss on remeasurement of marketable securities</w:t>
      </w:r>
    </w:p>
    <w:p>
      <w:pPr>
        <w:spacing w:after="0" w:line="44" w:lineRule="exact"/>
        <w:rPr>
          <w:sz w:val="20"/>
          <w:szCs w:val="20"/>
          <w:color w:val="auto"/>
        </w:rPr>
      </w:pPr>
    </w:p>
    <w:p>
      <w:pPr>
        <w:ind w:left="220"/>
        <w:spacing w:after="0"/>
        <w:rPr>
          <w:sz w:val="20"/>
          <w:szCs w:val="20"/>
          <w:color w:val="auto"/>
        </w:rPr>
      </w:pPr>
      <w:r>
        <w:rPr>
          <w:rFonts w:ascii="Arial" w:cs="Arial" w:eastAsia="Arial" w:hAnsi="Arial"/>
          <w:sz w:val="15"/>
          <w:szCs w:val="15"/>
          <w:color w:val="auto"/>
        </w:rPr>
        <w:t>(Gain) / loss on remeasurement of investment in nonconsolidated affiliates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7132320" cy="13716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4" w:lineRule="exact"/>
        <w:rPr>
          <w:sz w:val="20"/>
          <w:szCs w:val="20"/>
          <w:color w:val="auto"/>
        </w:rPr>
      </w:pPr>
    </w:p>
    <w:p>
      <w:pPr>
        <w:ind w:left="220"/>
        <w:spacing w:after="0"/>
        <w:rPr>
          <w:sz w:val="20"/>
          <w:szCs w:val="20"/>
          <w:color w:val="auto"/>
        </w:rPr>
      </w:pPr>
      <w:r>
        <w:rPr>
          <w:rFonts w:ascii="Arial" w:cs="Arial" w:eastAsia="Arial" w:hAnsi="Arial"/>
          <w:sz w:val="15"/>
          <w:szCs w:val="15"/>
          <w:color w:val="auto"/>
        </w:rPr>
        <w:t>(Gain) / loss on remeasurement of notes receivable</w:t>
      </w:r>
    </w:p>
    <w:p>
      <w:pPr>
        <w:spacing w:after="0" w:line="44" w:lineRule="exact"/>
        <w:rPr>
          <w:sz w:val="20"/>
          <w:szCs w:val="20"/>
          <w:color w:val="auto"/>
        </w:rPr>
      </w:pPr>
    </w:p>
    <w:p>
      <w:pPr>
        <w:ind w:left="220"/>
        <w:spacing w:after="0"/>
        <w:rPr>
          <w:sz w:val="20"/>
          <w:szCs w:val="20"/>
          <w:color w:val="auto"/>
        </w:rPr>
      </w:pPr>
      <w:r>
        <w:rPr>
          <w:rFonts w:ascii="Arial" w:cs="Arial" w:eastAsia="Arial" w:hAnsi="Arial"/>
          <w:sz w:val="15"/>
          <w:szCs w:val="15"/>
          <w:color w:val="auto"/>
        </w:rPr>
        <w:t>Income attributable to noncontrolling interests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7132320" cy="13716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4" w:lineRule="exact"/>
        <w:rPr>
          <w:sz w:val="20"/>
          <w:szCs w:val="20"/>
          <w:color w:val="auto"/>
        </w:rPr>
      </w:pPr>
    </w:p>
    <w:p>
      <w:pPr>
        <w:ind w:left="220"/>
        <w:spacing w:after="0"/>
        <w:rPr>
          <w:sz w:val="20"/>
          <w:szCs w:val="20"/>
          <w:color w:val="auto"/>
        </w:rPr>
      </w:pPr>
      <w:r>
        <w:rPr>
          <w:rFonts w:ascii="Arial" w:cs="Arial" w:eastAsia="Arial" w:hAnsi="Arial"/>
          <w:sz w:val="15"/>
          <w:szCs w:val="15"/>
          <w:color w:val="auto"/>
        </w:rPr>
        <w:t>Preferred return to preferred OP units</w:t>
      </w:r>
    </w:p>
    <w:p>
      <w:pPr>
        <w:spacing w:after="0" w:line="44" w:lineRule="exact"/>
        <w:rPr>
          <w:sz w:val="20"/>
          <w:szCs w:val="20"/>
          <w:color w:val="auto"/>
        </w:rPr>
      </w:pPr>
    </w:p>
    <w:p>
      <w:pPr>
        <w:ind w:left="220"/>
        <w:spacing w:after="0"/>
        <w:rPr>
          <w:sz w:val="20"/>
          <w:szCs w:val="20"/>
          <w:color w:val="auto"/>
        </w:rPr>
      </w:pPr>
      <w:r>
        <w:rPr>
          <w:rFonts w:ascii="Arial" w:cs="Arial" w:eastAsia="Arial" w:hAnsi="Arial"/>
          <w:sz w:val="15"/>
          <w:szCs w:val="15"/>
          <w:color w:val="auto"/>
        </w:rPr>
        <w:t>Preferred distribution to Series A-4 preferred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7132320" cy="13716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4" w:lineRule="exact"/>
        <w:rPr>
          <w:sz w:val="20"/>
          <w:szCs w:val="20"/>
          <w:color w:val="auto"/>
        </w:rPr>
      </w:pPr>
    </w:p>
    <w:p>
      <w:pPr>
        <w:ind w:left="220"/>
        <w:spacing w:after="0"/>
        <w:rPr>
          <w:sz w:val="20"/>
          <w:szCs w:val="20"/>
          <w:color w:val="auto"/>
        </w:rPr>
      </w:pPr>
      <w:r>
        <w:rPr>
          <w:rFonts w:ascii="Arial" w:cs="Arial" w:eastAsia="Arial" w:hAnsi="Arial"/>
          <w:sz w:val="15"/>
          <w:szCs w:val="15"/>
          <w:color w:val="auto"/>
        </w:rPr>
        <w:t>Gain on disposition of assets, net</w:t>
      </w:r>
    </w:p>
    <w:p>
      <w:pPr>
        <w:spacing w:after="0" w:line="26" w:lineRule="exact"/>
        <w:rPr>
          <w:sz w:val="20"/>
          <w:szCs w:val="20"/>
          <w:color w:val="auto"/>
        </w:rPr>
      </w:pPr>
    </w:p>
    <w:p>
      <w:pPr>
        <w:ind w:left="20" w:right="360"/>
        <w:spacing w:after="0" w:line="242" w:lineRule="auto"/>
        <w:rPr>
          <w:sz w:val="20"/>
          <w:szCs w:val="20"/>
          <w:color w:val="auto"/>
        </w:rPr>
      </w:pPr>
      <w:r>
        <w:rPr>
          <w:rFonts w:ascii="Arial" w:cs="Arial" w:eastAsia="Arial" w:hAnsi="Arial"/>
          <w:sz w:val="15"/>
          <w:szCs w:val="15"/>
          <w:b w:val="1"/>
          <w:bCs w:val="1"/>
          <w:color w:val="auto"/>
        </w:rPr>
        <w:t xml:space="preserve">FFO Attributable To Sun Communities, Inc. Common Stockholders And Dilutive Convertible Securities </w:t>
      </w:r>
      <w:r>
        <w:rPr>
          <w:rFonts w:ascii="Arial" w:cs="Arial" w:eastAsia="Arial" w:hAnsi="Arial"/>
          <w:sz w:val="9"/>
          <w:szCs w:val="9"/>
          <w:b w:val="1"/>
          <w:bCs w:val="1"/>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7132320" cy="13716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44" w:lineRule="exact"/>
        <w:rPr>
          <w:sz w:val="20"/>
          <w:szCs w:val="20"/>
          <w:color w:val="auto"/>
        </w:rPr>
      </w:pPr>
    </w:p>
    <w:p>
      <w:pPr>
        <w:ind w:left="20"/>
        <w:spacing w:after="0"/>
        <w:rPr>
          <w:sz w:val="20"/>
          <w:szCs w:val="20"/>
          <w:color w:val="auto"/>
        </w:rPr>
      </w:pPr>
      <w:r>
        <w:rPr>
          <w:rFonts w:ascii="Arial" w:cs="Arial" w:eastAsia="Arial" w:hAnsi="Arial"/>
          <w:sz w:val="15"/>
          <w:szCs w:val="15"/>
          <w:color w:val="auto"/>
        </w:rPr>
        <w:t>Adjustments</w:t>
      </w:r>
    </w:p>
    <w:p>
      <w:pPr>
        <w:spacing w:after="0" w:line="44" w:lineRule="exact"/>
        <w:rPr>
          <w:sz w:val="20"/>
          <w:szCs w:val="20"/>
          <w:color w:val="auto"/>
        </w:rPr>
      </w:pPr>
    </w:p>
    <w:p>
      <w:pPr>
        <w:ind w:left="220"/>
        <w:spacing w:after="0"/>
        <w:rPr>
          <w:sz w:val="20"/>
          <w:szCs w:val="20"/>
          <w:color w:val="auto"/>
        </w:rPr>
      </w:pPr>
      <w:r>
        <w:rPr>
          <w:rFonts w:ascii="Arial" w:cs="Arial" w:eastAsia="Arial" w:hAnsi="Arial"/>
          <w:sz w:val="15"/>
          <w:szCs w:val="15"/>
          <w:color w:val="auto"/>
        </w:rPr>
        <w:t xml:space="preserve">Other acquisition related costs </w:t>
      </w:r>
      <w:r>
        <w:rPr>
          <w:rFonts w:ascii="Arial" w:cs="Arial" w:eastAsia="Arial" w:hAnsi="Arial"/>
          <w:sz w:val="9"/>
          <w:szCs w:val="9"/>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7132320" cy="13716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4" w:lineRule="exact"/>
        <w:rPr>
          <w:sz w:val="20"/>
          <w:szCs w:val="20"/>
          <w:color w:val="auto"/>
        </w:rPr>
      </w:pPr>
    </w:p>
    <w:p>
      <w:pPr>
        <w:ind w:left="220"/>
        <w:spacing w:after="0"/>
        <w:rPr>
          <w:sz w:val="20"/>
          <w:szCs w:val="20"/>
          <w:color w:val="auto"/>
        </w:rPr>
      </w:pPr>
      <w:r>
        <w:rPr>
          <w:rFonts w:ascii="Arial" w:cs="Arial" w:eastAsia="Arial" w:hAnsi="Arial"/>
          <w:sz w:val="15"/>
          <w:szCs w:val="15"/>
          <w:color w:val="auto"/>
        </w:rPr>
        <w:t>Loss on extinguishment of debt</w:t>
      </w:r>
    </w:p>
    <w:p>
      <w:pPr>
        <w:spacing w:after="0" w:line="44" w:lineRule="exact"/>
        <w:rPr>
          <w:sz w:val="20"/>
          <w:szCs w:val="20"/>
          <w:color w:val="auto"/>
        </w:rPr>
      </w:pPr>
    </w:p>
    <w:p>
      <w:pPr>
        <w:ind w:left="220"/>
        <w:spacing w:after="0"/>
        <w:rPr>
          <w:sz w:val="20"/>
          <w:szCs w:val="20"/>
          <w:color w:val="auto"/>
        </w:rPr>
      </w:pPr>
      <w:r>
        <w:rPr>
          <w:rFonts w:ascii="Arial" w:cs="Arial" w:eastAsia="Arial" w:hAnsi="Arial"/>
          <w:sz w:val="15"/>
          <w:szCs w:val="15"/>
          <w:color w:val="auto"/>
        </w:rPr>
        <w:t>Catastrophic weather-related charges,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7132320" cy="13716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4" w:lineRule="exact"/>
        <w:rPr>
          <w:sz w:val="20"/>
          <w:szCs w:val="20"/>
          <w:color w:val="auto"/>
        </w:rPr>
      </w:pPr>
    </w:p>
    <w:p>
      <w:pPr>
        <w:ind w:left="220"/>
        <w:spacing w:after="0"/>
        <w:rPr>
          <w:sz w:val="20"/>
          <w:szCs w:val="20"/>
          <w:color w:val="auto"/>
        </w:rPr>
      </w:pPr>
      <w:r>
        <w:rPr>
          <w:rFonts w:ascii="Arial" w:cs="Arial" w:eastAsia="Arial" w:hAnsi="Arial"/>
          <w:sz w:val="15"/>
          <w:szCs w:val="15"/>
          <w:color w:val="auto"/>
        </w:rPr>
        <w:t xml:space="preserve">Loss of earnings - catastrophic weather related </w:t>
      </w:r>
      <w:r>
        <w:rPr>
          <w:rFonts w:ascii="Arial" w:cs="Arial" w:eastAsia="Arial" w:hAnsi="Arial"/>
          <w:sz w:val="9"/>
          <w:szCs w:val="9"/>
          <w:color w:val="auto"/>
        </w:rPr>
        <w:t>(3)</w:t>
      </w:r>
    </w:p>
    <w:p>
      <w:pPr>
        <w:spacing w:after="0" w:line="44" w:lineRule="exact"/>
        <w:rPr>
          <w:sz w:val="20"/>
          <w:szCs w:val="20"/>
          <w:color w:val="auto"/>
        </w:rPr>
      </w:pPr>
    </w:p>
    <w:p>
      <w:pPr>
        <w:ind w:left="220"/>
        <w:spacing w:after="0"/>
        <w:rPr>
          <w:sz w:val="20"/>
          <w:szCs w:val="20"/>
          <w:color w:val="auto"/>
        </w:rPr>
      </w:pPr>
      <w:r>
        <w:rPr>
          <w:rFonts w:ascii="Arial" w:cs="Arial" w:eastAsia="Arial" w:hAnsi="Arial"/>
          <w:sz w:val="15"/>
          <w:szCs w:val="15"/>
          <w:color w:val="auto"/>
        </w:rPr>
        <w:t>(Gain) / loss on foreign currency translation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7132320" cy="13716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4" w:lineRule="exact"/>
        <w:rPr>
          <w:sz w:val="20"/>
          <w:szCs w:val="20"/>
          <w:color w:val="auto"/>
        </w:rPr>
      </w:pPr>
    </w:p>
    <w:p>
      <w:pPr>
        <w:ind w:left="220"/>
        <w:spacing w:after="0"/>
        <w:rPr>
          <w:sz w:val="20"/>
          <w:szCs w:val="20"/>
          <w:color w:val="auto"/>
        </w:rPr>
      </w:pPr>
      <w:r>
        <w:rPr>
          <w:rFonts w:ascii="Arial" w:cs="Arial" w:eastAsia="Arial" w:hAnsi="Arial"/>
          <w:sz w:val="15"/>
          <w:szCs w:val="15"/>
          <w:color w:val="auto"/>
        </w:rPr>
        <w:t>Other expense, net</w:t>
      </w:r>
    </w:p>
    <w:p>
      <w:pPr>
        <w:spacing w:after="0" w:line="44" w:lineRule="exact"/>
        <w:rPr>
          <w:sz w:val="20"/>
          <w:szCs w:val="20"/>
          <w:color w:val="auto"/>
        </w:rPr>
      </w:pPr>
    </w:p>
    <w:p>
      <w:pPr>
        <w:ind w:left="220"/>
        <w:spacing w:after="0"/>
        <w:rPr>
          <w:sz w:val="20"/>
          <w:szCs w:val="20"/>
          <w:color w:val="auto"/>
        </w:rPr>
      </w:pPr>
      <w:r>
        <w:rPr>
          <w:rFonts w:ascii="Arial" w:cs="Arial" w:eastAsia="Arial" w:hAnsi="Arial"/>
          <w:sz w:val="15"/>
          <w:szCs w:val="15"/>
          <w:color w:val="auto"/>
        </w:rPr>
        <w:t xml:space="preserve">Other adjustments </w:t>
      </w:r>
      <w:r>
        <w:rPr>
          <w:rFonts w:ascii="Arial" w:cs="Arial" w:eastAsia="Arial" w:hAnsi="Arial"/>
          <w:sz w:val="9"/>
          <w:szCs w:val="9"/>
          <w:color w:val="auto"/>
        </w:rPr>
        <w:t>(4)</w:t>
      </w:r>
    </w:p>
    <w:p>
      <w:pPr>
        <w:spacing w:after="0" w:line="26" w:lineRule="exact"/>
        <w:rPr>
          <w:sz w:val="20"/>
          <w:szCs w:val="20"/>
          <w:color w:val="auto"/>
        </w:rPr>
      </w:pPr>
    </w:p>
    <w:p>
      <w:pPr>
        <w:ind w:left="20"/>
        <w:spacing w:after="0" w:line="242" w:lineRule="auto"/>
        <w:rPr>
          <w:sz w:val="20"/>
          <w:szCs w:val="20"/>
          <w:color w:val="auto"/>
        </w:rPr>
      </w:pPr>
      <w:r>
        <w:rPr>
          <w:rFonts w:ascii="Arial" w:cs="Arial" w:eastAsia="Arial" w:hAnsi="Arial"/>
          <w:sz w:val="15"/>
          <w:szCs w:val="15"/>
          <w:b w:val="1"/>
          <w:bCs w:val="1"/>
          <w:color w:val="auto"/>
        </w:rPr>
        <w:t>Core FFO Attributable To Sun Communities, Inc. Common Stockholders And Dilutive Convertible</w:t>
      </w:r>
      <w:r>
        <w:rPr>
          <w:rFonts w:ascii="Arial" w:cs="Arial" w:eastAsia="Arial" w:hAnsi="Arial"/>
          <w:sz w:val="9"/>
          <w:szCs w:val="9"/>
          <w:b w:val="1"/>
          <w:bCs w:val="1"/>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-217805</wp:posOffset>
            </wp:positionV>
            <wp:extent cx="7132320" cy="22288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2228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13716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17" w:lineRule="exact"/>
        <w:rPr>
          <w:sz w:val="20"/>
          <w:szCs w:val="20"/>
          <w:color w:val="auto"/>
        </w:rPr>
      </w:pPr>
    </w:p>
    <w:p>
      <w:pPr>
        <w:ind w:left="20"/>
        <w:spacing w:after="0"/>
        <w:rPr>
          <w:sz w:val="20"/>
          <w:szCs w:val="20"/>
          <w:color w:val="auto"/>
        </w:rPr>
      </w:pPr>
      <w:r>
        <w:rPr>
          <w:rFonts w:ascii="Arial" w:cs="Arial" w:eastAsia="Arial" w:hAnsi="Arial"/>
          <w:sz w:val="15"/>
          <w:szCs w:val="15"/>
          <w:color w:val="auto"/>
        </w:rPr>
        <w:t>Weighted average common shares outstanding - basic</w:t>
      </w:r>
    </w:p>
    <w:p>
      <w:pPr>
        <w:spacing w:after="0" w:line="44" w:lineRule="exact"/>
        <w:rPr>
          <w:sz w:val="20"/>
          <w:szCs w:val="20"/>
          <w:color w:val="auto"/>
        </w:rPr>
      </w:pPr>
    </w:p>
    <w:p>
      <w:pPr>
        <w:ind w:left="20"/>
        <w:spacing w:after="0"/>
        <w:rPr>
          <w:sz w:val="20"/>
          <w:szCs w:val="20"/>
          <w:color w:val="auto"/>
        </w:rPr>
      </w:pPr>
      <w:r>
        <w:rPr>
          <w:rFonts w:ascii="Arial" w:cs="Arial" w:eastAsia="Arial" w:hAnsi="Arial"/>
          <w:sz w:val="15"/>
          <w:szCs w:val="15"/>
          <w:color w:val="auto"/>
        </w:rPr>
        <w:t>Add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7132320" cy="13716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4" w:lineRule="exact"/>
        <w:rPr>
          <w:sz w:val="20"/>
          <w:szCs w:val="20"/>
          <w:color w:val="auto"/>
        </w:rPr>
      </w:pPr>
    </w:p>
    <w:p>
      <w:pPr>
        <w:ind w:left="220"/>
        <w:spacing w:after="0"/>
        <w:rPr>
          <w:sz w:val="20"/>
          <w:szCs w:val="20"/>
          <w:color w:val="auto"/>
        </w:rPr>
      </w:pPr>
      <w:r>
        <w:rPr>
          <w:rFonts w:ascii="Arial" w:cs="Arial" w:eastAsia="Arial" w:hAnsi="Arial"/>
          <w:sz w:val="15"/>
          <w:szCs w:val="15"/>
          <w:color w:val="auto"/>
        </w:rPr>
        <w:t>Common OP units</w:t>
      </w:r>
    </w:p>
    <w:p>
      <w:pPr>
        <w:spacing w:after="0" w:line="44" w:lineRule="exact"/>
        <w:rPr>
          <w:sz w:val="20"/>
          <w:szCs w:val="20"/>
          <w:color w:val="auto"/>
        </w:rPr>
      </w:pPr>
    </w:p>
    <w:p>
      <w:pPr>
        <w:ind w:left="220"/>
        <w:spacing w:after="0"/>
        <w:rPr>
          <w:sz w:val="20"/>
          <w:szCs w:val="20"/>
          <w:color w:val="auto"/>
        </w:rPr>
      </w:pPr>
      <w:r>
        <w:rPr>
          <w:rFonts w:ascii="Arial" w:cs="Arial" w:eastAsia="Arial" w:hAnsi="Arial"/>
          <w:sz w:val="15"/>
          <w:szCs w:val="15"/>
          <w:color w:val="auto"/>
        </w:rPr>
        <w:t>Common stock issuable upon conversion of stock 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7132320" cy="13716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4" w:lineRule="exact"/>
        <w:rPr>
          <w:sz w:val="20"/>
          <w:szCs w:val="20"/>
          <w:color w:val="auto"/>
        </w:rPr>
      </w:pPr>
    </w:p>
    <w:p>
      <w:pPr>
        <w:ind w:left="220"/>
        <w:spacing w:after="0"/>
        <w:rPr>
          <w:sz w:val="20"/>
          <w:szCs w:val="20"/>
          <w:color w:val="auto"/>
        </w:rPr>
      </w:pPr>
      <w:r>
        <w:rPr>
          <w:rFonts w:ascii="Arial" w:cs="Arial" w:eastAsia="Arial" w:hAnsi="Arial"/>
          <w:sz w:val="15"/>
          <w:szCs w:val="15"/>
          <w:color w:val="auto"/>
        </w:rPr>
        <w:t>Restricted stock</w:t>
      </w:r>
    </w:p>
    <w:p>
      <w:pPr>
        <w:spacing w:after="0" w:line="44" w:lineRule="exact"/>
        <w:rPr>
          <w:sz w:val="20"/>
          <w:szCs w:val="20"/>
          <w:color w:val="auto"/>
        </w:rPr>
      </w:pPr>
    </w:p>
    <w:p>
      <w:pPr>
        <w:ind w:left="220"/>
        <w:spacing w:after="0"/>
        <w:rPr>
          <w:sz w:val="20"/>
          <w:szCs w:val="20"/>
          <w:color w:val="auto"/>
        </w:rPr>
      </w:pPr>
      <w:r>
        <w:rPr>
          <w:rFonts w:ascii="Arial" w:cs="Arial" w:eastAsia="Arial" w:hAnsi="Arial"/>
          <w:sz w:val="15"/>
          <w:szCs w:val="15"/>
          <w:color w:val="auto"/>
        </w:rPr>
        <w:t>Common stock issuable upon conversion of Series A-3 preferred OP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7132320" cy="13716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4" w:lineRule="exact"/>
        <w:rPr>
          <w:sz w:val="20"/>
          <w:szCs w:val="20"/>
          <w:color w:val="auto"/>
        </w:rPr>
      </w:pPr>
    </w:p>
    <w:p>
      <w:pPr>
        <w:ind w:left="220"/>
        <w:spacing w:after="0"/>
        <w:rPr>
          <w:sz w:val="20"/>
          <w:szCs w:val="20"/>
          <w:color w:val="auto"/>
        </w:rPr>
      </w:pPr>
      <w:r>
        <w:rPr>
          <w:rFonts w:ascii="Arial" w:cs="Arial" w:eastAsia="Arial" w:hAnsi="Arial"/>
          <w:sz w:val="15"/>
          <w:szCs w:val="15"/>
          <w:color w:val="auto"/>
        </w:rPr>
        <w:t>Common stock issuable upon conversion of Series A-1 preferred OP units</w:t>
      </w:r>
    </w:p>
    <w:p>
      <w:pPr>
        <w:spacing w:after="0" w:line="44" w:lineRule="exact"/>
        <w:rPr>
          <w:sz w:val="20"/>
          <w:szCs w:val="20"/>
          <w:color w:val="auto"/>
        </w:rPr>
      </w:pPr>
    </w:p>
    <w:p>
      <w:pPr>
        <w:ind w:left="220"/>
        <w:spacing w:after="0"/>
        <w:rPr>
          <w:sz w:val="20"/>
          <w:szCs w:val="20"/>
          <w:color w:val="auto"/>
        </w:rPr>
      </w:pPr>
      <w:r>
        <w:rPr>
          <w:rFonts w:ascii="Arial" w:cs="Arial" w:eastAsia="Arial" w:hAnsi="Arial"/>
          <w:sz w:val="15"/>
          <w:szCs w:val="15"/>
          <w:color w:val="auto"/>
        </w:rPr>
        <w:t>Common stock issuable upon conversion of Series A-4 preferred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7132320" cy="16319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60"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Weighted Average Common Shares Outstanding - Fully Diluted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7132320" cy="24003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240030"/>
                    </a:xfrm>
                    <a:prstGeom prst="rect">
                      <a:avLst/>
                    </a:prstGeom>
                    <a:noFill/>
                  </pic:spPr>
                </pic:pic>
              </a:graphicData>
            </a:graphic>
          </wp:anchor>
        </w:drawing>
      </w:r>
    </w:p>
    <w:p>
      <w:pPr>
        <w:spacing w:after="0" w:line="240" w:lineRule="exact"/>
        <w:rPr>
          <w:sz w:val="20"/>
          <w:szCs w:val="20"/>
          <w:color w:val="auto"/>
        </w:rPr>
      </w:pPr>
    </w:p>
    <w:p>
      <w:pPr>
        <w:ind w:left="20" w:right="360"/>
        <w:spacing w:after="0" w:line="261" w:lineRule="auto"/>
        <w:rPr>
          <w:sz w:val="20"/>
          <w:szCs w:val="20"/>
          <w:color w:val="auto"/>
        </w:rPr>
      </w:pPr>
      <w:r>
        <w:rPr>
          <w:rFonts w:ascii="Arial" w:cs="Arial" w:eastAsia="Arial" w:hAnsi="Arial"/>
          <w:sz w:val="15"/>
          <w:szCs w:val="15"/>
          <w:b w:val="1"/>
          <w:bCs w:val="1"/>
          <w:color w:val="auto"/>
        </w:rPr>
        <w:t>FFO Attributable To Sun Communities, Inc. Common Stockholders And Dilutive Convertible Securities Per Share - Fully Diluted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7132320" cy="24003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240030"/>
                    </a:xfrm>
                    <a:prstGeom prst="rect">
                      <a:avLst/>
                    </a:prstGeom>
                    <a:noFill/>
                  </pic:spPr>
                </pic:pic>
              </a:graphicData>
            </a:graphic>
          </wp:anchor>
        </w:drawing>
      </w:r>
    </w:p>
    <w:p>
      <w:pPr>
        <w:spacing w:after="0" w:line="199" w:lineRule="exact"/>
        <w:rPr>
          <w:sz w:val="20"/>
          <w:szCs w:val="20"/>
          <w:color w:val="auto"/>
        </w:rPr>
      </w:pPr>
    </w:p>
    <w:p>
      <w:pPr>
        <w:ind w:left="20"/>
        <w:spacing w:after="0" w:line="261" w:lineRule="auto"/>
        <w:rPr>
          <w:sz w:val="20"/>
          <w:szCs w:val="20"/>
          <w:color w:val="auto"/>
        </w:rPr>
      </w:pPr>
      <w:r>
        <w:rPr>
          <w:rFonts w:ascii="Arial" w:cs="Arial" w:eastAsia="Arial" w:hAnsi="Arial"/>
          <w:sz w:val="15"/>
          <w:szCs w:val="15"/>
          <w:b w:val="1"/>
          <w:bCs w:val="1"/>
          <w:color w:val="auto"/>
        </w:rPr>
        <w:t>Core FFO Attributable To Sun Communities, Inc. Common Stockholders And Dilutive Convertible Securities Per Share - Fully Diluted</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2"/>
        </w:trPr>
        <w:tc>
          <w:tcPr>
            <w:tcW w:w="120" w:type="dxa"/>
            <w:vAlign w:val="bottom"/>
            <w:tcBorders>
              <w:bottom w:val="single" w:sz="8" w:color="auto"/>
            </w:tcBorders>
          </w:tcPr>
          <w:p>
            <w:pPr>
              <w:spacing w:after="0"/>
              <w:rPr>
                <w:sz w:val="17"/>
                <w:szCs w:val="17"/>
                <w:color w:val="auto"/>
              </w:rPr>
            </w:pPr>
          </w:p>
        </w:tc>
        <w:tc>
          <w:tcPr>
            <w:tcW w:w="2360" w:type="dxa"/>
            <w:vAlign w:val="bottom"/>
            <w:tcBorders>
              <w:bottom w:val="single" w:sz="8" w:color="auto"/>
            </w:tcBorders>
            <w:gridSpan w:val="4"/>
          </w:tcPr>
          <w:p>
            <w:pPr>
              <w:jc w:val="right"/>
              <w:ind w:right="464"/>
              <w:spacing w:after="0"/>
              <w:rPr>
                <w:sz w:val="20"/>
                <w:szCs w:val="20"/>
                <w:color w:val="auto"/>
              </w:rPr>
            </w:pPr>
            <w:r>
              <w:rPr>
                <w:rFonts w:ascii="Arial" w:cs="Arial" w:eastAsia="Arial" w:hAnsi="Arial"/>
                <w:sz w:val="15"/>
                <w:szCs w:val="15"/>
                <w:b w:val="1"/>
                <w:bCs w:val="1"/>
                <w:color w:val="auto"/>
              </w:rPr>
              <w:t>Three Months Ended</w:t>
            </w:r>
          </w:p>
        </w:tc>
        <w:tc>
          <w:tcPr>
            <w:tcW w:w="2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360" w:type="dxa"/>
            <w:vAlign w:val="bottom"/>
            <w:tcBorders>
              <w:bottom w:val="single" w:sz="8" w:color="auto"/>
            </w:tcBorders>
            <w:gridSpan w:val="4"/>
          </w:tcPr>
          <w:p>
            <w:pPr>
              <w:ind w:left="520"/>
              <w:spacing w:after="0"/>
              <w:rPr>
                <w:sz w:val="20"/>
                <w:szCs w:val="20"/>
                <w:color w:val="auto"/>
              </w:rPr>
            </w:pPr>
            <w:r>
              <w:rPr>
                <w:rFonts w:ascii="Arial" w:cs="Arial" w:eastAsia="Arial" w:hAnsi="Arial"/>
                <w:sz w:val="15"/>
                <w:szCs w:val="15"/>
                <w:b w:val="1"/>
                <w:bCs w:val="1"/>
                <w:color w:val="auto"/>
              </w:rPr>
              <w:t>Six Months Ended</w:t>
            </w:r>
          </w:p>
        </w:tc>
      </w:tr>
      <w:tr>
        <w:trPr>
          <w:trHeight w:val="210"/>
        </w:trPr>
        <w:tc>
          <w:tcPr>
            <w:tcW w:w="120" w:type="dxa"/>
            <w:vAlign w:val="bottom"/>
          </w:tcPr>
          <w:p>
            <w:pPr>
              <w:spacing w:after="0"/>
              <w:rPr>
                <w:sz w:val="18"/>
                <w:szCs w:val="18"/>
                <w:color w:val="auto"/>
              </w:rPr>
            </w:pPr>
          </w:p>
        </w:tc>
        <w:tc>
          <w:tcPr>
            <w:tcW w:w="1180" w:type="dxa"/>
            <w:vAlign w:val="bottom"/>
            <w:gridSpan w:val="2"/>
          </w:tcPr>
          <w:p>
            <w:pPr>
              <w:ind w:left="40"/>
              <w:spacing w:after="0"/>
              <w:rPr>
                <w:sz w:val="20"/>
                <w:szCs w:val="20"/>
                <w:color w:val="auto"/>
              </w:rPr>
            </w:pPr>
            <w:r>
              <w:rPr>
                <w:rFonts w:ascii="Arial" w:cs="Arial" w:eastAsia="Arial" w:hAnsi="Arial"/>
                <w:sz w:val="15"/>
                <w:szCs w:val="15"/>
                <w:b w:val="1"/>
                <w:bCs w:val="1"/>
                <w:color w:val="auto"/>
              </w:rPr>
              <w:t>June 30, 2020</w:t>
            </w:r>
          </w:p>
        </w:tc>
        <w:tc>
          <w:tcPr>
            <w:tcW w:w="120" w:type="dxa"/>
            <w:vAlign w:val="bottom"/>
          </w:tcPr>
          <w:p>
            <w:pPr>
              <w:spacing w:after="0"/>
              <w:rPr>
                <w:sz w:val="18"/>
                <w:szCs w:val="18"/>
                <w:color w:val="auto"/>
              </w:rPr>
            </w:pPr>
          </w:p>
        </w:tc>
        <w:tc>
          <w:tcPr>
            <w:tcW w:w="1300" w:type="dxa"/>
            <w:vAlign w:val="bottom"/>
            <w:gridSpan w:val="2"/>
          </w:tcPr>
          <w:p>
            <w:pPr>
              <w:ind w:left="20"/>
              <w:spacing w:after="0"/>
              <w:rPr>
                <w:sz w:val="20"/>
                <w:szCs w:val="20"/>
                <w:color w:val="auto"/>
              </w:rPr>
            </w:pPr>
            <w:r>
              <w:rPr>
                <w:rFonts w:ascii="Arial" w:cs="Arial" w:eastAsia="Arial" w:hAnsi="Arial"/>
                <w:sz w:val="15"/>
                <w:szCs w:val="15"/>
                <w:b w:val="1"/>
                <w:bCs w:val="1"/>
                <w:color w:val="auto"/>
              </w:rPr>
              <w:t>June 30, 2019</w:t>
            </w:r>
          </w:p>
        </w:tc>
        <w:tc>
          <w:tcPr>
            <w:tcW w:w="120" w:type="dxa"/>
            <w:vAlign w:val="bottom"/>
          </w:tcPr>
          <w:p>
            <w:pPr>
              <w:spacing w:after="0"/>
              <w:rPr>
                <w:sz w:val="18"/>
                <w:szCs w:val="18"/>
                <w:color w:val="auto"/>
              </w:rPr>
            </w:pPr>
          </w:p>
        </w:tc>
        <w:tc>
          <w:tcPr>
            <w:tcW w:w="1180" w:type="dxa"/>
            <w:vAlign w:val="bottom"/>
            <w:gridSpan w:val="2"/>
          </w:tcPr>
          <w:p>
            <w:pPr>
              <w:ind w:left="20"/>
              <w:spacing w:after="0"/>
              <w:rPr>
                <w:sz w:val="20"/>
                <w:szCs w:val="20"/>
                <w:color w:val="auto"/>
              </w:rPr>
            </w:pPr>
            <w:r>
              <w:rPr>
                <w:rFonts w:ascii="Arial" w:cs="Arial" w:eastAsia="Arial" w:hAnsi="Arial"/>
                <w:sz w:val="15"/>
                <w:szCs w:val="15"/>
                <w:b w:val="1"/>
                <w:bCs w:val="1"/>
                <w:color w:val="auto"/>
              </w:rPr>
              <w:t>June 30, 2020</w:t>
            </w:r>
          </w:p>
        </w:tc>
        <w:tc>
          <w:tcPr>
            <w:tcW w:w="120" w:type="dxa"/>
            <w:vAlign w:val="bottom"/>
          </w:tcPr>
          <w:p>
            <w:pPr>
              <w:spacing w:after="0"/>
              <w:rPr>
                <w:sz w:val="18"/>
                <w:szCs w:val="18"/>
                <w:color w:val="auto"/>
              </w:rPr>
            </w:pPr>
          </w:p>
        </w:tc>
        <w:tc>
          <w:tcPr>
            <w:tcW w:w="1060" w:type="dxa"/>
            <w:vAlign w:val="bottom"/>
          </w:tcPr>
          <w:p>
            <w:pPr>
              <w:jc w:val="right"/>
              <w:ind w:right="64"/>
              <w:spacing w:after="0"/>
              <w:rPr>
                <w:sz w:val="20"/>
                <w:szCs w:val="20"/>
                <w:color w:val="auto"/>
              </w:rPr>
            </w:pPr>
            <w:r>
              <w:rPr>
                <w:rFonts w:ascii="Arial" w:cs="Arial" w:eastAsia="Arial" w:hAnsi="Arial"/>
                <w:sz w:val="15"/>
                <w:szCs w:val="15"/>
                <w:b w:val="1"/>
                <w:bCs w:val="1"/>
                <w:color w:val="auto"/>
                <w:w w:val="92"/>
              </w:rPr>
              <w:t>June 30, 2019</w:t>
            </w:r>
          </w:p>
        </w:tc>
      </w:tr>
      <w:tr>
        <w:trPr>
          <w:trHeight w:val="205"/>
        </w:trPr>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080" w:type="dxa"/>
            <w:vAlign w:val="bottom"/>
            <w:tcBorders>
              <w:top w:val="single" w:sz="8" w:color="auto"/>
            </w:tcBorders>
          </w:tcPr>
          <w:p>
            <w:pPr>
              <w:jc w:val="right"/>
              <w:ind w:right="84"/>
              <w:spacing w:after="0"/>
              <w:rPr>
                <w:sz w:val="20"/>
                <w:szCs w:val="20"/>
                <w:color w:val="auto"/>
              </w:rPr>
            </w:pPr>
            <w:r>
              <w:rPr>
                <w:rFonts w:ascii="Arial" w:cs="Arial" w:eastAsia="Arial" w:hAnsi="Arial"/>
                <w:sz w:val="15"/>
                <w:szCs w:val="15"/>
                <w:color w:val="auto"/>
              </w:rPr>
              <w:t>58,910</w:t>
            </w:r>
          </w:p>
        </w:tc>
        <w:tc>
          <w:tcPr>
            <w:tcW w:w="100" w:type="dxa"/>
            <w:vAlign w:val="bottom"/>
          </w:tcPr>
          <w:p>
            <w:pPr>
              <w:spacing w:after="0"/>
              <w:rPr>
                <w:sz w:val="17"/>
                <w:szCs w:val="17"/>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060" w:type="dxa"/>
            <w:vAlign w:val="bottom"/>
            <w:tcBorders>
              <w:top w:val="single" w:sz="8" w:color="auto"/>
            </w:tcBorders>
          </w:tcPr>
          <w:p>
            <w:pPr>
              <w:jc w:val="right"/>
              <w:ind w:right="64"/>
              <w:spacing w:after="0"/>
              <w:rPr>
                <w:sz w:val="20"/>
                <w:szCs w:val="20"/>
                <w:color w:val="auto"/>
              </w:rPr>
            </w:pPr>
            <w:r>
              <w:rPr>
                <w:rFonts w:ascii="Arial" w:cs="Arial" w:eastAsia="Arial" w:hAnsi="Arial"/>
                <w:sz w:val="15"/>
                <w:szCs w:val="15"/>
                <w:color w:val="auto"/>
              </w:rPr>
              <w:t>40,385</w:t>
            </w:r>
          </w:p>
        </w:tc>
        <w:tc>
          <w:tcPr>
            <w:tcW w:w="240" w:type="dxa"/>
            <w:vAlign w:val="bottom"/>
          </w:tcPr>
          <w:p>
            <w:pPr>
              <w:spacing w:after="0"/>
              <w:rPr>
                <w:sz w:val="17"/>
                <w:szCs w:val="17"/>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060" w:type="dxa"/>
            <w:vAlign w:val="bottom"/>
            <w:tcBorders>
              <w:top w:val="single" w:sz="8" w:color="auto"/>
            </w:tcBorders>
          </w:tcPr>
          <w:p>
            <w:pPr>
              <w:jc w:val="right"/>
              <w:ind w:right="64"/>
              <w:spacing w:after="0"/>
              <w:rPr>
                <w:sz w:val="20"/>
                <w:szCs w:val="20"/>
                <w:color w:val="auto"/>
              </w:rPr>
            </w:pPr>
            <w:r>
              <w:rPr>
                <w:rFonts w:ascii="Arial" w:cs="Arial" w:eastAsia="Arial" w:hAnsi="Arial"/>
                <w:sz w:val="15"/>
                <w:szCs w:val="15"/>
                <w:color w:val="auto"/>
              </w:rPr>
              <w:t>42,824</w:t>
            </w:r>
          </w:p>
        </w:tc>
        <w:tc>
          <w:tcPr>
            <w:tcW w:w="120" w:type="dxa"/>
            <w:vAlign w:val="bottom"/>
          </w:tcPr>
          <w:p>
            <w:pPr>
              <w:spacing w:after="0"/>
              <w:rPr>
                <w:sz w:val="17"/>
                <w:szCs w:val="17"/>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tcPr>
          <w:p>
            <w:pPr>
              <w:jc w:val="right"/>
              <w:ind w:right="64"/>
              <w:spacing w:after="0"/>
              <w:rPr>
                <w:sz w:val="20"/>
                <w:szCs w:val="20"/>
                <w:color w:val="auto"/>
              </w:rPr>
            </w:pPr>
            <w:r>
              <w:rPr>
                <w:rFonts w:ascii="Arial" w:cs="Arial" w:eastAsia="Arial" w:hAnsi="Arial"/>
                <w:sz w:val="15"/>
                <w:szCs w:val="15"/>
                <w:color w:val="auto"/>
              </w:rPr>
              <w:t>74,716</w:t>
            </w:r>
          </w:p>
        </w:tc>
      </w:tr>
      <w:tr>
        <w:trPr>
          <w:trHeight w:val="432"/>
        </w:trPr>
        <w:tc>
          <w:tcPr>
            <w:tcW w:w="120" w:type="dxa"/>
            <w:vAlign w:val="bottom"/>
          </w:tcPr>
          <w:p>
            <w:pPr>
              <w:spacing w:after="0"/>
              <w:rPr>
                <w:sz w:val="24"/>
                <w:szCs w:val="24"/>
                <w:color w:val="auto"/>
              </w:rPr>
            </w:pPr>
          </w:p>
        </w:tc>
        <w:tc>
          <w:tcPr>
            <w:tcW w:w="1080" w:type="dxa"/>
            <w:vAlign w:val="bottom"/>
          </w:tcPr>
          <w:p>
            <w:pPr>
              <w:jc w:val="right"/>
              <w:ind w:right="84"/>
              <w:spacing w:after="0"/>
              <w:rPr>
                <w:sz w:val="20"/>
                <w:szCs w:val="20"/>
                <w:color w:val="auto"/>
              </w:rPr>
            </w:pPr>
            <w:r>
              <w:rPr>
                <w:rFonts w:ascii="Arial" w:cs="Arial" w:eastAsia="Arial" w:hAnsi="Arial"/>
                <w:sz w:val="15"/>
                <w:szCs w:val="15"/>
                <w:color w:val="auto"/>
              </w:rPr>
              <w:t>87,296</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jc w:val="right"/>
              <w:ind w:right="64"/>
              <w:spacing w:after="0"/>
              <w:rPr>
                <w:sz w:val="20"/>
                <w:szCs w:val="20"/>
                <w:color w:val="auto"/>
              </w:rPr>
            </w:pPr>
            <w:r>
              <w:rPr>
                <w:rFonts w:ascii="Arial" w:cs="Arial" w:eastAsia="Arial" w:hAnsi="Arial"/>
                <w:sz w:val="15"/>
                <w:szCs w:val="15"/>
                <w:color w:val="auto"/>
              </w:rPr>
              <w:t>76,294</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jc w:val="right"/>
              <w:ind w:right="64"/>
              <w:spacing w:after="0"/>
              <w:rPr>
                <w:sz w:val="20"/>
                <w:szCs w:val="20"/>
                <w:color w:val="auto"/>
              </w:rPr>
            </w:pPr>
            <w:r>
              <w:rPr>
                <w:rFonts w:ascii="Arial" w:cs="Arial" w:eastAsia="Arial" w:hAnsi="Arial"/>
                <w:sz w:val="15"/>
                <w:szCs w:val="15"/>
                <w:color w:val="auto"/>
              </w:rPr>
              <w:t>171,048</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jc w:val="right"/>
              <w:ind w:right="64"/>
              <w:spacing w:after="0"/>
              <w:rPr>
                <w:sz w:val="20"/>
                <w:szCs w:val="20"/>
                <w:color w:val="auto"/>
              </w:rPr>
            </w:pPr>
            <w:r>
              <w:rPr>
                <w:rFonts w:ascii="Arial" w:cs="Arial" w:eastAsia="Arial" w:hAnsi="Arial"/>
                <w:sz w:val="15"/>
                <w:szCs w:val="15"/>
                <w:color w:val="auto"/>
              </w:rPr>
              <w:t>153,006</w:t>
            </w:r>
          </w:p>
        </w:tc>
      </w:tr>
      <w:tr>
        <w:trPr>
          <w:trHeight w:val="216"/>
        </w:trPr>
        <w:tc>
          <w:tcPr>
            <w:tcW w:w="120" w:type="dxa"/>
            <w:vAlign w:val="bottom"/>
          </w:tcPr>
          <w:p>
            <w:pPr>
              <w:spacing w:after="0"/>
              <w:rPr>
                <w:sz w:val="18"/>
                <w:szCs w:val="18"/>
                <w:color w:val="auto"/>
              </w:rPr>
            </w:pPr>
          </w:p>
        </w:tc>
        <w:tc>
          <w:tcPr>
            <w:tcW w:w="1080" w:type="dxa"/>
            <w:vAlign w:val="bottom"/>
          </w:tcPr>
          <w:p>
            <w:pPr>
              <w:jc w:val="right"/>
              <w:ind w:right="84"/>
              <w:spacing w:after="0"/>
              <w:rPr>
                <w:sz w:val="20"/>
                <w:szCs w:val="20"/>
                <w:color w:val="auto"/>
              </w:rPr>
            </w:pPr>
            <w:r>
              <w:rPr>
                <w:rFonts w:ascii="Arial" w:cs="Arial" w:eastAsia="Arial" w:hAnsi="Arial"/>
                <w:sz w:val="15"/>
                <w:szCs w:val="15"/>
                <w:color w:val="auto"/>
              </w:rPr>
              <w:t>19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38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8"/>
                <w:szCs w:val="18"/>
                <w:color w:val="auto"/>
              </w:rPr>
            </w:pPr>
          </w:p>
        </w:tc>
        <w:tc>
          <w:tcPr>
            <w:tcW w:w="1060" w:type="dxa"/>
            <w:vAlign w:val="bottom"/>
          </w:tcPr>
          <w:p>
            <w:pPr>
              <w:jc w:val="right"/>
              <w:ind w:right="64"/>
              <w:spacing w:after="0"/>
              <w:rPr>
                <w:sz w:val="20"/>
                <w:szCs w:val="20"/>
                <w:color w:val="auto"/>
              </w:rPr>
            </w:pPr>
            <w:r>
              <w:rPr>
                <w:rFonts w:ascii="Arial" w:cs="Arial" w:eastAsia="Arial" w:hAnsi="Arial"/>
                <w:sz w:val="15"/>
                <w:szCs w:val="15"/>
                <w:color w:val="auto"/>
              </w:rPr>
              <w:t>19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ind w:right="64"/>
              <w:spacing w:after="0"/>
              <w:rPr>
                <w:sz w:val="20"/>
                <w:szCs w:val="20"/>
                <w:color w:val="auto"/>
              </w:rPr>
            </w:pPr>
            <w:r>
              <w:rPr>
                <w:rFonts w:ascii="Arial" w:cs="Arial" w:eastAsia="Arial" w:hAnsi="Arial"/>
                <w:sz w:val="15"/>
                <w:szCs w:val="15"/>
                <w:color w:val="auto"/>
              </w:rPr>
              <w:t>—</w:t>
            </w:r>
          </w:p>
        </w:tc>
      </w:tr>
      <w:tr>
        <w:trPr>
          <w:trHeight w:val="216"/>
        </w:trPr>
        <w:tc>
          <w:tcPr>
            <w:tcW w:w="120" w:type="dxa"/>
            <w:vAlign w:val="bottom"/>
          </w:tcPr>
          <w:p>
            <w:pPr>
              <w:spacing w:after="0"/>
              <w:rPr>
                <w:sz w:val="18"/>
                <w:szCs w:val="18"/>
                <w:color w:val="auto"/>
              </w:rPr>
            </w:pPr>
          </w:p>
        </w:tc>
        <w:tc>
          <w:tcPr>
            <w:tcW w:w="1080" w:type="dxa"/>
            <w:vAlign w:val="bottom"/>
          </w:tcPr>
          <w:p>
            <w:pPr>
              <w:jc w:val="right"/>
              <w:ind w:right="44"/>
              <w:spacing w:after="0"/>
              <w:rPr>
                <w:sz w:val="20"/>
                <w:szCs w:val="20"/>
                <w:color w:val="auto"/>
              </w:rPr>
            </w:pPr>
            <w:r>
              <w:rPr>
                <w:rFonts w:ascii="Arial" w:cs="Arial" w:eastAsia="Arial" w:hAnsi="Arial"/>
                <w:sz w:val="15"/>
                <w:szCs w:val="15"/>
                <w:color w:val="auto"/>
              </w:rPr>
              <w:t>(24,519)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ind w:right="24"/>
              <w:spacing w:after="0"/>
              <w:rPr>
                <w:sz w:val="20"/>
                <w:szCs w:val="20"/>
                <w:color w:val="auto"/>
              </w:rPr>
            </w:pPr>
            <w:r>
              <w:rPr>
                <w:rFonts w:ascii="Arial" w:cs="Arial" w:eastAsia="Arial" w:hAnsi="Arial"/>
                <w:sz w:val="15"/>
                <w:szCs w:val="15"/>
                <w:color w:val="auto"/>
              </w:rPr>
              <w:t>(3,620)</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ind w:right="64"/>
              <w:spacing w:after="0"/>
              <w:rPr>
                <w:sz w:val="20"/>
                <w:szCs w:val="20"/>
                <w:color w:val="auto"/>
              </w:rPr>
            </w:pPr>
            <w:r>
              <w:rPr>
                <w:rFonts w:ascii="Arial" w:cs="Arial" w:eastAsia="Arial" w:hAnsi="Arial"/>
                <w:sz w:val="15"/>
                <w:szCs w:val="15"/>
                <w:color w:val="auto"/>
              </w:rPr>
              <w:t>4,128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ind w:right="24"/>
              <w:spacing w:after="0"/>
              <w:rPr>
                <w:sz w:val="20"/>
                <w:szCs w:val="20"/>
                <w:color w:val="auto"/>
              </w:rPr>
            </w:pPr>
            <w:r>
              <w:rPr>
                <w:rFonts w:ascii="Arial" w:cs="Arial" w:eastAsia="Arial" w:hAnsi="Arial"/>
                <w:sz w:val="15"/>
                <w:szCs w:val="15"/>
                <w:color w:val="auto"/>
              </w:rPr>
              <w:t>(3,887)</w:t>
            </w:r>
          </w:p>
        </w:tc>
      </w:tr>
      <w:tr>
        <w:trPr>
          <w:trHeight w:val="216"/>
        </w:trPr>
        <w:tc>
          <w:tcPr>
            <w:tcW w:w="120" w:type="dxa"/>
            <w:vAlign w:val="bottom"/>
          </w:tcPr>
          <w:p>
            <w:pPr>
              <w:spacing w:after="0"/>
              <w:rPr>
                <w:sz w:val="18"/>
                <w:szCs w:val="18"/>
                <w:color w:val="auto"/>
              </w:rPr>
            </w:pPr>
          </w:p>
        </w:tc>
        <w:tc>
          <w:tcPr>
            <w:tcW w:w="1080" w:type="dxa"/>
            <w:vAlign w:val="bottom"/>
          </w:tcPr>
          <w:p>
            <w:pPr>
              <w:jc w:val="right"/>
              <w:ind w:right="44"/>
              <w:spacing w:after="0"/>
              <w:rPr>
                <w:sz w:val="20"/>
                <w:szCs w:val="20"/>
                <w:color w:val="auto"/>
              </w:rPr>
            </w:pPr>
            <w:r>
              <w:rPr>
                <w:rFonts w:ascii="Arial" w:cs="Arial" w:eastAsia="Arial" w:hAnsi="Arial"/>
                <w:sz w:val="15"/>
                <w:szCs w:val="15"/>
                <w:color w:val="auto"/>
              </w:rPr>
              <w:t>(1,132)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38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8"/>
                <w:szCs w:val="18"/>
                <w:color w:val="auto"/>
              </w:rPr>
            </w:pPr>
          </w:p>
        </w:tc>
        <w:tc>
          <w:tcPr>
            <w:tcW w:w="1060" w:type="dxa"/>
            <w:vAlign w:val="bottom"/>
          </w:tcPr>
          <w:p>
            <w:pPr>
              <w:jc w:val="right"/>
              <w:ind w:right="64"/>
              <w:spacing w:after="0"/>
              <w:rPr>
                <w:sz w:val="20"/>
                <w:szCs w:val="20"/>
                <w:color w:val="auto"/>
              </w:rPr>
            </w:pPr>
            <w:r>
              <w:rPr>
                <w:rFonts w:ascii="Arial" w:cs="Arial" w:eastAsia="Arial" w:hAnsi="Arial"/>
                <w:sz w:val="15"/>
                <w:szCs w:val="15"/>
                <w:color w:val="auto"/>
              </w:rPr>
              <w:t>1,059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ind w:right="64"/>
              <w:spacing w:after="0"/>
              <w:rPr>
                <w:sz w:val="20"/>
                <w:szCs w:val="20"/>
                <w:color w:val="auto"/>
              </w:rPr>
            </w:pPr>
            <w:r>
              <w:rPr>
                <w:rFonts w:ascii="Arial" w:cs="Arial" w:eastAsia="Arial" w:hAnsi="Arial"/>
                <w:sz w:val="15"/>
                <w:szCs w:val="15"/>
                <w:color w:val="auto"/>
              </w:rPr>
              <w:t>—</w:t>
            </w:r>
          </w:p>
        </w:tc>
      </w:tr>
      <w:tr>
        <w:trPr>
          <w:trHeight w:val="216"/>
        </w:trPr>
        <w:tc>
          <w:tcPr>
            <w:tcW w:w="120" w:type="dxa"/>
            <w:vAlign w:val="bottom"/>
          </w:tcPr>
          <w:p>
            <w:pPr>
              <w:spacing w:after="0"/>
              <w:rPr>
                <w:sz w:val="18"/>
                <w:szCs w:val="18"/>
                <w:color w:val="auto"/>
              </w:rPr>
            </w:pPr>
          </w:p>
        </w:tc>
        <w:tc>
          <w:tcPr>
            <w:tcW w:w="1080" w:type="dxa"/>
            <w:vAlign w:val="bottom"/>
          </w:tcPr>
          <w:p>
            <w:pPr>
              <w:jc w:val="right"/>
              <w:ind w:right="44"/>
              <w:spacing w:after="0"/>
              <w:rPr>
                <w:sz w:val="20"/>
                <w:szCs w:val="20"/>
                <w:color w:val="auto"/>
              </w:rPr>
            </w:pPr>
            <w:r>
              <w:rPr>
                <w:rFonts w:ascii="Arial" w:cs="Arial" w:eastAsia="Arial" w:hAnsi="Arial"/>
                <w:sz w:val="15"/>
                <w:szCs w:val="15"/>
                <w:color w:val="auto"/>
              </w:rPr>
              <w:t>(246)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38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8"/>
                <w:szCs w:val="18"/>
                <w:color w:val="auto"/>
              </w:rPr>
            </w:pPr>
          </w:p>
        </w:tc>
        <w:tc>
          <w:tcPr>
            <w:tcW w:w="1060" w:type="dxa"/>
            <w:vAlign w:val="bottom"/>
          </w:tcPr>
          <w:p>
            <w:pPr>
              <w:jc w:val="right"/>
              <w:ind w:right="64"/>
              <w:spacing w:after="0"/>
              <w:rPr>
                <w:sz w:val="20"/>
                <w:szCs w:val="20"/>
                <w:color w:val="auto"/>
              </w:rPr>
            </w:pPr>
            <w:r>
              <w:rPr>
                <w:rFonts w:ascii="Arial" w:cs="Arial" w:eastAsia="Arial" w:hAnsi="Arial"/>
                <w:sz w:val="15"/>
                <w:szCs w:val="15"/>
                <w:color w:val="auto"/>
              </w:rPr>
              <w:t>1,866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ind w:right="64"/>
              <w:spacing w:after="0"/>
              <w:rPr>
                <w:sz w:val="20"/>
                <w:szCs w:val="20"/>
                <w:color w:val="auto"/>
              </w:rPr>
            </w:pPr>
            <w:r>
              <w:rPr>
                <w:rFonts w:ascii="Arial" w:cs="Arial" w:eastAsia="Arial" w:hAnsi="Arial"/>
                <w:sz w:val="15"/>
                <w:szCs w:val="15"/>
                <w:color w:val="auto"/>
              </w:rPr>
              <w:t>—</w:t>
            </w:r>
          </w:p>
        </w:tc>
      </w:tr>
      <w:tr>
        <w:trPr>
          <w:trHeight w:val="216"/>
        </w:trPr>
        <w:tc>
          <w:tcPr>
            <w:tcW w:w="120" w:type="dxa"/>
            <w:vAlign w:val="bottom"/>
          </w:tcPr>
          <w:p>
            <w:pPr>
              <w:spacing w:after="0"/>
              <w:rPr>
                <w:sz w:val="18"/>
                <w:szCs w:val="18"/>
                <w:color w:val="auto"/>
              </w:rPr>
            </w:pPr>
          </w:p>
        </w:tc>
        <w:tc>
          <w:tcPr>
            <w:tcW w:w="1080" w:type="dxa"/>
            <w:vAlign w:val="bottom"/>
          </w:tcPr>
          <w:p>
            <w:pPr>
              <w:jc w:val="right"/>
              <w:ind w:right="84"/>
              <w:spacing w:after="0"/>
              <w:rPr>
                <w:sz w:val="20"/>
                <w:szCs w:val="20"/>
                <w:color w:val="auto"/>
              </w:rPr>
            </w:pPr>
            <w:r>
              <w:rPr>
                <w:rFonts w:ascii="Arial" w:cs="Arial" w:eastAsia="Arial" w:hAnsi="Arial"/>
                <w:sz w:val="15"/>
                <w:szCs w:val="15"/>
                <w:color w:val="auto"/>
              </w:rPr>
              <w:t>1,942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ind w:right="64"/>
              <w:spacing w:after="0"/>
              <w:rPr>
                <w:sz w:val="20"/>
                <w:szCs w:val="20"/>
                <w:color w:val="auto"/>
              </w:rPr>
            </w:pPr>
            <w:r>
              <w:rPr>
                <w:rFonts w:ascii="Arial" w:cs="Arial" w:eastAsia="Arial" w:hAnsi="Arial"/>
                <w:sz w:val="15"/>
                <w:szCs w:val="15"/>
                <w:color w:val="auto"/>
              </w:rPr>
              <w:t>2,158</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ind w:right="64"/>
              <w:spacing w:after="0"/>
              <w:rPr>
                <w:sz w:val="20"/>
                <w:szCs w:val="20"/>
                <w:color w:val="auto"/>
              </w:rPr>
            </w:pPr>
            <w:r>
              <w:rPr>
                <w:rFonts w:ascii="Arial" w:cs="Arial" w:eastAsia="Arial" w:hAnsi="Arial"/>
                <w:sz w:val="15"/>
                <w:szCs w:val="15"/>
                <w:color w:val="auto"/>
              </w:rPr>
              <w:t>1,646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ind w:right="64"/>
              <w:spacing w:after="0"/>
              <w:rPr>
                <w:sz w:val="20"/>
                <w:szCs w:val="20"/>
                <w:color w:val="auto"/>
              </w:rPr>
            </w:pPr>
            <w:r>
              <w:rPr>
                <w:rFonts w:ascii="Arial" w:cs="Arial" w:eastAsia="Arial" w:hAnsi="Arial"/>
                <w:sz w:val="15"/>
                <w:szCs w:val="15"/>
                <w:color w:val="auto"/>
              </w:rPr>
              <w:t>2,881</w:t>
            </w:r>
          </w:p>
        </w:tc>
      </w:tr>
      <w:tr>
        <w:trPr>
          <w:trHeight w:val="216"/>
        </w:trPr>
        <w:tc>
          <w:tcPr>
            <w:tcW w:w="120" w:type="dxa"/>
            <w:vAlign w:val="bottom"/>
          </w:tcPr>
          <w:p>
            <w:pPr>
              <w:spacing w:after="0"/>
              <w:rPr>
                <w:sz w:val="18"/>
                <w:szCs w:val="18"/>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8"/>
                <w:szCs w:val="18"/>
                <w:color w:val="auto"/>
              </w:rPr>
            </w:pPr>
          </w:p>
        </w:tc>
        <w:tc>
          <w:tcPr>
            <w:tcW w:w="1060" w:type="dxa"/>
            <w:vAlign w:val="bottom"/>
          </w:tcPr>
          <w:p>
            <w:pPr>
              <w:jc w:val="right"/>
              <w:ind w:right="64"/>
              <w:spacing w:after="0"/>
              <w:rPr>
                <w:sz w:val="20"/>
                <w:szCs w:val="20"/>
                <w:color w:val="auto"/>
              </w:rPr>
            </w:pPr>
            <w:r>
              <w:rPr>
                <w:rFonts w:ascii="Arial" w:cs="Arial" w:eastAsia="Arial" w:hAnsi="Arial"/>
                <w:sz w:val="15"/>
                <w:szCs w:val="15"/>
                <w:color w:val="auto"/>
              </w:rPr>
              <w:t>537</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ind w:right="64"/>
              <w:spacing w:after="0"/>
              <w:rPr>
                <w:sz w:val="20"/>
                <w:szCs w:val="20"/>
                <w:color w:val="auto"/>
              </w:rPr>
            </w:pPr>
            <w:r>
              <w:rPr>
                <w:rFonts w:ascii="Arial" w:cs="Arial" w:eastAsia="Arial" w:hAnsi="Arial"/>
                <w:sz w:val="15"/>
                <w:szCs w:val="15"/>
                <w:color w:val="auto"/>
              </w:rPr>
              <w:t>1,000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ind w:right="64"/>
              <w:spacing w:after="0"/>
              <w:rPr>
                <w:sz w:val="20"/>
                <w:szCs w:val="20"/>
                <w:color w:val="auto"/>
              </w:rPr>
            </w:pPr>
            <w:r>
              <w:rPr>
                <w:rFonts w:ascii="Arial" w:cs="Arial" w:eastAsia="Arial" w:hAnsi="Arial"/>
                <w:sz w:val="15"/>
                <w:szCs w:val="15"/>
                <w:color w:val="auto"/>
              </w:rPr>
              <w:t>1,064</w:t>
            </w:r>
          </w:p>
        </w:tc>
      </w:tr>
      <w:tr>
        <w:trPr>
          <w:trHeight w:val="216"/>
        </w:trPr>
        <w:tc>
          <w:tcPr>
            <w:tcW w:w="120" w:type="dxa"/>
            <w:vAlign w:val="bottom"/>
          </w:tcPr>
          <w:p>
            <w:pPr>
              <w:spacing w:after="0"/>
              <w:rPr>
                <w:sz w:val="18"/>
                <w:szCs w:val="18"/>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8"/>
                <w:szCs w:val="18"/>
                <w:color w:val="auto"/>
              </w:rPr>
            </w:pPr>
          </w:p>
        </w:tc>
        <w:tc>
          <w:tcPr>
            <w:tcW w:w="1060" w:type="dxa"/>
            <w:vAlign w:val="bottom"/>
          </w:tcPr>
          <w:p>
            <w:pPr>
              <w:jc w:val="right"/>
              <w:ind w:right="64"/>
              <w:spacing w:after="0"/>
              <w:rPr>
                <w:sz w:val="20"/>
                <w:szCs w:val="20"/>
                <w:color w:val="auto"/>
              </w:rPr>
            </w:pPr>
            <w:r>
              <w:rPr>
                <w:rFonts w:ascii="Arial" w:cs="Arial" w:eastAsia="Arial" w:hAnsi="Arial"/>
                <w:sz w:val="15"/>
                <w:szCs w:val="15"/>
                <w:color w:val="auto"/>
              </w:rPr>
              <w:t>428</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8"/>
                <w:szCs w:val="18"/>
                <w:color w:val="auto"/>
              </w:rPr>
            </w:pPr>
          </w:p>
        </w:tc>
        <w:tc>
          <w:tcPr>
            <w:tcW w:w="1060" w:type="dxa"/>
            <w:vAlign w:val="bottom"/>
          </w:tcPr>
          <w:p>
            <w:pPr>
              <w:jc w:val="right"/>
              <w:ind w:right="64"/>
              <w:spacing w:after="0"/>
              <w:rPr>
                <w:sz w:val="20"/>
                <w:szCs w:val="20"/>
                <w:color w:val="auto"/>
              </w:rPr>
            </w:pPr>
            <w:r>
              <w:rPr>
                <w:rFonts w:ascii="Arial" w:cs="Arial" w:eastAsia="Arial" w:hAnsi="Arial"/>
                <w:sz w:val="15"/>
                <w:szCs w:val="15"/>
                <w:color w:val="auto"/>
              </w:rPr>
              <w:t>860</w:t>
            </w:r>
          </w:p>
        </w:tc>
      </w:tr>
      <w:tr>
        <w:trPr>
          <w:trHeight w:val="220"/>
        </w:trPr>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(4,178)</w:t>
            </w: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(8,070)</w:t>
            </w:r>
          </w:p>
        </w:tc>
        <w:tc>
          <w:tcPr>
            <w:tcW w:w="2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ind w:left="520"/>
              <w:spacing w:after="0"/>
              <w:rPr>
                <w:sz w:val="20"/>
                <w:szCs w:val="20"/>
                <w:color w:val="auto"/>
              </w:rPr>
            </w:pPr>
            <w:r>
              <w:rPr>
                <w:rFonts w:ascii="Arial" w:cs="Arial" w:eastAsia="Arial" w:hAnsi="Arial"/>
                <w:sz w:val="15"/>
                <w:szCs w:val="15"/>
                <w:color w:val="auto"/>
              </w:rPr>
              <w:t>(9,740)</w:t>
            </w: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(13,749)</w:t>
            </w:r>
          </w:p>
        </w:tc>
      </w:tr>
      <w:tr>
        <w:trPr>
          <w:trHeight w:val="381"/>
        </w:trPr>
        <w:tc>
          <w:tcPr>
            <w:tcW w:w="120" w:type="dxa"/>
            <w:vAlign w:val="bottom"/>
          </w:tcPr>
          <w:p>
            <w:pPr>
              <w:spacing w:after="0"/>
              <w:rPr>
                <w:sz w:val="24"/>
                <w:szCs w:val="24"/>
                <w:color w:val="auto"/>
              </w:rPr>
            </w:pPr>
          </w:p>
        </w:tc>
        <w:tc>
          <w:tcPr>
            <w:tcW w:w="1080" w:type="dxa"/>
            <w:vAlign w:val="bottom"/>
          </w:tcPr>
          <w:p>
            <w:pPr>
              <w:jc w:val="right"/>
              <w:ind w:right="84"/>
              <w:spacing w:after="0"/>
              <w:rPr>
                <w:sz w:val="20"/>
                <w:szCs w:val="20"/>
                <w:color w:val="auto"/>
              </w:rPr>
            </w:pPr>
            <w:r>
              <w:rPr>
                <w:rFonts w:ascii="Arial" w:cs="Arial" w:eastAsia="Arial" w:hAnsi="Arial"/>
                <w:sz w:val="15"/>
                <w:szCs w:val="15"/>
                <w:color w:val="auto"/>
              </w:rPr>
              <w:t>118,092</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jc w:val="right"/>
              <w:ind w:right="64"/>
              <w:spacing w:after="0"/>
              <w:rPr>
                <w:sz w:val="20"/>
                <w:szCs w:val="20"/>
                <w:color w:val="auto"/>
              </w:rPr>
            </w:pPr>
            <w:r>
              <w:rPr>
                <w:rFonts w:ascii="Arial" w:cs="Arial" w:eastAsia="Arial" w:hAnsi="Arial"/>
                <w:sz w:val="15"/>
                <w:szCs w:val="15"/>
                <w:color w:val="auto"/>
              </w:rPr>
              <w:t>108,112</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jc w:val="right"/>
              <w:ind w:right="64"/>
              <w:spacing w:after="0"/>
              <w:rPr>
                <w:sz w:val="20"/>
                <w:szCs w:val="20"/>
                <w:color w:val="auto"/>
              </w:rPr>
            </w:pPr>
            <w:r>
              <w:rPr>
                <w:rFonts w:ascii="Arial" w:cs="Arial" w:eastAsia="Arial" w:hAnsi="Arial"/>
                <w:sz w:val="15"/>
                <w:szCs w:val="15"/>
                <w:color w:val="auto"/>
              </w:rPr>
              <w:t>213,850</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jc w:val="right"/>
              <w:ind w:right="64"/>
              <w:spacing w:after="0"/>
              <w:rPr>
                <w:sz w:val="20"/>
                <w:szCs w:val="20"/>
                <w:color w:val="auto"/>
              </w:rPr>
            </w:pPr>
            <w:r>
              <w:rPr>
                <w:rFonts w:ascii="Arial" w:cs="Arial" w:eastAsia="Arial" w:hAnsi="Arial"/>
                <w:sz w:val="15"/>
                <w:szCs w:val="15"/>
                <w:color w:val="auto"/>
              </w:rPr>
              <w:t>214,891</w:t>
            </w:r>
          </w:p>
        </w:tc>
      </w:tr>
      <w:tr>
        <w:trPr>
          <w:trHeight w:val="621"/>
        </w:trPr>
        <w:tc>
          <w:tcPr>
            <w:tcW w:w="120" w:type="dxa"/>
            <w:vAlign w:val="bottom"/>
          </w:tcPr>
          <w:p>
            <w:pPr>
              <w:spacing w:after="0"/>
              <w:rPr>
                <w:sz w:val="24"/>
                <w:szCs w:val="24"/>
                <w:color w:val="auto"/>
              </w:rPr>
            </w:pPr>
          </w:p>
        </w:tc>
        <w:tc>
          <w:tcPr>
            <w:tcW w:w="1080" w:type="dxa"/>
            <w:vAlign w:val="bottom"/>
          </w:tcPr>
          <w:p>
            <w:pPr>
              <w:jc w:val="right"/>
              <w:ind w:right="84"/>
              <w:spacing w:after="0"/>
              <w:rPr>
                <w:sz w:val="20"/>
                <w:szCs w:val="20"/>
                <w:color w:val="auto"/>
              </w:rPr>
            </w:pPr>
            <w:r>
              <w:rPr>
                <w:rFonts w:ascii="Arial" w:cs="Arial" w:eastAsia="Arial" w:hAnsi="Arial"/>
                <w:sz w:val="15"/>
                <w:szCs w:val="15"/>
                <w:color w:val="auto"/>
              </w:rPr>
              <w:t>504</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jc w:val="right"/>
              <w:ind w:right="64"/>
              <w:spacing w:after="0"/>
              <w:rPr>
                <w:sz w:val="20"/>
                <w:szCs w:val="20"/>
                <w:color w:val="auto"/>
              </w:rPr>
            </w:pPr>
            <w:r>
              <w:rPr>
                <w:rFonts w:ascii="Arial" w:cs="Arial" w:eastAsia="Arial" w:hAnsi="Arial"/>
                <w:sz w:val="15"/>
                <w:szCs w:val="15"/>
                <w:color w:val="auto"/>
              </w:rPr>
              <w:t>366</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jc w:val="right"/>
              <w:ind w:right="64"/>
              <w:spacing w:after="0"/>
              <w:rPr>
                <w:sz w:val="20"/>
                <w:szCs w:val="20"/>
                <w:color w:val="auto"/>
              </w:rPr>
            </w:pPr>
            <w:r>
              <w:rPr>
                <w:rFonts w:ascii="Arial" w:cs="Arial" w:eastAsia="Arial" w:hAnsi="Arial"/>
                <w:sz w:val="15"/>
                <w:szCs w:val="15"/>
                <w:color w:val="auto"/>
              </w:rPr>
              <w:t>889</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jc w:val="right"/>
              <w:ind w:right="64"/>
              <w:spacing w:after="0"/>
              <w:rPr>
                <w:sz w:val="20"/>
                <w:szCs w:val="20"/>
                <w:color w:val="auto"/>
              </w:rPr>
            </w:pPr>
            <w:r>
              <w:rPr>
                <w:rFonts w:ascii="Arial" w:cs="Arial" w:eastAsia="Arial" w:hAnsi="Arial"/>
                <w:sz w:val="15"/>
                <w:szCs w:val="15"/>
                <w:color w:val="auto"/>
              </w:rPr>
              <w:t>526</w:t>
            </w:r>
          </w:p>
        </w:tc>
      </w:tr>
      <w:tr>
        <w:trPr>
          <w:trHeight w:val="216"/>
        </w:trPr>
        <w:tc>
          <w:tcPr>
            <w:tcW w:w="120" w:type="dxa"/>
            <w:vAlign w:val="bottom"/>
          </w:tcPr>
          <w:p>
            <w:pPr>
              <w:spacing w:after="0"/>
              <w:rPr>
                <w:sz w:val="18"/>
                <w:szCs w:val="18"/>
                <w:color w:val="auto"/>
              </w:rPr>
            </w:pPr>
          </w:p>
        </w:tc>
        <w:tc>
          <w:tcPr>
            <w:tcW w:w="1080" w:type="dxa"/>
            <w:vAlign w:val="bottom"/>
          </w:tcPr>
          <w:p>
            <w:pPr>
              <w:jc w:val="right"/>
              <w:ind w:right="84"/>
              <w:spacing w:after="0"/>
              <w:rPr>
                <w:sz w:val="20"/>
                <w:szCs w:val="20"/>
                <w:color w:val="auto"/>
              </w:rPr>
            </w:pPr>
            <w:r>
              <w:rPr>
                <w:rFonts w:ascii="Arial" w:cs="Arial" w:eastAsia="Arial" w:hAnsi="Arial"/>
                <w:sz w:val="15"/>
                <w:szCs w:val="15"/>
                <w:color w:val="auto"/>
              </w:rPr>
              <w:t>1,930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ind w:right="64"/>
              <w:spacing w:after="0"/>
              <w:rPr>
                <w:sz w:val="20"/>
                <w:szCs w:val="20"/>
                <w:color w:val="auto"/>
              </w:rPr>
            </w:pPr>
            <w:r>
              <w:rPr>
                <w:rFonts w:ascii="Arial" w:cs="Arial" w:eastAsia="Arial" w:hAnsi="Arial"/>
                <w:sz w:val="15"/>
                <w:szCs w:val="15"/>
                <w:color w:val="auto"/>
              </w:rPr>
              <w:t>70</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ind w:right="64"/>
              <w:spacing w:after="0"/>
              <w:rPr>
                <w:sz w:val="20"/>
                <w:szCs w:val="20"/>
                <w:color w:val="auto"/>
              </w:rPr>
            </w:pPr>
            <w:r>
              <w:rPr>
                <w:rFonts w:ascii="Arial" w:cs="Arial" w:eastAsia="Arial" w:hAnsi="Arial"/>
                <w:sz w:val="15"/>
                <w:szCs w:val="15"/>
                <w:color w:val="auto"/>
              </w:rPr>
              <w:t>5,209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ind w:right="64"/>
              <w:spacing w:after="0"/>
              <w:rPr>
                <w:sz w:val="20"/>
                <w:szCs w:val="20"/>
                <w:color w:val="auto"/>
              </w:rPr>
            </w:pPr>
            <w:r>
              <w:rPr>
                <w:rFonts w:ascii="Arial" w:cs="Arial" w:eastAsia="Arial" w:hAnsi="Arial"/>
                <w:sz w:val="15"/>
                <w:szCs w:val="15"/>
                <w:color w:val="auto"/>
              </w:rPr>
              <w:t>723</w:t>
            </w:r>
          </w:p>
        </w:tc>
      </w:tr>
      <w:tr>
        <w:trPr>
          <w:trHeight w:val="216"/>
        </w:trPr>
        <w:tc>
          <w:tcPr>
            <w:tcW w:w="120" w:type="dxa"/>
            <w:vAlign w:val="bottom"/>
          </w:tcPr>
          <w:p>
            <w:pPr>
              <w:spacing w:after="0"/>
              <w:rPr>
                <w:sz w:val="18"/>
                <w:szCs w:val="18"/>
                <w:color w:val="auto"/>
              </w:rPr>
            </w:pPr>
          </w:p>
        </w:tc>
        <w:tc>
          <w:tcPr>
            <w:tcW w:w="1080" w:type="dxa"/>
            <w:vAlign w:val="bottom"/>
          </w:tcPr>
          <w:p>
            <w:pPr>
              <w:jc w:val="right"/>
              <w:ind w:right="44"/>
              <w:spacing w:after="0"/>
              <w:rPr>
                <w:sz w:val="20"/>
                <w:szCs w:val="20"/>
                <w:color w:val="auto"/>
              </w:rPr>
            </w:pPr>
            <w:r>
              <w:rPr>
                <w:rFonts w:ascii="Arial" w:cs="Arial" w:eastAsia="Arial" w:hAnsi="Arial"/>
                <w:sz w:val="15"/>
                <w:szCs w:val="15"/>
                <w:color w:val="auto"/>
              </w:rPr>
              <w:t>(567)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ind w:right="64"/>
              <w:spacing w:after="0"/>
              <w:rPr>
                <w:sz w:val="20"/>
                <w:szCs w:val="20"/>
                <w:color w:val="auto"/>
              </w:rPr>
            </w:pPr>
            <w:r>
              <w:rPr>
                <w:rFonts w:ascii="Arial" w:cs="Arial" w:eastAsia="Arial" w:hAnsi="Arial"/>
                <w:sz w:val="15"/>
                <w:szCs w:val="15"/>
                <w:color w:val="auto"/>
              </w:rPr>
              <w:t>194</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ind w:right="64"/>
              <w:spacing w:after="0"/>
              <w:rPr>
                <w:sz w:val="20"/>
                <w:szCs w:val="20"/>
                <w:color w:val="auto"/>
              </w:rPr>
            </w:pPr>
            <w:r>
              <w:rPr>
                <w:rFonts w:ascii="Arial" w:cs="Arial" w:eastAsia="Arial" w:hAnsi="Arial"/>
                <w:sz w:val="15"/>
                <w:szCs w:val="15"/>
                <w:color w:val="auto"/>
              </w:rPr>
              <w:t>39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ind w:right="64"/>
              <w:spacing w:after="0"/>
              <w:rPr>
                <w:sz w:val="20"/>
                <w:szCs w:val="20"/>
                <w:color w:val="auto"/>
              </w:rPr>
            </w:pPr>
            <w:r>
              <w:rPr>
                <w:rFonts w:ascii="Arial" w:cs="Arial" w:eastAsia="Arial" w:hAnsi="Arial"/>
                <w:sz w:val="15"/>
                <w:szCs w:val="15"/>
                <w:color w:val="auto"/>
              </w:rPr>
              <w:t>976</w:t>
            </w:r>
          </w:p>
        </w:tc>
      </w:tr>
      <w:tr>
        <w:trPr>
          <w:trHeight w:val="216"/>
        </w:trPr>
        <w:tc>
          <w:tcPr>
            <w:tcW w:w="120" w:type="dxa"/>
            <w:vAlign w:val="bottom"/>
          </w:tcPr>
          <w:p>
            <w:pPr>
              <w:spacing w:after="0"/>
              <w:rPr>
                <w:sz w:val="18"/>
                <w:szCs w:val="18"/>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8"/>
                <w:szCs w:val="18"/>
                <w:color w:val="auto"/>
              </w:rPr>
            </w:pPr>
          </w:p>
        </w:tc>
        <w:tc>
          <w:tcPr>
            <w:tcW w:w="1060" w:type="dxa"/>
            <w:vAlign w:val="bottom"/>
          </w:tcPr>
          <w:p>
            <w:pPr>
              <w:jc w:val="right"/>
              <w:ind w:right="64"/>
              <w:spacing w:after="0"/>
              <w:rPr>
                <w:sz w:val="20"/>
                <w:szCs w:val="20"/>
                <w:color w:val="auto"/>
              </w:rPr>
            </w:pPr>
            <w:r>
              <w:rPr>
                <w:rFonts w:ascii="Arial" w:cs="Arial" w:eastAsia="Arial" w:hAnsi="Arial"/>
                <w:sz w:val="15"/>
                <w:szCs w:val="15"/>
                <w:color w:val="auto"/>
              </w:rPr>
              <w:t>377</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ind w:right="64"/>
              <w:spacing w:after="0"/>
              <w:rPr>
                <w:sz w:val="20"/>
                <w:szCs w:val="20"/>
                <w:color w:val="auto"/>
              </w:rPr>
            </w:pPr>
            <w:r>
              <w:rPr>
                <w:rFonts w:ascii="Arial" w:cs="Arial" w:eastAsia="Arial" w:hAnsi="Arial"/>
                <w:sz w:val="15"/>
                <w:szCs w:val="15"/>
                <w:color w:val="auto"/>
              </w:rPr>
              <w:t>300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ind w:right="64"/>
              <w:spacing w:after="0"/>
              <w:rPr>
                <w:sz w:val="20"/>
                <w:szCs w:val="20"/>
                <w:color w:val="auto"/>
              </w:rPr>
            </w:pPr>
            <w:r>
              <w:rPr>
                <w:rFonts w:ascii="Arial" w:cs="Arial" w:eastAsia="Arial" w:hAnsi="Arial"/>
                <w:sz w:val="15"/>
                <w:szCs w:val="15"/>
                <w:color w:val="auto"/>
              </w:rPr>
              <w:t>377</w:t>
            </w:r>
          </w:p>
        </w:tc>
      </w:tr>
      <w:tr>
        <w:trPr>
          <w:trHeight w:val="216"/>
        </w:trPr>
        <w:tc>
          <w:tcPr>
            <w:tcW w:w="120" w:type="dxa"/>
            <w:vAlign w:val="bottom"/>
          </w:tcPr>
          <w:p>
            <w:pPr>
              <w:spacing w:after="0"/>
              <w:rPr>
                <w:sz w:val="18"/>
                <w:szCs w:val="18"/>
                <w:color w:val="auto"/>
              </w:rPr>
            </w:pPr>
          </w:p>
        </w:tc>
        <w:tc>
          <w:tcPr>
            <w:tcW w:w="1080" w:type="dxa"/>
            <w:vAlign w:val="bottom"/>
          </w:tcPr>
          <w:p>
            <w:pPr>
              <w:jc w:val="right"/>
              <w:ind w:right="44"/>
              <w:spacing w:after="0"/>
              <w:rPr>
                <w:sz w:val="20"/>
                <w:szCs w:val="20"/>
                <w:color w:val="auto"/>
              </w:rPr>
            </w:pPr>
            <w:r>
              <w:rPr>
                <w:rFonts w:ascii="Arial" w:cs="Arial" w:eastAsia="Arial" w:hAnsi="Arial"/>
                <w:sz w:val="15"/>
                <w:szCs w:val="15"/>
                <w:color w:val="auto"/>
              </w:rPr>
              <w:t>(10,374)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ind w:right="24"/>
              <w:spacing w:after="0"/>
              <w:rPr>
                <w:sz w:val="20"/>
                <w:szCs w:val="20"/>
                <w:color w:val="auto"/>
              </w:rPr>
            </w:pPr>
            <w:r>
              <w:rPr>
                <w:rFonts w:ascii="Arial" w:cs="Arial" w:eastAsia="Arial" w:hAnsi="Arial"/>
                <w:sz w:val="15"/>
                <w:szCs w:val="15"/>
                <w:color w:val="auto"/>
              </w:rPr>
              <w:t>(1,116)</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ind w:right="64"/>
              <w:spacing w:after="0"/>
              <w:rPr>
                <w:sz w:val="20"/>
                <w:szCs w:val="20"/>
                <w:color w:val="auto"/>
              </w:rPr>
            </w:pPr>
            <w:r>
              <w:rPr>
                <w:rFonts w:ascii="Arial" w:cs="Arial" w:eastAsia="Arial" w:hAnsi="Arial"/>
                <w:sz w:val="15"/>
                <w:szCs w:val="15"/>
                <w:color w:val="auto"/>
              </w:rPr>
              <w:t>7,105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ind w:right="24"/>
              <w:spacing w:after="0"/>
              <w:rPr>
                <w:sz w:val="20"/>
                <w:szCs w:val="20"/>
                <w:color w:val="auto"/>
              </w:rPr>
            </w:pPr>
            <w:r>
              <w:rPr>
                <w:rFonts w:ascii="Arial" w:cs="Arial" w:eastAsia="Arial" w:hAnsi="Arial"/>
                <w:sz w:val="15"/>
                <w:szCs w:val="15"/>
                <w:color w:val="auto"/>
              </w:rPr>
              <w:t>(3,081)</w:t>
            </w:r>
          </w:p>
        </w:tc>
      </w:tr>
      <w:tr>
        <w:trPr>
          <w:trHeight w:val="216"/>
        </w:trPr>
        <w:tc>
          <w:tcPr>
            <w:tcW w:w="120" w:type="dxa"/>
            <w:vAlign w:val="bottom"/>
          </w:tcPr>
          <w:p>
            <w:pPr>
              <w:spacing w:after="0"/>
              <w:rPr>
                <w:sz w:val="18"/>
                <w:szCs w:val="18"/>
                <w:color w:val="auto"/>
              </w:rPr>
            </w:pPr>
          </w:p>
        </w:tc>
        <w:tc>
          <w:tcPr>
            <w:tcW w:w="1080" w:type="dxa"/>
            <w:vAlign w:val="bottom"/>
          </w:tcPr>
          <w:p>
            <w:pPr>
              <w:jc w:val="right"/>
              <w:ind w:right="84"/>
              <w:spacing w:after="0"/>
              <w:rPr>
                <w:sz w:val="20"/>
                <w:szCs w:val="20"/>
                <w:color w:val="auto"/>
              </w:rPr>
            </w:pPr>
            <w:r>
              <w:rPr>
                <w:rFonts w:ascii="Arial" w:cs="Arial" w:eastAsia="Arial" w:hAnsi="Arial"/>
                <w:sz w:val="15"/>
                <w:szCs w:val="15"/>
                <w:color w:val="auto"/>
              </w:rPr>
              <w:t>552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ind w:right="64"/>
              <w:spacing w:after="0"/>
              <w:rPr>
                <w:sz w:val="20"/>
                <w:szCs w:val="20"/>
                <w:color w:val="auto"/>
              </w:rPr>
            </w:pPr>
            <w:r>
              <w:rPr>
                <w:rFonts w:ascii="Arial" w:cs="Arial" w:eastAsia="Arial" w:hAnsi="Arial"/>
                <w:sz w:val="15"/>
                <w:szCs w:val="15"/>
                <w:color w:val="auto"/>
              </w:rPr>
              <w:t>95</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ind w:right="64"/>
              <w:spacing w:after="0"/>
              <w:rPr>
                <w:sz w:val="20"/>
                <w:szCs w:val="20"/>
                <w:color w:val="auto"/>
              </w:rPr>
            </w:pPr>
            <w:r>
              <w:rPr>
                <w:rFonts w:ascii="Arial" w:cs="Arial" w:eastAsia="Arial" w:hAnsi="Arial"/>
                <w:sz w:val="15"/>
                <w:szCs w:val="15"/>
                <w:color w:val="auto"/>
              </w:rPr>
              <w:t>854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ind w:right="64"/>
              <w:spacing w:after="0"/>
              <w:rPr>
                <w:sz w:val="20"/>
                <w:szCs w:val="20"/>
                <w:color w:val="auto"/>
              </w:rPr>
            </w:pPr>
            <w:r>
              <w:rPr>
                <w:rFonts w:ascii="Arial" w:cs="Arial" w:eastAsia="Arial" w:hAnsi="Arial"/>
                <w:sz w:val="15"/>
                <w:szCs w:val="15"/>
                <w:color w:val="auto"/>
              </w:rPr>
              <w:t>162</w:t>
            </w:r>
          </w:p>
        </w:tc>
      </w:tr>
      <w:tr>
        <w:trPr>
          <w:trHeight w:val="220"/>
        </w:trPr>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color w:val="auto"/>
              </w:rPr>
              <w:t>188</w:t>
            </w: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(96)</w:t>
            </w:r>
          </w:p>
        </w:tc>
        <w:tc>
          <w:tcPr>
            <w:tcW w:w="2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color w:val="auto"/>
              </w:rPr>
              <w:t>58</w:t>
            </w: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(313)</w:t>
            </w:r>
          </w:p>
        </w:tc>
      </w:tr>
      <w:tr>
        <w:trPr>
          <w:trHeight w:val="246"/>
        </w:trPr>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80" w:type="dxa"/>
            <w:vAlign w:val="bottom"/>
          </w:tcPr>
          <w:p>
            <w:pPr>
              <w:jc w:val="right"/>
              <w:ind w:right="84"/>
              <w:spacing w:after="0"/>
              <w:rPr>
                <w:sz w:val="20"/>
                <w:szCs w:val="20"/>
                <w:color w:val="auto"/>
              </w:rPr>
            </w:pPr>
            <w:r>
              <w:rPr>
                <w:rFonts w:ascii="Arial" w:cs="Arial" w:eastAsia="Arial" w:hAnsi="Arial"/>
                <w:sz w:val="15"/>
                <w:szCs w:val="15"/>
                <w:color w:val="auto"/>
              </w:rPr>
              <w:t>110,325</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60" w:type="dxa"/>
            <w:vAlign w:val="bottom"/>
          </w:tcPr>
          <w:p>
            <w:pPr>
              <w:jc w:val="right"/>
              <w:ind w:right="64"/>
              <w:spacing w:after="0"/>
              <w:rPr>
                <w:sz w:val="20"/>
                <w:szCs w:val="20"/>
                <w:color w:val="auto"/>
              </w:rPr>
            </w:pPr>
            <w:r>
              <w:rPr>
                <w:rFonts w:ascii="Arial" w:cs="Arial" w:eastAsia="Arial" w:hAnsi="Arial"/>
                <w:sz w:val="15"/>
                <w:szCs w:val="15"/>
                <w:color w:val="auto"/>
              </w:rPr>
              <w:t>108,002</w:t>
            </w:r>
          </w:p>
        </w:tc>
        <w:tc>
          <w:tcPr>
            <w:tcW w:w="24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60" w:type="dxa"/>
            <w:vAlign w:val="bottom"/>
          </w:tcPr>
          <w:p>
            <w:pPr>
              <w:jc w:val="right"/>
              <w:ind w:right="64"/>
              <w:spacing w:after="0"/>
              <w:rPr>
                <w:sz w:val="20"/>
                <w:szCs w:val="20"/>
                <w:color w:val="auto"/>
              </w:rPr>
            </w:pPr>
            <w:r>
              <w:rPr>
                <w:rFonts w:ascii="Arial" w:cs="Arial" w:eastAsia="Arial" w:hAnsi="Arial"/>
                <w:sz w:val="15"/>
                <w:szCs w:val="15"/>
                <w:color w:val="auto"/>
              </w:rPr>
              <w:t>228,304</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ind w:right="64"/>
              <w:spacing w:after="0"/>
              <w:rPr>
                <w:sz w:val="20"/>
                <w:szCs w:val="20"/>
                <w:color w:val="auto"/>
              </w:rPr>
            </w:pPr>
            <w:r>
              <w:rPr>
                <w:rFonts w:ascii="Arial" w:cs="Arial" w:eastAsia="Arial" w:hAnsi="Arial"/>
                <w:sz w:val="15"/>
                <w:szCs w:val="15"/>
                <w:color w:val="auto"/>
              </w:rPr>
              <w:t>214,261</w:t>
            </w:r>
          </w:p>
        </w:tc>
      </w:tr>
      <w:tr>
        <w:trPr>
          <w:trHeight w:val="62"/>
        </w:trPr>
        <w:tc>
          <w:tcPr>
            <w:tcW w:w="12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240" w:type="dxa"/>
            <w:vAlign w:val="bottom"/>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r>
      <w:tr>
        <w:trPr>
          <w:trHeight w:val="20"/>
        </w:trPr>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390"/>
        </w:trPr>
        <w:tc>
          <w:tcPr>
            <w:tcW w:w="120" w:type="dxa"/>
            <w:vAlign w:val="bottom"/>
          </w:tcPr>
          <w:p>
            <w:pPr>
              <w:spacing w:after="0"/>
              <w:rPr>
                <w:sz w:val="24"/>
                <w:szCs w:val="24"/>
                <w:color w:val="auto"/>
              </w:rPr>
            </w:pPr>
          </w:p>
        </w:tc>
        <w:tc>
          <w:tcPr>
            <w:tcW w:w="1080" w:type="dxa"/>
            <w:vAlign w:val="bottom"/>
          </w:tcPr>
          <w:p>
            <w:pPr>
              <w:jc w:val="right"/>
              <w:ind w:right="84"/>
              <w:spacing w:after="0"/>
              <w:rPr>
                <w:sz w:val="20"/>
                <w:szCs w:val="20"/>
                <w:color w:val="auto"/>
              </w:rPr>
            </w:pPr>
            <w:r>
              <w:rPr>
                <w:rFonts w:ascii="Arial" w:cs="Arial" w:eastAsia="Arial" w:hAnsi="Arial"/>
                <w:sz w:val="15"/>
                <w:szCs w:val="15"/>
                <w:color w:val="auto"/>
              </w:rPr>
              <w:t>95,859</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jc w:val="right"/>
              <w:ind w:right="64"/>
              <w:spacing w:after="0"/>
              <w:rPr>
                <w:sz w:val="20"/>
                <w:szCs w:val="20"/>
                <w:color w:val="auto"/>
              </w:rPr>
            </w:pPr>
            <w:r>
              <w:rPr>
                <w:rFonts w:ascii="Arial" w:cs="Arial" w:eastAsia="Arial" w:hAnsi="Arial"/>
                <w:sz w:val="15"/>
                <w:szCs w:val="15"/>
                <w:color w:val="auto"/>
              </w:rPr>
              <w:t>87,130</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jc w:val="right"/>
              <w:ind w:right="64"/>
              <w:spacing w:after="0"/>
              <w:rPr>
                <w:sz w:val="20"/>
                <w:szCs w:val="20"/>
                <w:color w:val="auto"/>
              </w:rPr>
            </w:pPr>
            <w:r>
              <w:rPr>
                <w:rFonts w:ascii="Arial" w:cs="Arial" w:eastAsia="Arial" w:hAnsi="Arial"/>
                <w:sz w:val="15"/>
                <w:szCs w:val="15"/>
                <w:color w:val="auto"/>
              </w:rPr>
              <w:t>94,134</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jc w:val="right"/>
              <w:ind w:right="64"/>
              <w:spacing w:after="0"/>
              <w:rPr>
                <w:sz w:val="20"/>
                <w:szCs w:val="20"/>
                <w:color w:val="auto"/>
              </w:rPr>
            </w:pPr>
            <w:r>
              <w:rPr>
                <w:rFonts w:ascii="Arial" w:cs="Arial" w:eastAsia="Arial" w:hAnsi="Arial"/>
                <w:sz w:val="15"/>
                <w:szCs w:val="15"/>
                <w:color w:val="auto"/>
              </w:rPr>
              <w:t>86,325</w:t>
            </w:r>
          </w:p>
        </w:tc>
      </w:tr>
      <w:tr>
        <w:trPr>
          <w:trHeight w:val="432"/>
        </w:trPr>
        <w:tc>
          <w:tcPr>
            <w:tcW w:w="120" w:type="dxa"/>
            <w:vAlign w:val="bottom"/>
          </w:tcPr>
          <w:p>
            <w:pPr>
              <w:spacing w:after="0"/>
              <w:rPr>
                <w:sz w:val="24"/>
                <w:szCs w:val="24"/>
                <w:color w:val="auto"/>
              </w:rPr>
            </w:pPr>
          </w:p>
        </w:tc>
        <w:tc>
          <w:tcPr>
            <w:tcW w:w="1080" w:type="dxa"/>
            <w:vAlign w:val="bottom"/>
          </w:tcPr>
          <w:p>
            <w:pPr>
              <w:jc w:val="right"/>
              <w:ind w:right="84"/>
              <w:spacing w:after="0"/>
              <w:rPr>
                <w:sz w:val="20"/>
                <w:szCs w:val="20"/>
                <w:color w:val="auto"/>
              </w:rPr>
            </w:pPr>
            <w:r>
              <w:rPr>
                <w:rFonts w:ascii="Arial" w:cs="Arial" w:eastAsia="Arial" w:hAnsi="Arial"/>
                <w:sz w:val="15"/>
                <w:szCs w:val="15"/>
                <w:color w:val="auto"/>
              </w:rPr>
              <w:t>2,448</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jc w:val="right"/>
              <w:ind w:right="64"/>
              <w:spacing w:after="0"/>
              <w:rPr>
                <w:sz w:val="20"/>
                <w:szCs w:val="20"/>
                <w:color w:val="auto"/>
              </w:rPr>
            </w:pPr>
            <w:r>
              <w:rPr>
                <w:rFonts w:ascii="Arial" w:cs="Arial" w:eastAsia="Arial" w:hAnsi="Arial"/>
                <w:sz w:val="15"/>
                <w:szCs w:val="15"/>
                <w:color w:val="auto"/>
              </w:rPr>
              <w:t>2,487</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jc w:val="right"/>
              <w:ind w:right="64"/>
              <w:spacing w:after="0"/>
              <w:rPr>
                <w:sz w:val="20"/>
                <w:szCs w:val="20"/>
                <w:color w:val="auto"/>
              </w:rPr>
            </w:pPr>
            <w:r>
              <w:rPr>
                <w:rFonts w:ascii="Arial" w:cs="Arial" w:eastAsia="Arial" w:hAnsi="Arial"/>
                <w:sz w:val="15"/>
                <w:szCs w:val="15"/>
                <w:color w:val="auto"/>
              </w:rPr>
              <w:t>2,430</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jc w:val="right"/>
              <w:ind w:right="64"/>
              <w:spacing w:after="0"/>
              <w:rPr>
                <w:sz w:val="20"/>
                <w:szCs w:val="20"/>
                <w:color w:val="auto"/>
              </w:rPr>
            </w:pPr>
            <w:r>
              <w:rPr>
                <w:rFonts w:ascii="Arial" w:cs="Arial" w:eastAsia="Arial" w:hAnsi="Arial"/>
                <w:sz w:val="15"/>
                <w:szCs w:val="15"/>
                <w:color w:val="auto"/>
              </w:rPr>
              <w:t>2,605</w:t>
            </w:r>
          </w:p>
        </w:tc>
      </w:tr>
      <w:tr>
        <w:trPr>
          <w:trHeight w:val="216"/>
        </w:trPr>
        <w:tc>
          <w:tcPr>
            <w:tcW w:w="120" w:type="dxa"/>
            <w:vAlign w:val="bottom"/>
          </w:tcPr>
          <w:p>
            <w:pPr>
              <w:spacing w:after="0"/>
              <w:rPr>
                <w:sz w:val="18"/>
                <w:szCs w:val="18"/>
                <w:color w:val="auto"/>
              </w:rPr>
            </w:pPr>
          </w:p>
        </w:tc>
        <w:tc>
          <w:tcPr>
            <w:tcW w:w="1080" w:type="dxa"/>
            <w:vAlign w:val="bottom"/>
          </w:tcPr>
          <w:p>
            <w:pPr>
              <w:jc w:val="right"/>
              <w:ind w:right="84"/>
              <w:spacing w:after="0"/>
              <w:rPr>
                <w:sz w:val="20"/>
                <w:szCs w:val="20"/>
                <w:color w:val="auto"/>
              </w:rPr>
            </w:pPr>
            <w:r>
              <w:rPr>
                <w:rFonts w:ascii="Arial" w:cs="Arial" w:eastAsia="Arial" w:hAnsi="Arial"/>
                <w:sz w:val="15"/>
                <w:szCs w:val="15"/>
                <w:color w:val="auto"/>
              </w:rPr>
              <w:t>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ind w:right="64"/>
              <w:spacing w:after="0"/>
              <w:rPr>
                <w:sz w:val="20"/>
                <w:szCs w:val="20"/>
                <w:color w:val="auto"/>
              </w:rPr>
            </w:pPr>
            <w:r>
              <w:rPr>
                <w:rFonts w:ascii="Arial" w:cs="Arial" w:eastAsia="Arial" w:hAnsi="Arial"/>
                <w:sz w:val="15"/>
                <w:szCs w:val="15"/>
                <w:color w:val="auto"/>
              </w:rPr>
              <w:t>1</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ind w:right="64"/>
              <w:spacing w:after="0"/>
              <w:rPr>
                <w:sz w:val="20"/>
                <w:szCs w:val="20"/>
                <w:color w:val="auto"/>
              </w:rPr>
            </w:pPr>
            <w:r>
              <w:rPr>
                <w:rFonts w:ascii="Arial" w:cs="Arial" w:eastAsia="Arial" w:hAnsi="Arial"/>
                <w:sz w:val="15"/>
                <w:szCs w:val="15"/>
                <w:color w:val="auto"/>
              </w:rPr>
              <w:t>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ind w:right="64"/>
              <w:spacing w:after="0"/>
              <w:rPr>
                <w:sz w:val="20"/>
                <w:szCs w:val="20"/>
                <w:color w:val="auto"/>
              </w:rPr>
            </w:pPr>
            <w:r>
              <w:rPr>
                <w:rFonts w:ascii="Arial" w:cs="Arial" w:eastAsia="Arial" w:hAnsi="Arial"/>
                <w:sz w:val="15"/>
                <w:szCs w:val="15"/>
                <w:color w:val="auto"/>
              </w:rPr>
              <w:t>1</w:t>
            </w:r>
          </w:p>
        </w:tc>
      </w:tr>
      <w:tr>
        <w:trPr>
          <w:trHeight w:val="216"/>
        </w:trPr>
        <w:tc>
          <w:tcPr>
            <w:tcW w:w="120" w:type="dxa"/>
            <w:vAlign w:val="bottom"/>
          </w:tcPr>
          <w:p>
            <w:pPr>
              <w:spacing w:after="0"/>
              <w:rPr>
                <w:sz w:val="18"/>
                <w:szCs w:val="18"/>
                <w:color w:val="auto"/>
              </w:rPr>
            </w:pPr>
          </w:p>
        </w:tc>
        <w:tc>
          <w:tcPr>
            <w:tcW w:w="1080" w:type="dxa"/>
            <w:vAlign w:val="bottom"/>
          </w:tcPr>
          <w:p>
            <w:pPr>
              <w:jc w:val="right"/>
              <w:ind w:right="84"/>
              <w:spacing w:after="0"/>
              <w:rPr>
                <w:sz w:val="20"/>
                <w:szCs w:val="20"/>
                <w:color w:val="auto"/>
              </w:rPr>
            </w:pPr>
            <w:r>
              <w:rPr>
                <w:rFonts w:ascii="Arial" w:cs="Arial" w:eastAsia="Arial" w:hAnsi="Arial"/>
                <w:sz w:val="15"/>
                <w:szCs w:val="15"/>
                <w:color w:val="auto"/>
              </w:rPr>
              <w:t>305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ind w:right="64"/>
              <w:spacing w:after="0"/>
              <w:rPr>
                <w:sz w:val="20"/>
                <w:szCs w:val="20"/>
                <w:color w:val="auto"/>
              </w:rPr>
            </w:pPr>
            <w:r>
              <w:rPr>
                <w:rFonts w:ascii="Arial" w:cs="Arial" w:eastAsia="Arial" w:hAnsi="Arial"/>
                <w:sz w:val="15"/>
                <w:szCs w:val="15"/>
                <w:color w:val="auto"/>
              </w:rPr>
              <w:t>433</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ind w:right="64"/>
              <w:spacing w:after="0"/>
              <w:rPr>
                <w:sz w:val="20"/>
                <w:szCs w:val="20"/>
                <w:color w:val="auto"/>
              </w:rPr>
            </w:pPr>
            <w:r>
              <w:rPr>
                <w:rFonts w:ascii="Arial" w:cs="Arial" w:eastAsia="Arial" w:hAnsi="Arial"/>
                <w:sz w:val="15"/>
                <w:szCs w:val="15"/>
                <w:color w:val="auto"/>
              </w:rPr>
              <w:t>390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ind w:right="64"/>
              <w:spacing w:after="0"/>
              <w:rPr>
                <w:sz w:val="20"/>
                <w:szCs w:val="20"/>
                <w:color w:val="auto"/>
              </w:rPr>
            </w:pPr>
            <w:r>
              <w:rPr>
                <w:rFonts w:ascii="Arial" w:cs="Arial" w:eastAsia="Arial" w:hAnsi="Arial"/>
                <w:sz w:val="15"/>
                <w:szCs w:val="15"/>
                <w:color w:val="auto"/>
              </w:rPr>
              <w:t>444</w:t>
            </w:r>
          </w:p>
        </w:tc>
      </w:tr>
      <w:tr>
        <w:trPr>
          <w:trHeight w:val="216"/>
        </w:trPr>
        <w:tc>
          <w:tcPr>
            <w:tcW w:w="120" w:type="dxa"/>
            <w:vAlign w:val="bottom"/>
          </w:tcPr>
          <w:p>
            <w:pPr>
              <w:spacing w:after="0"/>
              <w:rPr>
                <w:sz w:val="18"/>
                <w:szCs w:val="18"/>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8"/>
                <w:szCs w:val="18"/>
                <w:color w:val="auto"/>
              </w:rPr>
            </w:pPr>
          </w:p>
        </w:tc>
        <w:tc>
          <w:tcPr>
            <w:tcW w:w="1060" w:type="dxa"/>
            <w:vAlign w:val="bottom"/>
          </w:tcPr>
          <w:p>
            <w:pPr>
              <w:jc w:val="right"/>
              <w:ind w:right="64"/>
              <w:spacing w:after="0"/>
              <w:rPr>
                <w:sz w:val="20"/>
                <w:szCs w:val="20"/>
                <w:color w:val="auto"/>
              </w:rPr>
            </w:pPr>
            <w:r>
              <w:rPr>
                <w:rFonts w:ascii="Arial" w:cs="Arial" w:eastAsia="Arial" w:hAnsi="Arial"/>
                <w:sz w:val="15"/>
                <w:szCs w:val="15"/>
                <w:color w:val="auto"/>
              </w:rPr>
              <w:t>75</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ind w:right="64"/>
              <w:spacing w:after="0"/>
              <w:rPr>
                <w:sz w:val="20"/>
                <w:szCs w:val="20"/>
                <w:color w:val="auto"/>
              </w:rPr>
            </w:pPr>
            <w:r>
              <w:rPr>
                <w:rFonts w:ascii="Arial" w:cs="Arial" w:eastAsia="Arial" w:hAnsi="Arial"/>
                <w:sz w:val="15"/>
                <w:szCs w:val="15"/>
                <w:color w:val="auto"/>
              </w:rPr>
              <w:t>75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ind w:right="64"/>
              <w:spacing w:after="0"/>
              <w:rPr>
                <w:sz w:val="20"/>
                <w:szCs w:val="20"/>
                <w:color w:val="auto"/>
              </w:rPr>
            </w:pPr>
            <w:r>
              <w:rPr>
                <w:rFonts w:ascii="Arial" w:cs="Arial" w:eastAsia="Arial" w:hAnsi="Arial"/>
                <w:sz w:val="15"/>
                <w:szCs w:val="15"/>
                <w:color w:val="auto"/>
              </w:rPr>
              <w:t>75</w:t>
            </w:r>
          </w:p>
        </w:tc>
      </w:tr>
      <w:tr>
        <w:trPr>
          <w:trHeight w:val="216"/>
        </w:trPr>
        <w:tc>
          <w:tcPr>
            <w:tcW w:w="120" w:type="dxa"/>
            <w:vAlign w:val="bottom"/>
          </w:tcPr>
          <w:p>
            <w:pPr>
              <w:spacing w:after="0"/>
              <w:rPr>
                <w:sz w:val="18"/>
                <w:szCs w:val="18"/>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8"/>
                <w:szCs w:val="18"/>
                <w:color w:val="auto"/>
              </w:rPr>
            </w:pPr>
          </w:p>
        </w:tc>
        <w:tc>
          <w:tcPr>
            <w:tcW w:w="1060" w:type="dxa"/>
            <w:vAlign w:val="bottom"/>
          </w:tcPr>
          <w:p>
            <w:pPr>
              <w:jc w:val="right"/>
              <w:ind w:right="64"/>
              <w:spacing w:after="0"/>
              <w:rPr>
                <w:sz w:val="20"/>
                <w:szCs w:val="20"/>
                <w:color w:val="auto"/>
              </w:rPr>
            </w:pPr>
            <w:r>
              <w:rPr>
                <w:rFonts w:ascii="Arial" w:cs="Arial" w:eastAsia="Arial" w:hAnsi="Arial"/>
                <w:sz w:val="15"/>
                <w:szCs w:val="15"/>
                <w:color w:val="auto"/>
              </w:rPr>
              <w:t>793</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ind w:right="64"/>
              <w:spacing w:after="0"/>
              <w:rPr>
                <w:sz w:val="20"/>
                <w:szCs w:val="20"/>
                <w:color w:val="auto"/>
              </w:rPr>
            </w:pPr>
            <w:r>
              <w:rPr>
                <w:rFonts w:ascii="Arial" w:cs="Arial" w:eastAsia="Arial" w:hAnsi="Arial"/>
                <w:sz w:val="15"/>
                <w:szCs w:val="15"/>
                <w:color w:val="auto"/>
              </w:rPr>
              <w:t>740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ind w:right="64"/>
              <w:spacing w:after="0"/>
              <w:rPr>
                <w:sz w:val="20"/>
                <w:szCs w:val="20"/>
                <w:color w:val="auto"/>
              </w:rPr>
            </w:pPr>
            <w:r>
              <w:rPr>
                <w:rFonts w:ascii="Arial" w:cs="Arial" w:eastAsia="Arial" w:hAnsi="Arial"/>
                <w:sz w:val="15"/>
                <w:szCs w:val="15"/>
                <w:color w:val="auto"/>
              </w:rPr>
              <w:t>798</w:t>
            </w:r>
          </w:p>
        </w:tc>
      </w:tr>
      <w:tr>
        <w:trPr>
          <w:trHeight w:val="220"/>
        </w:trPr>
        <w:tc>
          <w:tcPr>
            <w:tcW w:w="120" w:type="dxa"/>
            <w:vAlign w:val="bottom"/>
          </w:tcPr>
          <w:p>
            <w:pPr>
              <w:spacing w:after="0"/>
              <w:rPr>
                <w:sz w:val="19"/>
                <w:szCs w:val="19"/>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9"/>
                <w:szCs w:val="19"/>
                <w:color w:val="auto"/>
              </w:rPr>
            </w:pPr>
          </w:p>
        </w:tc>
        <w:tc>
          <w:tcPr>
            <w:tcW w:w="1060" w:type="dxa"/>
            <w:vAlign w:val="bottom"/>
          </w:tcPr>
          <w:p>
            <w:pPr>
              <w:jc w:val="right"/>
              <w:ind w:right="64"/>
              <w:spacing w:after="0"/>
              <w:rPr>
                <w:sz w:val="20"/>
                <w:szCs w:val="20"/>
                <w:color w:val="auto"/>
              </w:rPr>
            </w:pPr>
            <w:r>
              <w:rPr>
                <w:rFonts w:ascii="Arial" w:cs="Arial" w:eastAsia="Arial" w:hAnsi="Arial"/>
                <w:sz w:val="15"/>
                <w:szCs w:val="15"/>
                <w:color w:val="auto"/>
              </w:rPr>
              <w:t>467</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9"/>
                <w:szCs w:val="19"/>
                <w:color w:val="auto"/>
              </w:rPr>
            </w:pPr>
          </w:p>
        </w:tc>
        <w:tc>
          <w:tcPr>
            <w:tcW w:w="1060" w:type="dxa"/>
            <w:vAlign w:val="bottom"/>
          </w:tcPr>
          <w:p>
            <w:pPr>
              <w:jc w:val="right"/>
              <w:ind w:right="64"/>
              <w:spacing w:after="0"/>
              <w:rPr>
                <w:sz w:val="20"/>
                <w:szCs w:val="20"/>
                <w:color w:val="auto"/>
              </w:rPr>
            </w:pPr>
            <w:r>
              <w:rPr>
                <w:rFonts w:ascii="Arial" w:cs="Arial" w:eastAsia="Arial" w:hAnsi="Arial"/>
                <w:sz w:val="15"/>
                <w:szCs w:val="15"/>
                <w:color w:val="auto"/>
              </w:rPr>
              <w:t>467</w:t>
            </w:r>
          </w:p>
        </w:tc>
      </w:tr>
      <w:tr>
        <w:trPr>
          <w:trHeight w:val="210"/>
        </w:trPr>
        <w:tc>
          <w:tcPr>
            <w:tcW w:w="12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84"/>
              <w:spacing w:after="0"/>
              <w:rPr>
                <w:sz w:val="20"/>
                <w:szCs w:val="20"/>
                <w:color w:val="auto"/>
              </w:rPr>
            </w:pPr>
            <w:r>
              <w:rPr>
                <w:rFonts w:ascii="Arial" w:cs="Arial" w:eastAsia="Arial" w:hAnsi="Arial"/>
                <w:sz w:val="15"/>
                <w:szCs w:val="15"/>
                <w:color w:val="auto"/>
              </w:rPr>
              <w:t>98,613</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64"/>
              <w:spacing w:after="0"/>
              <w:rPr>
                <w:sz w:val="20"/>
                <w:szCs w:val="20"/>
                <w:color w:val="auto"/>
              </w:rPr>
            </w:pPr>
            <w:r>
              <w:rPr>
                <w:rFonts w:ascii="Arial" w:cs="Arial" w:eastAsia="Arial" w:hAnsi="Arial"/>
                <w:sz w:val="15"/>
                <w:szCs w:val="15"/>
                <w:color w:val="auto"/>
              </w:rPr>
              <w:t>91,386</w:t>
            </w:r>
          </w:p>
        </w:tc>
        <w:tc>
          <w:tcPr>
            <w:tcW w:w="24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64"/>
              <w:spacing w:after="0"/>
              <w:rPr>
                <w:sz w:val="20"/>
                <w:szCs w:val="20"/>
                <w:color w:val="auto"/>
              </w:rPr>
            </w:pPr>
            <w:r>
              <w:rPr>
                <w:rFonts w:ascii="Arial" w:cs="Arial" w:eastAsia="Arial" w:hAnsi="Arial"/>
                <w:sz w:val="15"/>
                <w:szCs w:val="15"/>
                <w:color w:val="auto"/>
              </w:rPr>
              <w:t>97,770</w:t>
            </w:r>
          </w:p>
        </w:tc>
        <w:tc>
          <w:tcPr>
            <w:tcW w:w="12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64"/>
              <w:spacing w:after="0"/>
              <w:rPr>
                <w:sz w:val="20"/>
                <w:szCs w:val="20"/>
                <w:color w:val="auto"/>
              </w:rPr>
            </w:pPr>
            <w:r>
              <w:rPr>
                <w:rFonts w:ascii="Arial" w:cs="Arial" w:eastAsia="Arial" w:hAnsi="Arial"/>
                <w:sz w:val="15"/>
                <w:szCs w:val="15"/>
                <w:color w:val="auto"/>
              </w:rPr>
              <w:t>90,715</w:t>
            </w:r>
          </w:p>
        </w:tc>
      </w:tr>
      <w:tr>
        <w:trPr>
          <w:trHeight w:val="25"/>
        </w:trPr>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552"/>
        </w:trPr>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80" w:type="dxa"/>
            <w:vAlign w:val="bottom"/>
          </w:tcPr>
          <w:p>
            <w:pPr>
              <w:jc w:val="right"/>
              <w:ind w:right="84"/>
              <w:spacing w:after="0"/>
              <w:rPr>
                <w:sz w:val="20"/>
                <w:szCs w:val="20"/>
                <w:color w:val="auto"/>
              </w:rPr>
            </w:pPr>
            <w:r>
              <w:rPr>
                <w:rFonts w:ascii="Arial" w:cs="Arial" w:eastAsia="Arial" w:hAnsi="Arial"/>
                <w:sz w:val="15"/>
                <w:szCs w:val="15"/>
                <w:color w:val="auto"/>
              </w:rPr>
              <w:t>1.20</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60" w:type="dxa"/>
            <w:vAlign w:val="bottom"/>
          </w:tcPr>
          <w:p>
            <w:pPr>
              <w:jc w:val="right"/>
              <w:ind w:right="64"/>
              <w:spacing w:after="0"/>
              <w:rPr>
                <w:sz w:val="20"/>
                <w:szCs w:val="20"/>
                <w:color w:val="auto"/>
              </w:rPr>
            </w:pPr>
            <w:r>
              <w:rPr>
                <w:rFonts w:ascii="Arial" w:cs="Arial" w:eastAsia="Arial" w:hAnsi="Arial"/>
                <w:sz w:val="15"/>
                <w:szCs w:val="15"/>
                <w:color w:val="auto"/>
              </w:rPr>
              <w:t>1.18</w:t>
            </w:r>
          </w:p>
        </w:tc>
        <w:tc>
          <w:tcPr>
            <w:tcW w:w="24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60" w:type="dxa"/>
            <w:vAlign w:val="bottom"/>
          </w:tcPr>
          <w:p>
            <w:pPr>
              <w:jc w:val="right"/>
              <w:ind w:right="64"/>
              <w:spacing w:after="0"/>
              <w:rPr>
                <w:sz w:val="20"/>
                <w:szCs w:val="20"/>
                <w:color w:val="auto"/>
              </w:rPr>
            </w:pPr>
            <w:r>
              <w:rPr>
                <w:rFonts w:ascii="Arial" w:cs="Arial" w:eastAsia="Arial" w:hAnsi="Arial"/>
                <w:sz w:val="15"/>
                <w:szCs w:val="15"/>
                <w:color w:val="auto"/>
              </w:rPr>
              <w:t>2.19</w:t>
            </w:r>
          </w:p>
        </w:tc>
        <w:tc>
          <w:tcPr>
            <w:tcW w:w="1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ind w:right="64"/>
              <w:spacing w:after="0"/>
              <w:rPr>
                <w:sz w:val="20"/>
                <w:szCs w:val="20"/>
                <w:color w:val="auto"/>
              </w:rPr>
            </w:pPr>
            <w:r>
              <w:rPr>
                <w:rFonts w:ascii="Arial" w:cs="Arial" w:eastAsia="Arial" w:hAnsi="Arial"/>
                <w:sz w:val="15"/>
                <w:szCs w:val="15"/>
                <w:color w:val="auto"/>
              </w:rPr>
              <w:t>2.37</w:t>
            </w:r>
          </w:p>
        </w:tc>
      </w:tr>
      <w:tr>
        <w:trPr>
          <w:trHeight w:val="594"/>
        </w:trPr>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80" w:type="dxa"/>
            <w:vAlign w:val="bottom"/>
          </w:tcPr>
          <w:p>
            <w:pPr>
              <w:jc w:val="right"/>
              <w:ind w:right="84"/>
              <w:spacing w:after="0"/>
              <w:rPr>
                <w:sz w:val="20"/>
                <w:szCs w:val="20"/>
                <w:color w:val="auto"/>
              </w:rPr>
            </w:pPr>
            <w:r>
              <w:rPr>
                <w:rFonts w:ascii="Arial" w:cs="Arial" w:eastAsia="Arial" w:hAnsi="Arial"/>
                <w:sz w:val="15"/>
                <w:szCs w:val="15"/>
                <w:color w:val="auto"/>
              </w:rPr>
              <w:t>1.12</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60" w:type="dxa"/>
            <w:vAlign w:val="bottom"/>
          </w:tcPr>
          <w:p>
            <w:pPr>
              <w:jc w:val="right"/>
              <w:ind w:right="64"/>
              <w:spacing w:after="0"/>
              <w:rPr>
                <w:sz w:val="20"/>
                <w:szCs w:val="20"/>
                <w:color w:val="auto"/>
              </w:rPr>
            </w:pPr>
            <w:r>
              <w:rPr>
                <w:rFonts w:ascii="Arial" w:cs="Arial" w:eastAsia="Arial" w:hAnsi="Arial"/>
                <w:sz w:val="15"/>
                <w:szCs w:val="15"/>
                <w:color w:val="auto"/>
              </w:rPr>
              <w:t>1.18</w:t>
            </w:r>
          </w:p>
        </w:tc>
        <w:tc>
          <w:tcPr>
            <w:tcW w:w="24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60" w:type="dxa"/>
            <w:vAlign w:val="bottom"/>
          </w:tcPr>
          <w:p>
            <w:pPr>
              <w:jc w:val="right"/>
              <w:ind w:right="64"/>
              <w:spacing w:after="0"/>
              <w:rPr>
                <w:sz w:val="20"/>
                <w:szCs w:val="20"/>
                <w:color w:val="auto"/>
              </w:rPr>
            </w:pPr>
            <w:r>
              <w:rPr>
                <w:rFonts w:ascii="Arial" w:cs="Arial" w:eastAsia="Arial" w:hAnsi="Arial"/>
                <w:sz w:val="15"/>
                <w:szCs w:val="15"/>
                <w:color w:val="auto"/>
              </w:rPr>
              <w:t>2.34</w:t>
            </w:r>
          </w:p>
        </w:tc>
        <w:tc>
          <w:tcPr>
            <w:tcW w:w="1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ind w:right="64"/>
              <w:spacing w:after="0"/>
              <w:rPr>
                <w:sz w:val="20"/>
                <w:szCs w:val="20"/>
                <w:color w:val="auto"/>
              </w:rPr>
            </w:pPr>
            <w:r>
              <w:rPr>
                <w:rFonts w:ascii="Arial" w:cs="Arial" w:eastAsia="Arial" w:hAnsi="Arial"/>
                <w:sz w:val="15"/>
                <w:szCs w:val="15"/>
                <w:color w:val="auto"/>
              </w:rPr>
              <w:t>2.36</w:t>
            </w:r>
          </w:p>
        </w:tc>
      </w:tr>
    </w:tbl>
    <w:p>
      <w:pPr>
        <w:spacing w:after="0" w:line="214" w:lineRule="exact"/>
        <w:rPr>
          <w:sz w:val="20"/>
          <w:szCs w:val="20"/>
          <w:color w:val="auto"/>
        </w:rPr>
      </w:pPr>
    </w:p>
    <w:p>
      <w:pPr>
        <w:sectPr>
          <w:pgSz w:w="11900" w:h="16838" w:orient="portrait"/>
          <w:cols w:equalWidth="0" w:num="2">
            <w:col w:w="5680" w:space="360"/>
            <w:col w:w="5200"/>
          </w:cols>
          <w:pgMar w:left="320" w:top="364" w:right="339" w:bottom="1440" w:gutter="0" w:footer="0" w:header="0"/>
          <w:type w:val="continuous"/>
        </w:sectPr>
      </w:pPr>
    </w:p>
    <w:p>
      <w:pPr>
        <w:spacing w:after="0" w:line="23" w:lineRule="exact"/>
        <w:rPr>
          <w:sz w:val="20"/>
          <w:szCs w:val="20"/>
          <w:color w:val="auto"/>
        </w:rPr>
      </w:pPr>
    </w:p>
    <w:p>
      <w:pPr>
        <w:ind w:left="140" w:hanging="132"/>
        <w:spacing w:after="0"/>
        <w:tabs>
          <w:tab w:leader="none" w:pos="140" w:val="left"/>
        </w:tabs>
        <w:numPr>
          <w:ilvl w:val="0"/>
          <w:numId w:val="30"/>
        </w:numPr>
        <w:rPr>
          <w:rFonts w:ascii="Arial" w:cs="Arial" w:eastAsia="Arial" w:hAnsi="Arial"/>
          <w:sz w:val="16"/>
          <w:szCs w:val="16"/>
          <w:color w:val="auto"/>
          <w:vertAlign w:val="superscript"/>
        </w:rPr>
      </w:pPr>
      <w:r>
        <w:rPr>
          <w:rFonts w:ascii="Arial" w:cs="Arial" w:eastAsia="Arial" w:hAnsi="Arial"/>
          <w:sz w:val="13"/>
          <w:szCs w:val="13"/>
          <w:color w:val="auto"/>
        </w:rPr>
        <w:t>The effect of certain anti-dilutive convertible securities is excluded from these items.</w:t>
      </w:r>
    </w:p>
    <w:p>
      <w:pPr>
        <w:spacing w:after="0" w:line="3" w:lineRule="exact"/>
        <w:rPr>
          <w:rFonts w:ascii="Arial" w:cs="Arial" w:eastAsia="Arial" w:hAnsi="Arial"/>
          <w:sz w:val="16"/>
          <w:szCs w:val="16"/>
          <w:color w:val="auto"/>
          <w:vertAlign w:val="superscript"/>
        </w:rPr>
      </w:pPr>
    </w:p>
    <w:p>
      <w:pPr>
        <w:ind w:left="340" w:hanging="332"/>
        <w:spacing w:after="0" w:line="228" w:lineRule="auto"/>
        <w:tabs>
          <w:tab w:leader="none" w:pos="156" w:val="left"/>
        </w:tabs>
        <w:numPr>
          <w:ilvl w:val="0"/>
          <w:numId w:val="30"/>
        </w:numPr>
        <w:rPr>
          <w:rFonts w:ascii="Arial" w:cs="Arial" w:eastAsia="Arial" w:hAnsi="Arial"/>
          <w:sz w:val="18"/>
          <w:szCs w:val="18"/>
          <w:color w:val="auto"/>
          <w:vertAlign w:val="superscript"/>
        </w:rPr>
      </w:pPr>
      <w:r>
        <w:rPr>
          <w:rFonts w:ascii="Arial" w:cs="Arial" w:eastAsia="Arial" w:hAnsi="Arial"/>
          <w:sz w:val="14"/>
          <w:szCs w:val="14"/>
          <w:color w:val="auto"/>
        </w:rPr>
        <w:t>These costs represent the expenses incurred to bring recently acquired properties up to our operating standards, including items such as tree trimming and painting costs that do not meet our capitalization policy.</w:t>
      </w:r>
    </w:p>
    <w:p>
      <w:pPr>
        <w:spacing w:after="0" w:line="1" w:lineRule="exact"/>
        <w:rPr>
          <w:rFonts w:ascii="Arial" w:cs="Arial" w:eastAsia="Arial" w:hAnsi="Arial"/>
          <w:sz w:val="18"/>
          <w:szCs w:val="18"/>
          <w:color w:val="auto"/>
          <w:vertAlign w:val="superscript"/>
        </w:rPr>
      </w:pPr>
    </w:p>
    <w:p>
      <w:pPr>
        <w:ind w:left="340" w:right="20" w:hanging="332"/>
        <w:spacing w:after="0" w:line="228" w:lineRule="auto"/>
        <w:tabs>
          <w:tab w:leader="none" w:pos="156" w:val="left"/>
        </w:tabs>
        <w:numPr>
          <w:ilvl w:val="0"/>
          <w:numId w:val="30"/>
        </w:numPr>
        <w:rPr>
          <w:rFonts w:ascii="Arial" w:cs="Arial" w:eastAsia="Arial" w:hAnsi="Arial"/>
          <w:sz w:val="18"/>
          <w:szCs w:val="18"/>
          <w:color w:val="auto"/>
          <w:vertAlign w:val="superscript"/>
        </w:rPr>
      </w:pPr>
      <w:r>
        <w:rPr>
          <w:rFonts w:ascii="Arial" w:cs="Arial" w:eastAsia="Arial" w:hAnsi="Arial"/>
          <w:sz w:val="14"/>
          <w:szCs w:val="14"/>
          <w:color w:val="auto"/>
        </w:rPr>
        <w:t>Adjustment represents estimated loss of earnings in excess of the applicable business interruption deductible in relation to our three Florida Keys communities that were impaired by Hurricane Irma which had not yet been received from our insurer.</w:t>
      </w:r>
    </w:p>
    <w:p>
      <w:pPr>
        <w:spacing w:after="0" w:line="1" w:lineRule="exact"/>
        <w:rPr>
          <w:rFonts w:ascii="Arial" w:cs="Arial" w:eastAsia="Arial" w:hAnsi="Arial"/>
          <w:sz w:val="18"/>
          <w:szCs w:val="18"/>
          <w:color w:val="auto"/>
          <w:vertAlign w:val="superscript"/>
        </w:rPr>
      </w:pPr>
    </w:p>
    <w:p>
      <w:pPr>
        <w:ind w:left="140" w:hanging="132"/>
        <w:spacing w:after="0" w:line="237" w:lineRule="auto"/>
        <w:tabs>
          <w:tab w:leader="none" w:pos="140" w:val="left"/>
        </w:tabs>
        <w:numPr>
          <w:ilvl w:val="0"/>
          <w:numId w:val="30"/>
        </w:numPr>
        <w:rPr>
          <w:rFonts w:ascii="Arial" w:cs="Arial" w:eastAsia="Arial" w:hAnsi="Arial"/>
          <w:sz w:val="16"/>
          <w:szCs w:val="16"/>
          <w:color w:val="auto"/>
          <w:vertAlign w:val="superscript"/>
        </w:rPr>
      </w:pPr>
      <w:r>
        <w:rPr>
          <w:rFonts w:ascii="Arial" w:cs="Arial" w:eastAsia="Arial" w:hAnsi="Arial"/>
          <w:sz w:val="13"/>
          <w:szCs w:val="13"/>
          <w:color w:val="auto"/>
        </w:rPr>
        <w:t>Adjustments include deferred compensation amortization upon retirement and deferred tax benefits.</w:t>
      </w:r>
    </w:p>
    <w:p>
      <w:pPr>
        <w:sectPr>
          <w:pgSz w:w="11900" w:h="16838" w:orient="portrait"/>
          <w:cols w:equalWidth="0" w:num="1">
            <w:col w:w="11240"/>
          </w:cols>
          <w:pgMar w:left="320" w:top="364"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type w:val="continuous"/>
        </w:sectPr>
      </w:pPr>
    </w:p>
    <w:bookmarkStart w:id="45" w:name="page46"/>
    <w:bookmarkEnd w:id="45"/>
    <w:p>
      <w:pPr>
        <w:jc w:val="center"/>
        <w:spacing w:after="0"/>
        <w:rPr>
          <w:sz w:val="20"/>
          <w:szCs w:val="20"/>
          <w:color w:val="auto"/>
        </w:rPr>
      </w:pPr>
      <w:r>
        <w:rPr>
          <w:rFonts w:ascii="Arial" w:cs="Arial" w:eastAsia="Arial" w:hAnsi="Arial"/>
          <w:sz w:val="18"/>
          <w:szCs w:val="18"/>
          <w:b w:val="1"/>
          <w:bCs w:val="1"/>
          <w:color w:val="auto"/>
        </w:rPr>
        <w:t>SUN COMMUNITIES, INC.</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5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principal liquidity demands have historically been, and are expected to continue to be, distributions to our stockholders and the unit holders of the Operating Partnership, capital improvement of properties, the purchase of new and pre-owned homes, property acquisitions, development and expansion of properties, and debt repayment.</w:t>
      </w:r>
    </w:p>
    <w:p>
      <w:pPr>
        <w:spacing w:after="0" w:line="21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Subject to market conditions, we intend to continue to identify opportunities to expand our development pipeline and acquire existing communities. We finance acquisitions through available cash, secured financing, draws on our lines of credit, the assumption of existing debt on properties, and the issuance of equity securities. We will continue to evaluate acquisition opportunities that meet our criteria. Refer to Note 3, “Real Estate Acquisitions,” in our accompanying Consolidated Financial Statements for information regarding recent community acquisitions.</w:t>
      </w:r>
    </w:p>
    <w:p>
      <w:pPr>
        <w:spacing w:after="0" w:line="19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also intend to continue to strengthen our capital and liquidity positions by focusing on our core fundamentals, which are generating positive cash flows from operations, maintaining appropriate debt levels and leverage ratios, and controlling overhead costs. We intend to meet our liquidity requirements through available cash balances, cash flows generated from operations, draws on our lines of credit, and the use of debt and equity offerings under our shelf registration statement. Refer to Note 8, “Debt and Lines of Credit,” and Note 9, “Equity and Temporary Equity,” in our accompanying Consolidated Financial Statements for additional information.</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Capital Expenditures</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capital expenditures include expansion sites and development construction costs, lot modifications, recurring capital expenditures and rental home purchases.</w:t>
      </w:r>
    </w:p>
    <w:p>
      <w:pPr>
        <w:spacing w:after="0" w:line="19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the six months ended June 30, 2020 and 2019, expansion and development activities of $127.1 million and $121.3 million, respectively, related to costs consisting primarily of construction of sites and other costs necessary to complete home site improvements. The increase is primarily driven by the ground-up developments and redevelopment at five communities.</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the six months ended June 30, 2020 and 2019, lot modification expenditures were $14.2 million and $13.9 million, respectively. These expenditures improve asset quality in our communities and are incurred when an existing home is removed and the site is prepared for a new home (more often than not, a multi-sectional home). These activities, which are mandated by strict manufacturer’s installation requirements and state building codes, include items such as new foundations, driveways, and utility upgrades.</w:t>
      </w:r>
    </w:p>
    <w:p>
      <w:pPr>
        <w:spacing w:after="0" w:line="21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the six months ended June 30, 2020 and 2019, recurring capital expenditures were $9.1 million and $11.1 million, respectively, related to our continued commitment to the upkeep of our properties.</w:t>
      </w:r>
    </w:p>
    <w:p>
      <w:pPr>
        <w:spacing w:after="0" w:line="19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Due to COVID-19, during March, April and May 2020, we significantly curtailed non-essential capital expenditures activities, and we are carefully assessing acquisition activity in the near term to preserve financial flexibility. We used a portion of the proceeds from our equity raise in May 2020, to fund certain recurring capital expenditures in our communities to maintain the quality of our communities and protect the equity of our residents’ investments in their homes. We are actively reviewing our acquisition pipeline for transactions that meet our business objectives.</w:t>
      </w:r>
    </w:p>
    <w:p>
      <w:pPr>
        <w:spacing w:after="0" w:line="19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invest in the acquisition of homes intended for the Rental Program. Expenditures for these investments depend upon the condition of the markets for repossessions and new home sales, as well as rental homes. We finance certain of our new home purchases with a $12.0 million manufactured home floor plan facility. Our ability to purchase homes for sale or rent may be limited by cash received from third-party financing of our home sales, available manufactured home floor plan financing and working capital available on our lines of credit.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46" w:name="page47"/>
    <w:bookmarkEnd w:id="46"/>
    <w:p>
      <w:pPr>
        <w:jc w:val="center"/>
        <w:spacing w:after="0"/>
        <w:rPr>
          <w:sz w:val="20"/>
          <w:szCs w:val="20"/>
          <w:color w:val="auto"/>
        </w:rPr>
      </w:pPr>
      <w:r>
        <w:rPr>
          <w:rFonts w:ascii="Arial" w:cs="Arial" w:eastAsia="Arial" w:hAnsi="Arial"/>
          <w:sz w:val="18"/>
          <w:szCs w:val="18"/>
          <w:b w:val="1"/>
          <w:bCs w:val="1"/>
          <w:color w:val="auto"/>
        </w:rPr>
        <w:t>SUN COMMUNITIES, INC.</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 Activities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Our cash flow activities are summarized as follows (in thousands):</w:t>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78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3200" w:type="dxa"/>
            <w:vAlign w:val="bottom"/>
            <w:tcBorders>
              <w:bottom w:val="single" w:sz="8" w:color="auto"/>
            </w:tcBorders>
            <w:gridSpan w:val="4"/>
          </w:tcPr>
          <w:p>
            <w:pPr>
              <w:jc w:val="right"/>
              <w:ind w:right="1024"/>
              <w:spacing w:after="0"/>
              <w:rPr>
                <w:sz w:val="20"/>
                <w:szCs w:val="20"/>
                <w:color w:val="auto"/>
              </w:rPr>
            </w:pPr>
            <w:r>
              <w:rPr>
                <w:rFonts w:ascii="Arial" w:cs="Arial" w:eastAsia="Arial" w:hAnsi="Arial"/>
                <w:sz w:val="15"/>
                <w:szCs w:val="15"/>
                <w:b w:val="1"/>
                <w:bCs w:val="1"/>
                <w:color w:val="auto"/>
              </w:rPr>
              <w:t>Six Months Ended</w:t>
            </w:r>
          </w:p>
        </w:tc>
      </w:tr>
      <w:tr>
        <w:trPr>
          <w:trHeight w:val="209"/>
        </w:trPr>
        <w:tc>
          <w:tcPr>
            <w:tcW w:w="7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gridSpan w:val="2"/>
          </w:tcPr>
          <w:p>
            <w:pPr>
              <w:ind w:left="140"/>
              <w:spacing w:after="0"/>
              <w:rPr>
                <w:sz w:val="20"/>
                <w:szCs w:val="20"/>
                <w:color w:val="auto"/>
              </w:rPr>
            </w:pPr>
            <w:r>
              <w:rPr>
                <w:rFonts w:ascii="Arial" w:cs="Arial" w:eastAsia="Arial" w:hAnsi="Arial"/>
                <w:sz w:val="15"/>
                <w:szCs w:val="15"/>
                <w:b w:val="1"/>
                <w:bCs w:val="1"/>
                <w:color w:val="auto"/>
              </w:rPr>
              <w:t>June 30, 2020</w:t>
            </w:r>
          </w:p>
        </w:tc>
        <w:tc>
          <w:tcPr>
            <w:tcW w:w="240" w:type="dxa"/>
            <w:vAlign w:val="bottom"/>
          </w:tcPr>
          <w:p>
            <w:pPr>
              <w:spacing w:after="0"/>
              <w:rPr>
                <w:sz w:val="18"/>
                <w:szCs w:val="18"/>
                <w:color w:val="auto"/>
              </w:rPr>
            </w:pPr>
          </w:p>
        </w:tc>
        <w:tc>
          <w:tcPr>
            <w:tcW w:w="1360" w:type="dxa"/>
            <w:vAlign w:val="bottom"/>
          </w:tcPr>
          <w:p>
            <w:pPr>
              <w:jc w:val="right"/>
              <w:ind w:right="284"/>
              <w:spacing w:after="0"/>
              <w:rPr>
                <w:sz w:val="20"/>
                <w:szCs w:val="20"/>
                <w:color w:val="auto"/>
              </w:rPr>
            </w:pPr>
            <w:r>
              <w:rPr>
                <w:rFonts w:ascii="Arial" w:cs="Arial" w:eastAsia="Arial" w:hAnsi="Arial"/>
                <w:sz w:val="15"/>
                <w:szCs w:val="15"/>
                <w:b w:val="1"/>
                <w:bCs w:val="1"/>
                <w:color w:val="auto"/>
              </w:rPr>
              <w:t>June 30, 2019</w:t>
            </w:r>
          </w:p>
        </w:tc>
      </w:tr>
      <w:tr>
        <w:trPr>
          <w:trHeight w:val="214"/>
        </w:trPr>
        <w:tc>
          <w:tcPr>
            <w:tcW w:w="78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Net Cash Provided by Operating Activities</w:t>
            </w:r>
          </w:p>
        </w:tc>
        <w:tc>
          <w:tcPr>
            <w:tcW w:w="220" w:type="dxa"/>
            <w:vAlign w:val="bottom"/>
            <w:tcBorders>
              <w:top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w w:val="95"/>
              </w:rPr>
              <w:t>$</w:t>
            </w:r>
          </w:p>
        </w:tc>
        <w:tc>
          <w:tcPr>
            <w:tcW w:w="1380" w:type="dxa"/>
            <w:vAlign w:val="bottom"/>
            <w:tcBorders>
              <w:top w:val="single" w:sz="8" w:color="auto"/>
            </w:tcBorders>
            <w:shd w:val="clear" w:color="auto" w:fill="CCEEFF"/>
          </w:tcPr>
          <w:p>
            <w:pPr>
              <w:jc w:val="right"/>
              <w:ind w:right="64"/>
              <w:spacing w:after="0"/>
              <w:rPr>
                <w:sz w:val="20"/>
                <w:szCs w:val="20"/>
                <w:color w:val="auto"/>
              </w:rPr>
            </w:pPr>
            <w:r>
              <w:rPr>
                <w:rFonts w:ascii="Arial" w:cs="Arial" w:eastAsia="Arial" w:hAnsi="Arial"/>
                <w:sz w:val="15"/>
                <w:szCs w:val="15"/>
                <w:color w:val="auto"/>
              </w:rPr>
              <w:t>302,027</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64"/>
              <w:spacing w:after="0"/>
              <w:rPr>
                <w:sz w:val="20"/>
                <w:szCs w:val="20"/>
                <w:color w:val="auto"/>
              </w:rPr>
            </w:pPr>
            <w:r>
              <w:rPr>
                <w:rFonts w:ascii="Arial" w:cs="Arial" w:eastAsia="Arial" w:hAnsi="Arial"/>
                <w:sz w:val="15"/>
                <w:szCs w:val="15"/>
                <w:color w:val="auto"/>
                <w:w w:val="95"/>
              </w:rPr>
              <w:t>$</w:t>
            </w:r>
          </w:p>
        </w:tc>
        <w:tc>
          <w:tcPr>
            <w:tcW w:w="1360" w:type="dxa"/>
            <w:vAlign w:val="bottom"/>
            <w:tcBorders>
              <w:top w:val="single" w:sz="8" w:color="auto"/>
            </w:tcBorders>
            <w:shd w:val="clear" w:color="auto" w:fill="CCEEFF"/>
          </w:tcPr>
          <w:p>
            <w:pPr>
              <w:jc w:val="right"/>
              <w:ind w:right="64"/>
              <w:spacing w:after="0"/>
              <w:rPr>
                <w:sz w:val="20"/>
                <w:szCs w:val="20"/>
                <w:color w:val="auto"/>
              </w:rPr>
            </w:pPr>
            <w:r>
              <w:rPr>
                <w:rFonts w:ascii="Arial" w:cs="Arial" w:eastAsia="Arial" w:hAnsi="Arial"/>
                <w:sz w:val="15"/>
                <w:szCs w:val="15"/>
                <w:color w:val="auto"/>
              </w:rPr>
              <w:t>259,844</w:t>
            </w:r>
          </w:p>
        </w:tc>
      </w:tr>
      <w:tr>
        <w:trPr>
          <w:trHeight w:val="212"/>
        </w:trPr>
        <w:tc>
          <w:tcPr>
            <w:tcW w:w="7820" w:type="dxa"/>
            <w:vAlign w:val="bottom"/>
          </w:tcPr>
          <w:p>
            <w:pPr>
              <w:ind w:left="20"/>
              <w:spacing w:after="0"/>
              <w:rPr>
                <w:sz w:val="20"/>
                <w:szCs w:val="20"/>
                <w:color w:val="auto"/>
              </w:rPr>
            </w:pPr>
            <w:r>
              <w:rPr>
                <w:rFonts w:ascii="Arial" w:cs="Arial" w:eastAsia="Arial" w:hAnsi="Arial"/>
                <w:sz w:val="15"/>
                <w:szCs w:val="15"/>
                <w:color w:val="auto"/>
              </w:rPr>
              <w:t>Net Cash Used for Investing Activities</w:t>
            </w:r>
          </w:p>
        </w:tc>
        <w:tc>
          <w:tcPr>
            <w:tcW w:w="220" w:type="dxa"/>
            <w:vAlign w:val="bottom"/>
          </w:tcPr>
          <w:p>
            <w:pPr>
              <w:jc w:val="right"/>
              <w:ind w:right="44"/>
              <w:spacing w:after="0"/>
              <w:rPr>
                <w:sz w:val="20"/>
                <w:szCs w:val="20"/>
                <w:color w:val="auto"/>
              </w:rPr>
            </w:pPr>
            <w:r>
              <w:rPr>
                <w:rFonts w:ascii="Arial" w:cs="Arial" w:eastAsia="Arial" w:hAnsi="Arial"/>
                <w:sz w:val="15"/>
                <w:szCs w:val="15"/>
                <w:color w:val="auto"/>
                <w:w w:val="95"/>
              </w:rPr>
              <w:t>$</w:t>
            </w:r>
          </w:p>
        </w:tc>
        <w:tc>
          <w:tcPr>
            <w:tcW w:w="1380" w:type="dxa"/>
            <w:vAlign w:val="bottom"/>
          </w:tcPr>
          <w:p>
            <w:pPr>
              <w:jc w:val="right"/>
              <w:ind w:right="44"/>
              <w:spacing w:after="0"/>
              <w:rPr>
                <w:sz w:val="20"/>
                <w:szCs w:val="20"/>
                <w:color w:val="auto"/>
              </w:rPr>
            </w:pPr>
            <w:r>
              <w:rPr>
                <w:rFonts w:ascii="Arial" w:cs="Arial" w:eastAsia="Arial" w:hAnsi="Arial"/>
                <w:sz w:val="15"/>
                <w:szCs w:val="15"/>
                <w:color w:val="auto"/>
              </w:rPr>
              <w:t>(368,116)</w:t>
            </w:r>
          </w:p>
        </w:tc>
        <w:tc>
          <w:tcPr>
            <w:tcW w:w="220" w:type="dxa"/>
            <w:vAlign w:val="bottom"/>
          </w:tcPr>
          <w:p>
            <w:pPr>
              <w:spacing w:after="0"/>
              <w:rPr>
                <w:sz w:val="18"/>
                <w:szCs w:val="18"/>
                <w:color w:val="auto"/>
              </w:rPr>
            </w:pPr>
          </w:p>
        </w:tc>
        <w:tc>
          <w:tcPr>
            <w:tcW w:w="240" w:type="dxa"/>
            <w:vAlign w:val="bottom"/>
          </w:tcPr>
          <w:p>
            <w:pPr>
              <w:jc w:val="right"/>
              <w:ind w:right="64"/>
              <w:spacing w:after="0"/>
              <w:rPr>
                <w:sz w:val="20"/>
                <w:szCs w:val="20"/>
                <w:color w:val="auto"/>
              </w:rPr>
            </w:pPr>
            <w:r>
              <w:rPr>
                <w:rFonts w:ascii="Arial" w:cs="Arial" w:eastAsia="Arial" w:hAnsi="Arial"/>
                <w:sz w:val="15"/>
                <w:szCs w:val="15"/>
                <w:color w:val="auto"/>
                <w:w w:val="95"/>
              </w:rPr>
              <w:t>$</w:t>
            </w:r>
          </w:p>
        </w:tc>
        <w:tc>
          <w:tcPr>
            <w:tcW w:w="1360" w:type="dxa"/>
            <w:vAlign w:val="bottom"/>
          </w:tcPr>
          <w:p>
            <w:pPr>
              <w:jc w:val="right"/>
              <w:ind w:right="24"/>
              <w:spacing w:after="0"/>
              <w:rPr>
                <w:sz w:val="20"/>
                <w:szCs w:val="20"/>
                <w:color w:val="auto"/>
              </w:rPr>
            </w:pPr>
            <w:r>
              <w:rPr>
                <w:rFonts w:ascii="Arial" w:cs="Arial" w:eastAsia="Arial" w:hAnsi="Arial"/>
                <w:sz w:val="15"/>
                <w:szCs w:val="15"/>
                <w:color w:val="auto"/>
              </w:rPr>
              <w:t>(570,530)</w:t>
            </w:r>
          </w:p>
        </w:tc>
      </w:tr>
      <w:tr>
        <w:trPr>
          <w:trHeight w:val="220"/>
        </w:trPr>
        <w:tc>
          <w:tcPr>
            <w:tcW w:w="7820" w:type="dxa"/>
            <w:vAlign w:val="bottom"/>
            <w:shd w:val="clear" w:color="auto" w:fill="CCEEFF"/>
          </w:tcPr>
          <w:p>
            <w:pPr>
              <w:ind w:left="20"/>
              <w:spacing w:after="0"/>
              <w:rPr>
                <w:sz w:val="20"/>
                <w:szCs w:val="20"/>
                <w:color w:val="auto"/>
              </w:rPr>
            </w:pPr>
            <w:r>
              <w:rPr>
                <w:rFonts w:ascii="Arial" w:cs="Arial" w:eastAsia="Arial" w:hAnsi="Arial"/>
                <w:sz w:val="15"/>
                <w:szCs w:val="15"/>
                <w:color w:val="auto"/>
              </w:rPr>
              <w:t>Net Cash Provided by Financing Activities</w:t>
            </w:r>
          </w:p>
        </w:tc>
        <w:tc>
          <w:tcPr>
            <w:tcW w:w="22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w w:val="95"/>
              </w:rPr>
              <w:t>$</w:t>
            </w:r>
          </w:p>
        </w:tc>
        <w:tc>
          <w:tcPr>
            <w:tcW w:w="138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420,665</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w w:val="95"/>
              </w:rPr>
              <w:t>$</w:t>
            </w:r>
          </w:p>
        </w:tc>
        <w:tc>
          <w:tcPr>
            <w:tcW w:w="136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294,019</w:t>
            </w:r>
          </w:p>
        </w:tc>
      </w:tr>
      <w:tr>
        <w:trPr>
          <w:trHeight w:val="208"/>
        </w:trPr>
        <w:tc>
          <w:tcPr>
            <w:tcW w:w="7820" w:type="dxa"/>
            <w:vAlign w:val="bottom"/>
          </w:tcPr>
          <w:p>
            <w:pPr>
              <w:ind w:left="20"/>
              <w:spacing w:after="0"/>
              <w:rPr>
                <w:sz w:val="20"/>
                <w:szCs w:val="20"/>
                <w:color w:val="auto"/>
              </w:rPr>
            </w:pPr>
            <w:r>
              <w:rPr>
                <w:rFonts w:ascii="Arial" w:cs="Arial" w:eastAsia="Arial" w:hAnsi="Arial"/>
                <w:sz w:val="15"/>
                <w:szCs w:val="15"/>
                <w:color w:val="auto"/>
              </w:rPr>
              <w:t>Effect of Exchange Rate Changes on Cash, Cash Equivalents and Restricted Cash</w:t>
            </w:r>
          </w:p>
        </w:tc>
        <w:tc>
          <w:tcPr>
            <w:tcW w:w="220" w:type="dxa"/>
            <w:vAlign w:val="bottom"/>
          </w:tcPr>
          <w:p>
            <w:pPr>
              <w:jc w:val="right"/>
              <w:ind w:right="44"/>
              <w:spacing w:after="0"/>
              <w:rPr>
                <w:sz w:val="20"/>
                <w:szCs w:val="20"/>
                <w:color w:val="auto"/>
              </w:rPr>
            </w:pPr>
            <w:r>
              <w:rPr>
                <w:rFonts w:ascii="Arial" w:cs="Arial" w:eastAsia="Arial" w:hAnsi="Arial"/>
                <w:sz w:val="15"/>
                <w:szCs w:val="15"/>
                <w:color w:val="auto"/>
                <w:w w:val="95"/>
              </w:rPr>
              <w:t>$</w:t>
            </w:r>
          </w:p>
        </w:tc>
        <w:tc>
          <w:tcPr>
            <w:tcW w:w="1380" w:type="dxa"/>
            <w:vAlign w:val="bottom"/>
          </w:tcPr>
          <w:p>
            <w:pPr>
              <w:jc w:val="right"/>
              <w:ind w:right="44"/>
              <w:spacing w:after="0"/>
              <w:rPr>
                <w:sz w:val="20"/>
                <w:szCs w:val="20"/>
                <w:color w:val="auto"/>
              </w:rPr>
            </w:pPr>
            <w:r>
              <w:rPr>
                <w:rFonts w:ascii="Arial" w:cs="Arial" w:eastAsia="Arial" w:hAnsi="Arial"/>
                <w:sz w:val="15"/>
                <w:szCs w:val="15"/>
                <w:color w:val="auto"/>
              </w:rPr>
              <w:t>(192)</w:t>
            </w:r>
          </w:p>
        </w:tc>
        <w:tc>
          <w:tcPr>
            <w:tcW w:w="220" w:type="dxa"/>
            <w:vAlign w:val="bottom"/>
          </w:tcPr>
          <w:p>
            <w:pPr>
              <w:spacing w:after="0"/>
              <w:rPr>
                <w:sz w:val="18"/>
                <w:szCs w:val="18"/>
                <w:color w:val="auto"/>
              </w:rPr>
            </w:pPr>
          </w:p>
        </w:tc>
        <w:tc>
          <w:tcPr>
            <w:tcW w:w="240" w:type="dxa"/>
            <w:vAlign w:val="bottom"/>
          </w:tcPr>
          <w:p>
            <w:pPr>
              <w:jc w:val="right"/>
              <w:ind w:right="64"/>
              <w:spacing w:after="0"/>
              <w:rPr>
                <w:sz w:val="20"/>
                <w:szCs w:val="20"/>
                <w:color w:val="auto"/>
              </w:rPr>
            </w:pPr>
            <w:r>
              <w:rPr>
                <w:rFonts w:ascii="Arial" w:cs="Arial" w:eastAsia="Arial" w:hAnsi="Arial"/>
                <w:sz w:val="15"/>
                <w:szCs w:val="15"/>
                <w:color w:val="auto"/>
                <w:w w:val="95"/>
              </w:rPr>
              <w:t>$</w:t>
            </w:r>
          </w:p>
        </w:tc>
        <w:tc>
          <w:tcPr>
            <w:tcW w:w="1360" w:type="dxa"/>
            <w:vAlign w:val="bottom"/>
          </w:tcPr>
          <w:p>
            <w:pPr>
              <w:jc w:val="right"/>
              <w:ind w:right="64"/>
              <w:spacing w:after="0"/>
              <w:rPr>
                <w:sz w:val="20"/>
                <w:szCs w:val="20"/>
                <w:color w:val="auto"/>
              </w:rPr>
            </w:pPr>
            <w:r>
              <w:rPr>
                <w:rFonts w:ascii="Arial" w:cs="Arial" w:eastAsia="Arial" w:hAnsi="Arial"/>
                <w:sz w:val="15"/>
                <w:szCs w:val="15"/>
                <w:color w:val="auto"/>
              </w:rPr>
              <w:t>443</w:t>
            </w:r>
          </w:p>
        </w:tc>
      </w:tr>
    </w:tbl>
    <w:p>
      <w:pPr>
        <w:spacing w:after="0" w:line="345" w:lineRule="exact"/>
        <w:rPr>
          <w:sz w:val="20"/>
          <w:szCs w:val="20"/>
          <w:color w:val="auto"/>
        </w:rPr>
      </w:pPr>
    </w:p>
    <w:p>
      <w:pPr>
        <w:spacing w:after="0"/>
        <w:rPr>
          <w:sz w:val="20"/>
          <w:szCs w:val="20"/>
          <w:color w:val="auto"/>
        </w:rPr>
      </w:pPr>
      <w:r>
        <w:rPr>
          <w:rFonts w:ascii="Arial" w:cs="Arial" w:eastAsia="Arial" w:hAnsi="Arial"/>
          <w:sz w:val="16"/>
          <w:szCs w:val="16"/>
          <w:color w:val="auto"/>
        </w:rPr>
        <w:t>Cash, cash equivalents and restricted cash increased by $354.4 million from $34.8 million as of December 31, 2019, to $389.2 million as of June 30, 2020.</w:t>
      </w:r>
    </w:p>
    <w:p>
      <w:pPr>
        <w:spacing w:after="0" w:line="27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i w:val="1"/>
          <w:iCs w:val="1"/>
          <w:u w:val="single" w:color="auto"/>
          <w:color w:val="auto"/>
        </w:rPr>
        <w:t>Operating Activities</w:t>
      </w:r>
      <w:r>
        <w:rPr>
          <w:rFonts w:ascii="Arial" w:cs="Arial" w:eastAsia="Arial" w:hAnsi="Arial"/>
          <w:sz w:val="18"/>
          <w:szCs w:val="18"/>
          <w:i w:val="1"/>
          <w:iCs w:val="1"/>
          <w:color w:val="auto"/>
        </w:rPr>
        <w:t xml:space="preserve"> </w:t>
      </w:r>
      <w:r>
        <w:rPr>
          <w:rFonts w:ascii="Arial" w:cs="Arial" w:eastAsia="Arial" w:hAnsi="Arial"/>
          <w:sz w:val="18"/>
          <w:szCs w:val="18"/>
          <w:color w:val="auto"/>
        </w:rPr>
        <w:t>- Net cash provided by operating activities increased by $42.2 million from $259.8 million for the six months ended June 30, 2019 to</w:t>
      </w:r>
      <w:r>
        <w:rPr>
          <w:rFonts w:ascii="Arial" w:cs="Arial" w:eastAsia="Arial" w:hAnsi="Arial"/>
          <w:sz w:val="18"/>
          <w:szCs w:val="18"/>
          <w:i w:val="1"/>
          <w:iCs w:val="1"/>
          <w:color w:val="auto"/>
        </w:rPr>
        <w:t xml:space="preserve"> </w:t>
      </w:r>
      <w:r>
        <w:rPr>
          <w:rFonts w:ascii="Arial" w:cs="Arial" w:eastAsia="Arial" w:hAnsi="Arial"/>
          <w:sz w:val="18"/>
          <w:szCs w:val="18"/>
          <w:color w:val="auto"/>
        </w:rPr>
        <w:t>$302.0 million for the six months ended June 30, 2020.</w:t>
      </w:r>
    </w:p>
    <w:p>
      <w:pPr>
        <w:spacing w:after="0" w:line="19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Our net cash flows provided by operating activities from continuing operations may be adversely impacted by, among other things: (a) the market and economic conditions in our current markets generally, and specifically in metropolitan areas of our current markets; (b) lower occupancy and rental rates of our properties; (c) increased operating costs, such as wage and benefit costs, insurance premiums, real estate taxes and utilities, that cannot be passed on to our tenants; (d) decreased sales of manufactured homes; (e) current volatility in economic conditions and the financial markets; and (f) the effects of the COVID-19 pandemic. See “Risk Factors” in Part I, Item 1A of our 2019 Annual Report and Part II, Item 1A of this report.</w:t>
      </w:r>
    </w:p>
    <w:p>
      <w:pPr>
        <w:spacing w:after="0" w:line="20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u w:val="single" w:color="auto"/>
          <w:color w:val="auto"/>
        </w:rPr>
        <w:t>Investing Activities</w:t>
      </w:r>
      <w:r>
        <w:rPr>
          <w:rFonts w:ascii="Arial" w:cs="Arial" w:eastAsia="Arial" w:hAnsi="Arial"/>
          <w:sz w:val="18"/>
          <w:szCs w:val="18"/>
          <w:i w:val="1"/>
          <w:iCs w:val="1"/>
          <w:color w:val="auto"/>
        </w:rPr>
        <w:t xml:space="preserve"> </w:t>
      </w:r>
      <w:r>
        <w:rPr>
          <w:rFonts w:ascii="Arial" w:cs="Arial" w:eastAsia="Arial" w:hAnsi="Arial"/>
          <w:sz w:val="18"/>
          <w:szCs w:val="18"/>
          <w:color w:val="auto"/>
        </w:rPr>
        <w:t>- Net cash used for investing activities was $368.1 million for the six months ended June 30, 2020, compared to $570.5 million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six months ended June 30, 2019. Refer to Note 3, “Real Estate Acquisitions,” in our accompanying Consolidated Financial Statements for additional information.</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u w:val="single" w:color="auto"/>
          <w:color w:val="auto"/>
        </w:rPr>
        <w:t>Financing Activities</w:t>
      </w:r>
      <w:r>
        <w:rPr>
          <w:rFonts w:ascii="Arial" w:cs="Arial" w:eastAsia="Arial" w:hAnsi="Arial"/>
          <w:sz w:val="18"/>
          <w:szCs w:val="18"/>
          <w:i w:val="1"/>
          <w:iCs w:val="1"/>
          <w:color w:val="auto"/>
        </w:rPr>
        <w:t xml:space="preserve"> </w:t>
      </w:r>
      <w:r>
        <w:rPr>
          <w:rFonts w:ascii="Arial" w:cs="Arial" w:eastAsia="Arial" w:hAnsi="Arial"/>
          <w:sz w:val="18"/>
          <w:szCs w:val="18"/>
          <w:color w:val="auto"/>
        </w:rPr>
        <w:t>- Net cash provided by financing activities was $420.7 million for the six months ended June 30, 2020, compared to net cash provided</w:t>
      </w:r>
      <w:r>
        <w:rPr>
          <w:rFonts w:ascii="Arial" w:cs="Arial" w:eastAsia="Arial" w:hAnsi="Arial"/>
          <w:sz w:val="18"/>
          <w:szCs w:val="18"/>
          <w:i w:val="1"/>
          <w:iCs w:val="1"/>
          <w:color w:val="auto"/>
        </w:rPr>
        <w:t xml:space="preserve"> </w:t>
      </w:r>
      <w:r>
        <w:rPr>
          <w:rFonts w:ascii="Arial" w:cs="Arial" w:eastAsia="Arial" w:hAnsi="Arial"/>
          <w:sz w:val="18"/>
          <w:szCs w:val="18"/>
          <w:color w:val="auto"/>
        </w:rPr>
        <w:t>by financing activities of $294.0 million for the six months ended June 30, 2019. Refer to Note 8, “Debt and Lines of Credit” and Note 9, “Equity and Temporary Equity,” in our accompanying Consolidated Financial Statements for additional information.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Flexibility</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May 2020, we closed an underwritten registered public offering of 4,968,000 shares of common stock. Proceeds from the offering were $633.1 million after deducting expenses related to the offering. We used the net proceeds of this offering to repay borrowings outstanding under the revolving loan under our senior credit facility. We intend to use the remaining net proceeds of this offering to fund possible future acquisitions, for working capital and general corporate purposes.</w:t>
      </w:r>
    </w:p>
    <w:p>
      <w:pPr>
        <w:spacing w:after="0" w:line="21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July 2017, we entered into an at the market offering sales agreement (as amended, the “Sales Agreement”) with certain sales agents (collectively, the “Sales Agents”), whereby we may offer and sell shares of our common stock, having an aggregate offering price of up to $450.0 million, from time to time through the Sales Agents. The Sales Agents are entitled to compensation in an agreed amount not to exceed 2.0 percent of the gross price per share for any shares sold under the Sales Agreement. Through June 30, 2020, we have sold shares of our common stock for gross proceeds of $163.8 million under the Sales Agreement. There were no issuances of common stock under the Sales Agreement during the three months ended June 30, 2020 or the year ended December 31, 2019.</w:t>
      </w:r>
    </w:p>
    <w:p>
      <w:pPr>
        <w:spacing w:after="0" w:line="21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October 2019, we assumed a term loan facility with Citibank N.A. (“Citibank”), in the amount of $58.0 million in relation to an acquisition. The term loan has a four-year term ending October 29, 2023, and bears interest at a floating rate based on the Eurodollar rate or Prime rate. The outstanding balance was $50 million at June 30, 2020 and $57.0 million at December 31, 2019,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47" w:name="page48"/>
    <w:bookmarkEnd w:id="47"/>
    <w:p>
      <w:pPr>
        <w:jc w:val="center"/>
        <w:spacing w:after="0"/>
        <w:rPr>
          <w:sz w:val="20"/>
          <w:szCs w:val="20"/>
          <w:color w:val="auto"/>
        </w:rPr>
      </w:pPr>
      <w:r>
        <w:rPr>
          <w:rFonts w:ascii="Arial" w:cs="Arial" w:eastAsia="Arial" w:hAnsi="Arial"/>
          <w:sz w:val="18"/>
          <w:szCs w:val="18"/>
          <w:b w:val="1"/>
          <w:bCs w:val="1"/>
          <w:color w:val="auto"/>
        </w:rPr>
        <w:t>SUN COMMUNITIES, INC.</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May 2019, we amended and restated our credit agreement with Citibank, N.A. and certain other lenders. Pursuant to the credit agreement, we entered into a senior credit facility with Citibank and certain lenders in the amount of $750.0 million, comprised of a $650.0 million revolving loan, with the ability to use up to $100.0 million for advances in Australian dollars, and a $100.0 million term loan (the “A&amp;R Facility”). The A&amp;R Credit Agreement has a four-year term ending May 21, 2023, which can be extended for two additional six-month periods, subject to the satisfaction of certain conditions as defined in the credit agreement. The credit agreement also provides for additional commitments in an amount not to exceed $350.0 million. The funding of these additional commitments is subject to certain conditions, including obtaining the consent of the lenders, some of which are outside of our control. If additional borrowings are made pursuant to any such additional commitments, the aggregate borrowing limit under the A&amp;R Facility may be increased up to $1.1 billion.</w:t>
      </w:r>
    </w:p>
    <w:p>
      <w:pPr>
        <w:spacing w:after="0" w:line="21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A&amp;R Facility bears interest at a floating rate based on the Eurodollar rate or Bank Bill Swap Bid Rate plus a margin that is determined based on our leverage ratio calculated in accordance with the credit agreement, which margin can range from 1.20 percent to 2.10 percent for the revolving loan and 1.20 percent to 2.05 percent for the term loan. As of June 30, 2020, the margin based on our leverage ratio was 1.2 percent on the revolving loan and 1.2 percent on the term loan. We had $63.9 million and no borrowings on the revolving loan and the term loan, respectively, as of June 30, 2020. We had $123.6 million of borrowings on the revolving loan and no borrowings on the term loan, as of December 31, 2019.</w:t>
      </w:r>
    </w:p>
    <w:p>
      <w:pPr>
        <w:spacing w:after="0" w:line="20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A&amp;R Facility provides us with the ability to issue letters of credit. Our issuance of letters of credit does not increase our borrowings outstanding under our line of credit but does reduce the borrowing amount available. At June 30, 2020 and December 31, 2019, we had approximately $3.1 million and $2.8 million of outstanding letters of credit, respectively.</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Pursuant to the terms of the A&amp;R Facility, we are subject to various financial and other covenants. We are currently in compliance with these covenants and do not anticipate that we will be unable to meet these covenants in the near term as a result of COVID-19’s impact on our business. The most restrictive financial covenants for the A&amp;R Facility are as follows: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7160" w:type="dxa"/>
            <w:vAlign w:val="bottom"/>
            <w:tcBorders>
              <w:bottom w:val="single" w:sz="8" w:color="auto"/>
            </w:tcBorders>
          </w:tcPr>
          <w:p>
            <w:pPr>
              <w:ind w:left="3280"/>
              <w:spacing w:after="0"/>
              <w:rPr>
                <w:sz w:val="20"/>
                <w:szCs w:val="20"/>
                <w:color w:val="auto"/>
              </w:rPr>
            </w:pPr>
            <w:r>
              <w:rPr>
                <w:rFonts w:ascii="Arial" w:cs="Arial" w:eastAsia="Arial" w:hAnsi="Arial"/>
                <w:sz w:val="15"/>
                <w:szCs w:val="15"/>
                <w:b w:val="1"/>
                <w:bCs w:val="1"/>
                <w:color w:val="auto"/>
              </w:rPr>
              <w:t>Covenant</w:t>
            </w:r>
          </w:p>
        </w:tc>
        <w:tc>
          <w:tcPr>
            <w:tcW w:w="240" w:type="dxa"/>
            <w:vAlign w:val="bottom"/>
            <w:tcBorders>
              <w:bottom w:val="single" w:sz="8" w:color="CCEEFF"/>
            </w:tcBorders>
          </w:tcPr>
          <w:p>
            <w:pPr>
              <w:spacing w:after="0"/>
              <w:rPr>
                <w:sz w:val="17"/>
                <w:szCs w:val="17"/>
                <w:color w:val="auto"/>
              </w:rPr>
            </w:pPr>
          </w:p>
        </w:tc>
        <w:tc>
          <w:tcPr>
            <w:tcW w:w="1540" w:type="dxa"/>
            <w:vAlign w:val="bottom"/>
            <w:tcBorders>
              <w:bottom w:val="single" w:sz="8" w:color="auto"/>
            </w:tcBorders>
          </w:tcPr>
          <w:p>
            <w:pPr>
              <w:ind w:left="340"/>
              <w:spacing w:after="0"/>
              <w:rPr>
                <w:sz w:val="20"/>
                <w:szCs w:val="20"/>
                <w:color w:val="auto"/>
              </w:rPr>
            </w:pPr>
            <w:r>
              <w:rPr>
                <w:rFonts w:ascii="Arial" w:cs="Arial" w:eastAsia="Arial" w:hAnsi="Arial"/>
                <w:sz w:val="15"/>
                <w:szCs w:val="15"/>
                <w:b w:val="1"/>
                <w:bCs w:val="1"/>
                <w:color w:val="auto"/>
              </w:rPr>
              <w:t>Requirement</w:t>
            </w:r>
          </w:p>
        </w:tc>
        <w:tc>
          <w:tcPr>
            <w:tcW w:w="220" w:type="dxa"/>
            <w:vAlign w:val="bottom"/>
            <w:tcBorders>
              <w:bottom w:val="single" w:sz="8" w:color="CCEEFF"/>
            </w:tcBorders>
          </w:tcPr>
          <w:p>
            <w:pPr>
              <w:spacing w:after="0"/>
              <w:rPr>
                <w:sz w:val="17"/>
                <w:szCs w:val="17"/>
                <w:color w:val="auto"/>
              </w:rPr>
            </w:pPr>
          </w:p>
        </w:tc>
        <w:tc>
          <w:tcPr>
            <w:tcW w:w="2060" w:type="dxa"/>
            <w:vAlign w:val="bottom"/>
            <w:tcBorders>
              <w:bottom w:val="single" w:sz="8" w:color="auto"/>
            </w:tcBorders>
          </w:tcPr>
          <w:p>
            <w:pPr>
              <w:ind w:left="400"/>
              <w:spacing w:after="0"/>
              <w:rPr>
                <w:sz w:val="20"/>
                <w:szCs w:val="20"/>
                <w:color w:val="auto"/>
              </w:rPr>
            </w:pPr>
            <w:r>
              <w:rPr>
                <w:rFonts w:ascii="Arial" w:cs="Arial" w:eastAsia="Arial" w:hAnsi="Arial"/>
                <w:sz w:val="15"/>
                <w:szCs w:val="15"/>
                <w:b w:val="1"/>
                <w:bCs w:val="1"/>
                <w:color w:val="auto"/>
              </w:rPr>
              <w:t>As of June 30, 2020</w:t>
            </w:r>
          </w:p>
        </w:tc>
      </w:tr>
      <w:tr>
        <w:trPr>
          <w:trHeight w:val="213"/>
        </w:trPr>
        <w:tc>
          <w:tcPr>
            <w:tcW w:w="740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Maximum Leverage Ratio</w:t>
            </w:r>
          </w:p>
        </w:tc>
        <w:tc>
          <w:tcPr>
            <w:tcW w:w="154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3"/>
              </w:rPr>
              <w:t>&lt;65.0%</w:t>
            </w:r>
          </w:p>
        </w:tc>
        <w:tc>
          <w:tcPr>
            <w:tcW w:w="220" w:type="dxa"/>
            <w:vAlign w:val="bottom"/>
            <w:shd w:val="clear" w:color="auto" w:fill="CCEEFF"/>
          </w:tcPr>
          <w:p>
            <w:pPr>
              <w:spacing w:after="0"/>
              <w:rPr>
                <w:sz w:val="18"/>
                <w:szCs w:val="18"/>
                <w:color w:val="auto"/>
              </w:rPr>
            </w:pPr>
          </w:p>
        </w:tc>
        <w:tc>
          <w:tcPr>
            <w:tcW w:w="206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3"/>
              </w:rPr>
              <w:t>23.9%</w:t>
            </w:r>
          </w:p>
        </w:tc>
      </w:tr>
      <w:tr>
        <w:trPr>
          <w:trHeight w:val="212"/>
        </w:trPr>
        <w:tc>
          <w:tcPr>
            <w:tcW w:w="7400" w:type="dxa"/>
            <w:vAlign w:val="bottom"/>
            <w:gridSpan w:val="2"/>
          </w:tcPr>
          <w:p>
            <w:pPr>
              <w:ind w:left="20"/>
              <w:spacing w:after="0"/>
              <w:rPr>
                <w:sz w:val="20"/>
                <w:szCs w:val="20"/>
                <w:color w:val="auto"/>
              </w:rPr>
            </w:pPr>
            <w:r>
              <w:rPr>
                <w:rFonts w:ascii="Arial" w:cs="Arial" w:eastAsia="Arial" w:hAnsi="Arial"/>
                <w:sz w:val="15"/>
                <w:szCs w:val="15"/>
                <w:color w:val="auto"/>
              </w:rPr>
              <w:t>Minimum Fixed Charge Coverage Ratio</w:t>
            </w:r>
          </w:p>
        </w:tc>
        <w:tc>
          <w:tcPr>
            <w:tcW w:w="1540" w:type="dxa"/>
            <w:vAlign w:val="bottom"/>
          </w:tcPr>
          <w:p>
            <w:pPr>
              <w:jc w:val="center"/>
              <w:spacing w:after="0"/>
              <w:rPr>
                <w:sz w:val="20"/>
                <w:szCs w:val="20"/>
                <w:color w:val="auto"/>
              </w:rPr>
            </w:pPr>
            <w:r>
              <w:rPr>
                <w:rFonts w:ascii="Arial" w:cs="Arial" w:eastAsia="Arial" w:hAnsi="Arial"/>
                <w:sz w:val="15"/>
                <w:szCs w:val="15"/>
                <w:color w:val="auto"/>
                <w:w w:val="94"/>
              </w:rPr>
              <w:t>&gt;1.40</w:t>
            </w:r>
          </w:p>
        </w:tc>
        <w:tc>
          <w:tcPr>
            <w:tcW w:w="220" w:type="dxa"/>
            <w:vAlign w:val="bottom"/>
          </w:tcPr>
          <w:p>
            <w:pPr>
              <w:spacing w:after="0"/>
              <w:rPr>
                <w:sz w:val="18"/>
                <w:szCs w:val="18"/>
                <w:color w:val="auto"/>
              </w:rPr>
            </w:pPr>
          </w:p>
        </w:tc>
        <w:tc>
          <w:tcPr>
            <w:tcW w:w="2060" w:type="dxa"/>
            <w:vAlign w:val="bottom"/>
          </w:tcPr>
          <w:p>
            <w:pPr>
              <w:jc w:val="center"/>
              <w:spacing w:after="0"/>
              <w:rPr>
                <w:sz w:val="20"/>
                <w:szCs w:val="20"/>
                <w:color w:val="auto"/>
              </w:rPr>
            </w:pPr>
            <w:r>
              <w:rPr>
                <w:rFonts w:ascii="Arial" w:cs="Arial" w:eastAsia="Arial" w:hAnsi="Arial"/>
                <w:sz w:val="15"/>
                <w:szCs w:val="15"/>
                <w:color w:val="auto"/>
                <w:w w:val="88"/>
              </w:rPr>
              <w:t>3.30</w:t>
            </w:r>
          </w:p>
        </w:tc>
      </w:tr>
      <w:tr>
        <w:trPr>
          <w:trHeight w:val="220"/>
        </w:trPr>
        <w:tc>
          <w:tcPr>
            <w:tcW w:w="740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Minimum Tangible Net Worth</w:t>
            </w:r>
          </w:p>
        </w:tc>
        <w:tc>
          <w:tcPr>
            <w:tcW w:w="154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0"/>
              </w:rPr>
              <w:t>&gt;$3,257,121</w:t>
            </w:r>
          </w:p>
        </w:tc>
        <w:tc>
          <w:tcPr>
            <w:tcW w:w="220" w:type="dxa"/>
            <w:vAlign w:val="bottom"/>
            <w:shd w:val="clear" w:color="auto" w:fill="CCEEFF"/>
          </w:tcPr>
          <w:p>
            <w:pPr>
              <w:spacing w:after="0"/>
              <w:rPr>
                <w:sz w:val="19"/>
                <w:szCs w:val="19"/>
                <w:color w:val="auto"/>
              </w:rPr>
            </w:pPr>
          </w:p>
        </w:tc>
        <w:tc>
          <w:tcPr>
            <w:tcW w:w="206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3"/>
              </w:rPr>
              <w:t>$6,323,362</w:t>
            </w:r>
          </w:p>
        </w:tc>
      </w:tr>
      <w:tr>
        <w:trPr>
          <w:trHeight w:val="212"/>
        </w:trPr>
        <w:tc>
          <w:tcPr>
            <w:tcW w:w="7400" w:type="dxa"/>
            <w:vAlign w:val="bottom"/>
            <w:gridSpan w:val="2"/>
          </w:tcPr>
          <w:p>
            <w:pPr>
              <w:ind w:left="20"/>
              <w:spacing w:after="0"/>
              <w:rPr>
                <w:sz w:val="20"/>
                <w:szCs w:val="20"/>
                <w:color w:val="auto"/>
              </w:rPr>
            </w:pPr>
            <w:r>
              <w:rPr>
                <w:rFonts w:ascii="Arial" w:cs="Arial" w:eastAsia="Arial" w:hAnsi="Arial"/>
                <w:sz w:val="15"/>
                <w:szCs w:val="15"/>
                <w:color w:val="auto"/>
              </w:rPr>
              <w:t>Maximum Dividend Payout Ratio</w:t>
            </w:r>
          </w:p>
        </w:tc>
        <w:tc>
          <w:tcPr>
            <w:tcW w:w="1540" w:type="dxa"/>
            <w:vAlign w:val="bottom"/>
          </w:tcPr>
          <w:p>
            <w:pPr>
              <w:jc w:val="center"/>
              <w:spacing w:after="0"/>
              <w:rPr>
                <w:sz w:val="20"/>
                <w:szCs w:val="20"/>
                <w:color w:val="auto"/>
              </w:rPr>
            </w:pPr>
            <w:r>
              <w:rPr>
                <w:rFonts w:ascii="Arial" w:cs="Arial" w:eastAsia="Arial" w:hAnsi="Arial"/>
                <w:sz w:val="15"/>
                <w:szCs w:val="15"/>
                <w:color w:val="auto"/>
                <w:w w:val="93"/>
              </w:rPr>
              <w:t>&lt;95.0%</w:t>
            </w:r>
          </w:p>
        </w:tc>
        <w:tc>
          <w:tcPr>
            <w:tcW w:w="220" w:type="dxa"/>
            <w:vAlign w:val="bottom"/>
          </w:tcPr>
          <w:p>
            <w:pPr>
              <w:spacing w:after="0"/>
              <w:rPr>
                <w:sz w:val="18"/>
                <w:szCs w:val="18"/>
                <w:color w:val="auto"/>
              </w:rPr>
            </w:pPr>
          </w:p>
        </w:tc>
        <w:tc>
          <w:tcPr>
            <w:tcW w:w="2060" w:type="dxa"/>
            <w:vAlign w:val="bottom"/>
          </w:tcPr>
          <w:p>
            <w:pPr>
              <w:jc w:val="center"/>
              <w:spacing w:after="0"/>
              <w:rPr>
                <w:sz w:val="20"/>
                <w:szCs w:val="20"/>
                <w:color w:val="auto"/>
              </w:rPr>
            </w:pPr>
            <w:r>
              <w:rPr>
                <w:rFonts w:ascii="Arial" w:cs="Arial" w:eastAsia="Arial" w:hAnsi="Arial"/>
                <w:sz w:val="15"/>
                <w:szCs w:val="15"/>
                <w:color w:val="auto"/>
                <w:w w:val="93"/>
              </w:rPr>
              <w:t>62.8%</w:t>
            </w:r>
          </w:p>
        </w:tc>
      </w:tr>
      <w:tr>
        <w:trPr>
          <w:trHeight w:val="220"/>
        </w:trPr>
        <w:tc>
          <w:tcPr>
            <w:tcW w:w="740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Maximum Variable Rate Indebtedness</w:t>
            </w:r>
          </w:p>
        </w:tc>
        <w:tc>
          <w:tcPr>
            <w:tcW w:w="154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3"/>
              </w:rPr>
              <w:t>&lt;50.0%</w:t>
            </w:r>
          </w:p>
        </w:tc>
        <w:tc>
          <w:tcPr>
            <w:tcW w:w="220" w:type="dxa"/>
            <w:vAlign w:val="bottom"/>
            <w:shd w:val="clear" w:color="auto" w:fill="CCEEFF"/>
          </w:tcPr>
          <w:p>
            <w:pPr>
              <w:spacing w:after="0"/>
              <w:rPr>
                <w:sz w:val="19"/>
                <w:szCs w:val="19"/>
                <w:color w:val="auto"/>
              </w:rPr>
            </w:pPr>
          </w:p>
        </w:tc>
        <w:tc>
          <w:tcPr>
            <w:tcW w:w="206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3"/>
              </w:rPr>
              <w:t>0.9%</w:t>
            </w:r>
          </w:p>
        </w:tc>
      </w:tr>
    </w:tbl>
    <w:p>
      <w:pPr>
        <w:spacing w:after="0" w:line="33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anticipate meeting our long-term liquidity requirements, such as scheduled debt maturities, large property acquisitions, expansion and development of communities, and Operating Partnership unit redemptions through the issuance of certain debt or equity securities and/or the collateralization of our properties.</w:t>
      </w:r>
    </w:p>
    <w:p>
      <w:pPr>
        <w:spacing w:after="0" w:line="21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As of June 30, 2020, all of our MH communities and RV resorts are open. Our execution of both our operation and financial plans has helped to mitigate the impact of COVID-19 on our business. These efforts include an equity offering in May 2020 of $633.1 million after deducting expenses related to the offering, to bolster our liquidity. We also eliminated, reduced or deferred non-essential expenditures for a limited time period. Additionally, our Board of Directors and executive officers elected to forgo base compensation for the second quarter. Compensation to both our Board of Directors and executive officers has been restored to prior levels effective July 1, 2020. Cost containment measures included the furlough of a group of team members in April 2020. Over 80 percent of furloughed team members have returned to work as of June 30, 2020. We continue to provide medical health coverage to furloughed team members, if enrolled, at no cost to the team member.</w:t>
      </w:r>
    </w:p>
    <w:p>
      <w:pPr>
        <w:spacing w:after="0" w:line="22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To bolster liquidity, we maintained elevated unrestricted cash on hand as of June 30, 2020 of approximately $373.5 million and have used a portion of the proceeds of our equity raise to pay down the balance on our line of credit. As of June 30, 2020, there is approximately $683.0 million of remaining capacity on the line of credit. We also have 151 unencumbered properties with an estimated asset value, as of June 30, 2020, of approximately $2.8 billion available to secure potential mortgage debt.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48" w:name="page49"/>
    <w:bookmarkEnd w:id="48"/>
    <w:p>
      <w:pPr>
        <w:jc w:val="center"/>
        <w:spacing w:after="0"/>
        <w:rPr>
          <w:sz w:val="20"/>
          <w:szCs w:val="20"/>
          <w:color w:val="auto"/>
        </w:rPr>
      </w:pPr>
      <w:r>
        <w:rPr>
          <w:rFonts w:ascii="Arial" w:cs="Arial" w:eastAsia="Arial" w:hAnsi="Arial"/>
          <w:sz w:val="18"/>
          <w:szCs w:val="18"/>
          <w:b w:val="1"/>
          <w:bCs w:val="1"/>
          <w:color w:val="auto"/>
        </w:rPr>
        <w:t>SUN COMMUNITIES, INC.</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From time to time, we may also issue shares of our capital stock, issue equity units in our Operating Partnership, obtain debt financing, or sell selected assets. Our ability to finance our long-term liquidity requirements in such a manner will be affected by numerous economic factors affecting the MH and RV community industry at the time, including the effects of the COVID-19 pandemic, the availability and cost of mortgage debt, our financial condition, the operating history of the properties, the state of the debt and equity markets, and the general national, regional, and local economic conditions. When it becomes necessary for us to approach the credit markets, the volatility in those markets could make borrowing more difficult to secure, more expensive, or effectively unavailable. See “Risk Factors” in Part I, Item 1A of our 2019 Annual Report and in Part II, Item 1A of this report. If we are unable to obtain additional debt or equity financing on acceptable terms, our business, results of operations and financial condition would be adversely impacted.</w:t>
      </w:r>
    </w:p>
    <w:p>
      <w:pPr>
        <w:spacing w:after="0" w:line="19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June 30, 2020, our net debt to enterprise value was approximately 17.8 percent (assuming conversion of all common OP units, Series A-1 preferred OP units, Series A-3 preferred OP units, Series C preferred OP units, Series D preferred OP units, Series E preferred OP units, and Series F preferred OP units to shares of common stock). Our debt has a weighted average maturity of approximately 11.6 years and a weighted average interest rate of 3.9 percent.</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Off-Balance Sheet Arrangements</w:t>
      </w:r>
    </w:p>
    <w:p>
      <w:pPr>
        <w:spacing w:after="0" w:line="25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off-balance sheet investments include nonconsolidated affiliates. These investments all have varying ownership structures. Substantially all of our nonconsolidated affiliates are accounted for under the equity method of accounting as we have the ability to exercise significant influence, but not control, over the operating and financial decisions of these JV arrangements. Refer to Note 6,"Investment in Nonconsolidated Affiliates," and Note 8, "Debt and Lines of Credit," in the accompanying consolidated financial statements, for additional information on our off-balance sheet investments.</w:t>
      </w:r>
    </w:p>
    <w:p>
      <w:pPr>
        <w:spacing w:after="0" w:line="198" w:lineRule="exact"/>
        <w:rPr>
          <w:sz w:val="20"/>
          <w:szCs w:val="20"/>
          <w:color w:val="auto"/>
        </w:rPr>
      </w:pPr>
    </w:p>
    <w:p>
      <w:pPr>
        <w:jc w:val="both"/>
        <w:spacing w:after="0" w:line="275" w:lineRule="auto"/>
        <w:rPr>
          <w:sz w:val="20"/>
          <w:szCs w:val="20"/>
          <w:color w:val="auto"/>
        </w:rPr>
      </w:pPr>
      <w:r>
        <w:rPr>
          <w:rFonts w:ascii="Arial" w:cs="Arial" w:eastAsia="Arial" w:hAnsi="Arial"/>
          <w:sz w:val="17"/>
          <w:szCs w:val="17"/>
          <w:i w:val="1"/>
          <w:iCs w:val="1"/>
          <w:color w:val="auto"/>
        </w:rPr>
        <w:t xml:space="preserve">Nonconsolidated Affiliate Indebtedness - </w:t>
      </w:r>
      <w:r>
        <w:rPr>
          <w:rFonts w:ascii="Arial" w:cs="Arial" w:eastAsia="Arial" w:hAnsi="Arial"/>
          <w:sz w:val="17"/>
          <w:szCs w:val="17"/>
          <w:color w:val="auto"/>
        </w:rPr>
        <w:t>During September 2019, GTSC, LLC entered into a warehouse line of credit with a maximum loan amount of</w:t>
      </w:r>
      <w:r>
        <w:rPr>
          <w:rFonts w:ascii="Arial" w:cs="Arial" w:eastAsia="Arial" w:hAnsi="Arial"/>
          <w:sz w:val="17"/>
          <w:szCs w:val="17"/>
          <w:i w:val="1"/>
          <w:iCs w:val="1"/>
          <w:color w:val="auto"/>
        </w:rPr>
        <w:t xml:space="preserve"> </w:t>
      </w:r>
      <w:r>
        <w:rPr>
          <w:rFonts w:ascii="Arial" w:cs="Arial" w:eastAsia="Arial" w:hAnsi="Arial"/>
          <w:sz w:val="17"/>
          <w:szCs w:val="17"/>
          <w:color w:val="auto"/>
        </w:rPr>
        <w:t>$125.0 million. During February 2020, the maximum amount was increased to $140.0 million. As of June 30, 2020, the aggregate carrying amount of debt, including both our and our partners’ share, incurred by GTSC was approximately $140.0 million (of which our proportionate share is approximately $56.0 million). The debt bears interest at a variable rate based on LIBOR plus 1.65 percent per annum and matures on September 15, 2023. Refer to Note 6,"Investment in Nonconsolidated Affiliates," for additional information on our nonconsolidated affiliates.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49" w:name="page50"/>
    <w:bookmarkEnd w:id="49"/>
    <w:p>
      <w:pPr>
        <w:jc w:val="center"/>
        <w:spacing w:after="0"/>
        <w:rPr>
          <w:sz w:val="20"/>
          <w:szCs w:val="20"/>
          <w:color w:val="auto"/>
        </w:rPr>
      </w:pPr>
      <w:r>
        <w:rPr>
          <w:rFonts w:ascii="Arial" w:cs="Arial" w:eastAsia="Arial" w:hAnsi="Arial"/>
          <w:sz w:val="18"/>
          <w:szCs w:val="18"/>
          <w:b w:val="1"/>
          <w:bCs w:val="1"/>
          <w:color w:val="auto"/>
        </w:rPr>
        <w:t>SUN COMMUNITIES, INC.</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25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This report contains various “forward-looking statements” within the meaning of the Securities Act of 1933, as amended (the “Securities Act”), and the Securities Exchange Act of 1934, as amended (the “Exchange Act”), and we intend that such forward-looking statements will be subject to the safe harbors created thereby. For this purpose, any statements contained in this filing that relate to expectations, beliefs, projections, future plans and strategies, trends or prospective events or developments and similar expressions concerning matters that are not historical facts are deemed to be forward-looking statements. Words such as “forecasts,” “intends,” “intend,” “intended,” “goal,” “estimate,” “estimates,” “expects,” “expect,” “expected,” “project,” “projected,” “projections,” “plans,” “predicts,” “potential,” “seeks,” “anticipates,” “anticipated,” “should,” “could,” “may,” “will,” “designed to,” “foreseeable future,” “believe,” “believes,” “scheduled,” “guidance” and similar expressions are intended to identify forward-looking statements, although not all forward-looking statements contain these words. These forward-looking statements reflect our current views with respect to future events and financial performance, but involve known and unknown risks and uncertainties, both general and specific to the matters discussed in this filing. These risks and uncertainties may cause our actual results to be materially different from any future results expressed or implied by such forward-looking statements. In addition to the risks disclosed under “Risk Factors” in our 2019 Annual Report on Form 10-K, in our Quarterly Report on Form 10-Q for the quarter ended March 31, 2020, and in our other filings with the SEC, such risks and uncertainties include, but are not limited to:</w:t>
      </w:r>
    </w:p>
    <w:p>
      <w:pPr>
        <w:spacing w:after="0" w:line="111" w:lineRule="exact"/>
        <w:rPr>
          <w:sz w:val="20"/>
          <w:szCs w:val="20"/>
          <w:color w:val="auto"/>
        </w:rPr>
      </w:pPr>
    </w:p>
    <w:p>
      <w:pPr>
        <w:ind w:left="660" w:right="100" w:hanging="328"/>
        <w:spacing w:after="0" w:line="277" w:lineRule="auto"/>
        <w:tabs>
          <w:tab w:leader="none" w:pos="655"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outbreaks of disease, including the COVID-19 pandemic, and related stay-at-home orders, quarantine policies and restrictions on travel, trade and business operations;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changes in general economic conditions, the real estate industry, and the markets in which we operate;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difficulties in our ability to evaluate, finance, complete and integrate acquisitions, developments and expansions successfully;</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liquidity and refinancing demands;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ability to obtain or refinance maturing debt;</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ability to maintain compliance with covenants contained in our debt facilities;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availability of capital;</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7"/>
          <w:szCs w:val="17"/>
          <w:color w:val="auto"/>
        </w:rPr>
      </w:pPr>
      <w:r>
        <w:rPr>
          <w:rFonts w:ascii="Arial" w:cs="Arial" w:eastAsia="Arial" w:hAnsi="Arial"/>
          <w:sz w:val="17"/>
          <w:szCs w:val="17"/>
          <w:color w:val="auto"/>
        </w:rPr>
        <w:t>changes in foreign currency exchange rates, including between the U.S. dollar and each of the Canadian dollar and the Australian dollar;</w:t>
      </w:r>
    </w:p>
    <w:p>
      <w:pPr>
        <w:spacing w:after="0" w:line="128" w:lineRule="exact"/>
        <w:rPr>
          <w:rFonts w:ascii="Arial" w:cs="Arial" w:eastAsia="Arial" w:hAnsi="Arial"/>
          <w:sz w:val="17"/>
          <w:szCs w:val="17"/>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ability to maintain rental rates and occupancy levels;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failure to maintain effective internal control over financial reporting and disclosure controls and procedures;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increases in interest rates and operating costs, including insurance premiums and real property taxes;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risks related to natural disasters such as hurricanes, earthquakes, floods and wildfires;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general volatility of the capital markets and the market price of shares of our capital stock;</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failure to maintain our status as a REIT;</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changes in real estate and zoning laws and regulations;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legislative or regulatory changes, including changes to laws governing the taxation of REITs;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litigation, judgments or settlements;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competitive market forces;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ability of manufactured home buyers to obtain financing;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level of repossessions by manufactured home lenders.</w:t>
      </w:r>
    </w:p>
    <w:p>
      <w:pPr>
        <w:spacing w:after="0" w:line="2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Readers are cautioned not to place undue reliance on these forward-looking statements, which speak only as of the date the statement was made. We undertake no obligation to publicly update or revise any forward-looking statements included or incorporated by reference into this filing, whether as a result of new information, future events, changes in our expectations or otherwise, except as required by law.</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Although we believe that the expectations reflected in the forward-looking statements are reasonable, we cannot guarantee future results, levels of activity, performance or achievements. All written and oral forward-looking statements attributable to us or persons acting on our behalf are qualified in their entirety by these cautionary statements.</w:t>
      </w:r>
    </w:p>
    <w:p>
      <w:pPr>
        <w:sectPr>
          <w:pgSz w:w="11900" w:h="16838" w:orient="portrait"/>
          <w:cols w:equalWidth="0" w:num="1">
            <w:col w:w="11240"/>
          </w:cols>
          <w:pgMar w:left="320" w:top="36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type w:val="continuous"/>
        </w:sectPr>
      </w:pPr>
    </w:p>
    <w:bookmarkStart w:id="50" w:name="page51"/>
    <w:bookmarkEnd w:id="50"/>
    <w:p>
      <w:pPr>
        <w:jc w:val="center"/>
        <w:spacing w:after="0"/>
        <w:rPr>
          <w:sz w:val="20"/>
          <w:szCs w:val="20"/>
          <w:color w:val="auto"/>
        </w:rPr>
      </w:pPr>
      <w:r>
        <w:rPr>
          <w:rFonts w:ascii="Arial" w:cs="Arial" w:eastAsia="Arial" w:hAnsi="Arial"/>
          <w:sz w:val="18"/>
          <w:szCs w:val="18"/>
          <w:b w:val="1"/>
          <w:bCs w:val="1"/>
          <w:color w:val="auto"/>
        </w:rPr>
        <w:t>SUN COMMUNITIES, INC.</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Market risk is the exposure to loss resulting from changes in market factors such as interest rates, foreign currency exchange rates, commodity prices, and equity prices.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Risk</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principal market risk exposure is interest rate risk. We mitigate this risk by maintaining prudent amounts of leverage, minimizing capital costs, and interest expense while continuously evaluating all available debt and equity resources and following established risk management policies and procedures, which include the periodic use of derivatives. Our primary strategy in entering into derivative contracts is to minimize the variability that interest rate changes could have on our future cash flows. From time to time, we employ derivative instruments that effectively convert a portion of our variable rate debt to fixed rate debt. We do not enter into derivative instruments for speculative purposes.</w:t>
      </w:r>
    </w:p>
    <w:p>
      <w:pPr>
        <w:spacing w:after="0" w:line="21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variable rate debt totaled $115.4 million and $76.1 million as of June 30, 2020 and 2019, respectively, and bears interest at Prime or various LIBOR rates. If Prime or LIBOR increased or decreased by 1.0 percent, our interest expense would have increased or decreased by approximately $1.5 million for the six months ended June 30, 2020 and 2019, respectively, based on the $306.3 million and $307.1 million average balances outstanding under our variable rate debt facilities, respectively.</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Exchange Rate Risk</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Foreign currency exchange rate risk is the risk that fluctuations in currencies against the U.S. dollar will negatively impact our results of operations. We are exposed to foreign currency exchange rate risk as a result of remeasurement and translation of the assets and liabilities of our Canadian properties, and our Australian equity investment and JV into U.S. dollars. Fluctuations in foreign currency exchange rates can therefore create volatility in our results of operations and may adversely affect our financial condition.</w:t>
      </w:r>
    </w:p>
    <w:p>
      <w:pPr>
        <w:spacing w:after="0" w:line="21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At June 30, 2020 and December 31, 2019, our stockholder’s equity included $202.1 million and $202.5 million from our Canadian subsidiaries and Australian equity investments, respectively, which represented 4.6 percent and 5.2 percent of total stockholder’s equity, respectively. Based on our sensitivity analysis, a 10.0 percent strengthening of the U.S. dollar against the Canadian and Australian dollar would have caused a reduction of $20.2 million to our total stockholder’s equity at June 30, 2020 and December 31, 2019.</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maintain disclosure controls and procedures designed to provide reasonable assurance that information required to be disclosed in reports filed under the Exchange Act is recorded, processed, summarized and reported within the specified time periods and accumulated and communicated to our management, including our principal executive officer and principal financial officer, as appropriate to allow timely decisions regarding required disclosure.</w:t>
      </w:r>
    </w:p>
    <w:p>
      <w:pPr>
        <w:spacing w:after="0" w:line="21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management, with the participation of our CEO and CFO, evaluated the effectiveness of our disclosure controls and procedures (pursuant to Rules 13a-15(e) or 15d-15(e) of the Exchange Act) at June 30, 2020. Based upon this evaluation, our CEO and CFO concluded that our disclosure controls and procedures were effective as of June 30, 2020.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25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There have not been any changes in our internal control over financial reporting during the three months ended June 30, 2020 that have materially affected, or are reasonably likely to materially affect, our internal control over financial reporting.</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51" w:name="page52"/>
    <w:bookmarkEnd w:id="51"/>
    <w:p>
      <w:pPr>
        <w:jc w:val="center"/>
        <w:ind w:right="-19"/>
        <w:spacing w:after="0"/>
        <w:rPr>
          <w:sz w:val="20"/>
          <w:szCs w:val="20"/>
          <w:color w:val="auto"/>
        </w:rPr>
      </w:pPr>
      <w:r>
        <w:rPr>
          <w:rFonts w:ascii="Arial" w:cs="Arial" w:eastAsia="Arial" w:hAnsi="Arial"/>
          <w:sz w:val="18"/>
          <w:szCs w:val="18"/>
          <w:b w:val="1"/>
          <w:bCs w:val="1"/>
          <w:color w:val="auto"/>
        </w:rPr>
        <w:t>SUN COMMUNITIES, INC.</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 – OTHER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color w:val="auto"/>
        </w:rPr>
        <w:t>Refer to “Legal Proceedings” in Part 1 - Item 1 - Note 15, “Commitments and Contingencies,” in our accompanying Consolidated Financial Statements.</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5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addition to the other information set forth in this report, you should carefully consider the factors described in Part 1, Item 1A, “Risk Factors,” in our 2019 Annual Report, and Item 1A “Risk Factors” in our Quarterly Report on Form 10-Q filed April 23, 2020, which could materially affect our business, financial condition or future results. There have been no material changes to the disclosure on these matters as set forth in such reports.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52" w:name="page53"/>
    <w:bookmarkEnd w:id="52"/>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Holders of our OP units have converted the following units during the three months ended June 30, 2020:</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40" w:type="dxa"/>
            <w:vAlign w:val="bottom"/>
            <w:gridSpan w:val="2"/>
          </w:tcPr>
          <w:p>
            <w:pPr>
              <w:jc w:val="right"/>
              <w:ind w:right="404"/>
              <w:spacing w:after="0"/>
              <w:rPr>
                <w:sz w:val="20"/>
                <w:szCs w:val="20"/>
                <w:color w:val="auto"/>
              </w:rPr>
            </w:pPr>
            <w:r>
              <w:rPr>
                <w:rFonts w:ascii="Arial" w:cs="Arial" w:eastAsia="Arial" w:hAnsi="Arial"/>
                <w:sz w:val="16"/>
                <w:szCs w:val="16"/>
                <w:b w:val="1"/>
                <w:bCs w:val="1"/>
                <w:color w:val="auto"/>
              </w:rPr>
              <w:t>Three Months Ended</w:t>
            </w:r>
          </w:p>
        </w:tc>
        <w:tc>
          <w:tcPr>
            <w:tcW w:w="0" w:type="dxa"/>
            <w:vAlign w:val="bottom"/>
          </w:tcPr>
          <w:p>
            <w:pPr>
              <w:spacing w:after="0"/>
              <w:rPr>
                <w:sz w:val="1"/>
                <w:szCs w:val="1"/>
                <w:color w:val="auto"/>
              </w:rPr>
            </w:pPr>
          </w:p>
        </w:tc>
      </w:tr>
      <w:tr>
        <w:trPr>
          <w:trHeight w:val="257"/>
        </w:trPr>
        <w:tc>
          <w:tcPr>
            <w:tcW w:w="7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440" w:type="dxa"/>
            <w:vAlign w:val="bottom"/>
            <w:gridSpan w:val="2"/>
          </w:tcPr>
          <w:p>
            <w:pPr>
              <w:jc w:val="right"/>
              <w:ind w:right="684"/>
              <w:spacing w:after="0"/>
              <w:rPr>
                <w:sz w:val="20"/>
                <w:szCs w:val="20"/>
                <w:color w:val="auto"/>
              </w:rPr>
            </w:pPr>
            <w:r>
              <w:rPr>
                <w:rFonts w:ascii="Arial" w:cs="Arial" w:eastAsia="Arial" w:hAnsi="Arial"/>
                <w:sz w:val="16"/>
                <w:szCs w:val="16"/>
                <w:b w:val="1"/>
                <w:bCs w:val="1"/>
                <w:color w:val="auto"/>
              </w:rPr>
              <w:t>June 30, 2020</w:t>
            </w:r>
          </w:p>
        </w:tc>
        <w:tc>
          <w:tcPr>
            <w:tcW w:w="0" w:type="dxa"/>
            <w:vAlign w:val="bottom"/>
          </w:tcPr>
          <w:p>
            <w:pPr>
              <w:spacing w:after="0"/>
              <w:rPr>
                <w:sz w:val="1"/>
                <w:szCs w:val="1"/>
                <w:color w:val="auto"/>
              </w:rPr>
            </w:pPr>
          </w:p>
        </w:tc>
      </w:tr>
      <w:tr>
        <w:trPr>
          <w:trHeight w:val="33"/>
        </w:trPr>
        <w:tc>
          <w:tcPr>
            <w:tcW w:w="7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710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Series</w:t>
            </w:r>
          </w:p>
        </w:tc>
        <w:tc>
          <w:tcPr>
            <w:tcW w:w="220" w:type="dxa"/>
            <w:vAlign w:val="bottom"/>
            <w:vMerge w:val="restart"/>
          </w:tcPr>
          <w:p>
            <w:pPr>
              <w:spacing w:after="0"/>
              <w:rPr>
                <w:sz w:val="14"/>
                <w:szCs w:val="14"/>
                <w:color w:val="auto"/>
              </w:rPr>
            </w:pPr>
          </w:p>
        </w:tc>
        <w:tc>
          <w:tcPr>
            <w:tcW w:w="1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jc w:val="right"/>
              <w:ind w:right="42"/>
              <w:spacing w:after="0" w:line="165" w:lineRule="exact"/>
              <w:rPr>
                <w:sz w:val="20"/>
                <w:szCs w:val="20"/>
                <w:color w:val="auto"/>
              </w:rPr>
            </w:pPr>
            <w:r>
              <w:rPr>
                <w:rFonts w:ascii="Arial" w:cs="Arial" w:eastAsia="Arial" w:hAnsi="Arial"/>
                <w:sz w:val="15"/>
                <w:szCs w:val="15"/>
                <w:b w:val="1"/>
                <w:bCs w:val="1"/>
                <w:color w:val="auto"/>
              </w:rPr>
              <w:t>Units/Shares</w:t>
            </w: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7100" w:type="dxa"/>
            <w:vAlign w:val="bottom"/>
            <w:tcBorders>
              <w:bottom w:val="single" w:sz="8" w:color="auto"/>
            </w:tcBorders>
            <w:vMerge w:val="continue"/>
          </w:tcPr>
          <w:p>
            <w:pPr>
              <w:spacing w:after="0"/>
              <w:rPr>
                <w:sz w:val="17"/>
                <w:szCs w:val="17"/>
                <w:color w:val="auto"/>
              </w:rPr>
            </w:pPr>
          </w:p>
        </w:tc>
        <w:tc>
          <w:tcPr>
            <w:tcW w:w="220" w:type="dxa"/>
            <w:vAlign w:val="bottom"/>
            <w:tcBorders>
              <w:bottom w:val="single" w:sz="8" w:color="CCEEFF"/>
            </w:tcBorders>
            <w:vMerge w:val="continue"/>
          </w:tcPr>
          <w:p>
            <w:pPr>
              <w:spacing w:after="0"/>
              <w:rPr>
                <w:sz w:val="17"/>
                <w:szCs w:val="17"/>
                <w:color w:val="auto"/>
              </w:rPr>
            </w:pPr>
          </w:p>
        </w:tc>
        <w:tc>
          <w:tcPr>
            <w:tcW w:w="124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b w:val="1"/>
                <w:bCs w:val="1"/>
                <w:color w:val="auto"/>
                <w:w w:val="95"/>
              </w:rPr>
              <w:t>Conversion Rate</w:t>
            </w:r>
          </w:p>
        </w:tc>
        <w:tc>
          <w:tcPr>
            <w:tcW w:w="220" w:type="dxa"/>
            <w:vAlign w:val="bottom"/>
            <w:tcBorders>
              <w:bottom w:val="single" w:sz="8" w:color="CCEEFF"/>
            </w:tcBorders>
          </w:tcPr>
          <w:p>
            <w:pPr>
              <w:spacing w:after="0"/>
              <w:rPr>
                <w:sz w:val="17"/>
                <w:szCs w:val="17"/>
                <w:color w:val="auto"/>
              </w:rPr>
            </w:pPr>
          </w:p>
        </w:tc>
        <w:tc>
          <w:tcPr>
            <w:tcW w:w="1160" w:type="dxa"/>
            <w:vAlign w:val="bottom"/>
            <w:tcBorders>
              <w:bottom w:val="single" w:sz="8" w:color="auto"/>
            </w:tcBorders>
          </w:tcPr>
          <w:p>
            <w:pPr>
              <w:jc w:val="right"/>
              <w:ind w:right="122"/>
              <w:spacing w:after="0"/>
              <w:rPr>
                <w:sz w:val="20"/>
                <w:szCs w:val="20"/>
                <w:color w:val="auto"/>
              </w:rPr>
            </w:pPr>
            <w:r>
              <w:rPr>
                <w:rFonts w:ascii="Arial" w:cs="Arial" w:eastAsia="Arial" w:hAnsi="Arial"/>
                <w:sz w:val="15"/>
                <w:szCs w:val="15"/>
                <w:b w:val="1"/>
                <w:bCs w:val="1"/>
                <w:color w:val="auto"/>
              </w:rPr>
              <w:t>Converted</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99"/>
              </w:rPr>
              <w:t xml:space="preserve">Common Stock </w:t>
            </w:r>
            <w:r>
              <w:rPr>
                <w:rFonts w:ascii="Arial" w:cs="Arial" w:eastAsia="Arial" w:hAnsi="Arial"/>
                <w:sz w:val="9"/>
                <w:szCs w:val="9"/>
                <w:b w:val="1"/>
                <w:bCs w:val="1"/>
                <w:color w:val="auto"/>
                <w:w w:val="99"/>
              </w:rPr>
              <w:t>(1)</w:t>
            </w:r>
          </w:p>
        </w:tc>
        <w:tc>
          <w:tcPr>
            <w:tcW w:w="0" w:type="dxa"/>
            <w:vAlign w:val="bottom"/>
          </w:tcPr>
          <w:p>
            <w:pPr>
              <w:spacing w:after="0"/>
              <w:rPr>
                <w:sz w:val="1"/>
                <w:szCs w:val="1"/>
                <w:color w:val="auto"/>
              </w:rPr>
            </w:pPr>
          </w:p>
        </w:tc>
      </w:tr>
      <w:tr>
        <w:trPr>
          <w:trHeight w:val="213"/>
        </w:trPr>
        <w:tc>
          <w:tcPr>
            <w:tcW w:w="732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Common OP unit</w:t>
            </w:r>
          </w:p>
        </w:tc>
        <w:tc>
          <w:tcPr>
            <w:tcW w:w="124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rPr>
              <w:t>1.0000</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2"/>
              <w:spacing w:after="0"/>
              <w:rPr>
                <w:sz w:val="20"/>
                <w:szCs w:val="20"/>
                <w:color w:val="auto"/>
              </w:rPr>
            </w:pPr>
            <w:r>
              <w:rPr>
                <w:rFonts w:ascii="Arial" w:cs="Arial" w:eastAsia="Arial" w:hAnsi="Arial"/>
                <w:sz w:val="15"/>
                <w:szCs w:val="15"/>
                <w:color w:val="auto"/>
              </w:rPr>
              <w:t>14,156</w:t>
            </w:r>
          </w:p>
        </w:tc>
        <w:tc>
          <w:tcPr>
            <w:tcW w:w="128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rPr>
              <w:t>14,156</w:t>
            </w:r>
          </w:p>
        </w:tc>
        <w:tc>
          <w:tcPr>
            <w:tcW w:w="0" w:type="dxa"/>
            <w:vAlign w:val="bottom"/>
          </w:tcPr>
          <w:p>
            <w:pPr>
              <w:spacing w:after="0"/>
              <w:rPr>
                <w:sz w:val="1"/>
                <w:szCs w:val="1"/>
                <w:color w:val="auto"/>
              </w:rPr>
            </w:pPr>
          </w:p>
        </w:tc>
      </w:tr>
      <w:tr>
        <w:trPr>
          <w:trHeight w:val="208"/>
        </w:trPr>
        <w:tc>
          <w:tcPr>
            <w:tcW w:w="7320" w:type="dxa"/>
            <w:vAlign w:val="bottom"/>
            <w:gridSpan w:val="2"/>
          </w:tcPr>
          <w:p>
            <w:pPr>
              <w:ind w:left="20"/>
              <w:spacing w:after="0"/>
              <w:rPr>
                <w:sz w:val="20"/>
                <w:szCs w:val="20"/>
                <w:color w:val="auto"/>
              </w:rPr>
            </w:pPr>
            <w:r>
              <w:rPr>
                <w:rFonts w:ascii="Arial" w:cs="Arial" w:eastAsia="Arial" w:hAnsi="Arial"/>
                <w:sz w:val="15"/>
                <w:szCs w:val="15"/>
                <w:color w:val="auto"/>
              </w:rPr>
              <w:t>Series A-1 preferred OP unit</w:t>
            </w:r>
          </w:p>
        </w:tc>
        <w:tc>
          <w:tcPr>
            <w:tcW w:w="1240" w:type="dxa"/>
            <w:vAlign w:val="bottom"/>
          </w:tcPr>
          <w:p>
            <w:pPr>
              <w:jc w:val="right"/>
              <w:ind w:right="84"/>
              <w:spacing w:after="0"/>
              <w:rPr>
                <w:sz w:val="20"/>
                <w:szCs w:val="20"/>
                <w:color w:val="auto"/>
              </w:rPr>
            </w:pPr>
            <w:r>
              <w:rPr>
                <w:rFonts w:ascii="Arial" w:cs="Arial" w:eastAsia="Arial" w:hAnsi="Arial"/>
                <w:sz w:val="15"/>
                <w:szCs w:val="15"/>
                <w:color w:val="auto"/>
              </w:rPr>
              <w:t>2.4390</w:t>
            </w:r>
          </w:p>
        </w:tc>
        <w:tc>
          <w:tcPr>
            <w:tcW w:w="220" w:type="dxa"/>
            <w:vAlign w:val="bottom"/>
          </w:tcPr>
          <w:p>
            <w:pPr>
              <w:spacing w:after="0"/>
              <w:rPr>
                <w:sz w:val="18"/>
                <w:szCs w:val="18"/>
                <w:color w:val="auto"/>
              </w:rPr>
            </w:pPr>
          </w:p>
        </w:tc>
        <w:tc>
          <w:tcPr>
            <w:tcW w:w="1160" w:type="dxa"/>
            <w:vAlign w:val="bottom"/>
          </w:tcPr>
          <w:p>
            <w:pPr>
              <w:jc w:val="right"/>
              <w:ind w:right="2"/>
              <w:spacing w:after="0"/>
              <w:rPr>
                <w:sz w:val="20"/>
                <w:szCs w:val="20"/>
                <w:color w:val="auto"/>
              </w:rPr>
            </w:pPr>
            <w:r>
              <w:rPr>
                <w:rFonts w:ascii="Arial" w:cs="Arial" w:eastAsia="Arial" w:hAnsi="Arial"/>
                <w:sz w:val="15"/>
                <w:szCs w:val="15"/>
                <w:color w:val="auto"/>
              </w:rPr>
              <w:t>2,437</w:t>
            </w:r>
          </w:p>
        </w:tc>
        <w:tc>
          <w:tcPr>
            <w:tcW w:w="1280" w:type="dxa"/>
            <w:vAlign w:val="bottom"/>
          </w:tcPr>
          <w:p>
            <w:pPr>
              <w:jc w:val="right"/>
              <w:ind w:right="84"/>
              <w:spacing w:after="0"/>
              <w:rPr>
                <w:sz w:val="20"/>
                <w:szCs w:val="20"/>
                <w:color w:val="auto"/>
              </w:rPr>
            </w:pPr>
            <w:r>
              <w:rPr>
                <w:rFonts w:ascii="Arial" w:cs="Arial" w:eastAsia="Arial" w:hAnsi="Arial"/>
                <w:sz w:val="15"/>
                <w:szCs w:val="15"/>
                <w:color w:val="auto"/>
              </w:rPr>
              <w:t>5,943</w:t>
            </w:r>
          </w:p>
        </w:tc>
        <w:tc>
          <w:tcPr>
            <w:tcW w:w="0" w:type="dxa"/>
            <w:vAlign w:val="bottom"/>
          </w:tcPr>
          <w:p>
            <w:pPr>
              <w:spacing w:after="0"/>
              <w:rPr>
                <w:sz w:val="1"/>
                <w:szCs w:val="1"/>
                <w:color w:val="auto"/>
              </w:rPr>
            </w:pPr>
          </w:p>
        </w:tc>
      </w:tr>
    </w:tbl>
    <w:p>
      <w:pPr>
        <w:spacing w:after="0" w:line="113" w:lineRule="exact"/>
        <w:rPr>
          <w:sz w:val="20"/>
          <w:szCs w:val="20"/>
          <w:color w:val="auto"/>
        </w:rPr>
      </w:pPr>
    </w:p>
    <w:p>
      <w:pPr>
        <w:ind w:left="160" w:hanging="152"/>
        <w:spacing w:after="0"/>
        <w:tabs>
          <w:tab w:leader="none" w:pos="160" w:val="left"/>
        </w:tabs>
        <w:numPr>
          <w:ilvl w:val="0"/>
          <w:numId w:val="32"/>
        </w:numPr>
        <w:rPr>
          <w:rFonts w:ascii="Arial" w:cs="Arial" w:eastAsia="Arial" w:hAnsi="Arial"/>
          <w:sz w:val="18"/>
          <w:szCs w:val="18"/>
          <w:i w:val="1"/>
          <w:iCs w:val="1"/>
          <w:color w:val="auto"/>
          <w:vertAlign w:val="superscript"/>
        </w:rPr>
      </w:pPr>
      <w:r>
        <w:rPr>
          <w:rFonts w:ascii="Arial" w:cs="Arial" w:eastAsia="Arial" w:hAnsi="Arial"/>
          <w:sz w:val="14"/>
          <w:szCs w:val="14"/>
          <w:i w:val="1"/>
          <w:iCs w:val="1"/>
          <w:color w:val="auto"/>
        </w:rPr>
        <w:t>C</w:t>
      </w:r>
      <w:r>
        <w:rPr>
          <w:rFonts w:ascii="Arial" w:cs="Arial" w:eastAsia="Arial" w:hAnsi="Arial"/>
          <w:sz w:val="14"/>
          <w:szCs w:val="14"/>
          <w:color w:val="auto"/>
        </w:rPr>
        <w:t>alculation may yield minor differences due to rounding incorporated in the above numbers.</w:t>
      </w:r>
    </w:p>
    <w:p>
      <w:pPr>
        <w:spacing w:after="0" w:line="227"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All of the above shares of common stock were issued in private placements in reliance on Section 4(a)(2) of the Securities Act, including Regulation D promulgated thereunder. No underwriters were used in connection with any of such issuances.</w:t>
      </w:r>
    </w:p>
    <w:p>
      <w:pPr>
        <w:spacing w:after="0" w:line="210"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Effective as of May 14, 2020, the Operating Partnership issued 90,000 Series F preferred OP units and 82,420 common OP units as consideration in the acquisition of Forest Springs. The issuance by the Operating Partnership of all such securities was made in reliance upon the exemption from registration afforded by Section 4(a)(2) of the Securities Act.</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53" w:name="page54"/>
    <w:bookmarkEnd w:id="53"/>
    <w:p>
      <w:pPr>
        <w:spacing w:after="0"/>
        <w:rPr>
          <w:sz w:val="20"/>
          <w:szCs w:val="20"/>
          <w:color w:val="auto"/>
        </w:rPr>
      </w:pPr>
      <w:r>
        <w:rPr>
          <w:rFonts w:ascii="Arial" w:cs="Arial" w:eastAsia="Arial" w:hAnsi="Arial"/>
          <w:sz w:val="18"/>
          <w:szCs w:val="18"/>
          <w:b w:val="1"/>
          <w:bCs w:val="1"/>
          <w:color w:val="auto"/>
        </w:rPr>
        <w:t>ITEM 6. EXHIBITS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320" w:type="dxa"/>
            <w:vAlign w:val="bottom"/>
            <w:tcBorders>
              <w:right w:val="single" w:sz="8" w:color="auto"/>
            </w:tcBorders>
          </w:tcPr>
          <w:p>
            <w:pPr>
              <w:spacing w:after="0"/>
              <w:rPr>
                <w:sz w:val="22"/>
                <w:szCs w:val="22"/>
                <w:color w:val="auto"/>
              </w:rPr>
            </w:pPr>
          </w:p>
        </w:tc>
        <w:tc>
          <w:tcPr>
            <w:tcW w:w="1240" w:type="dxa"/>
            <w:vAlign w:val="bottom"/>
            <w:tcBorders>
              <w:top w:val="single" w:sz="8" w:color="auto"/>
              <w:right w:val="single" w:sz="8" w:color="auto"/>
            </w:tcBorders>
          </w:tcPr>
          <w:p>
            <w:pPr>
              <w:ind w:left="160"/>
              <w:spacing w:after="0"/>
              <w:rPr>
                <w:sz w:val="20"/>
                <w:szCs w:val="20"/>
                <w:color w:val="auto"/>
              </w:rPr>
            </w:pPr>
            <w:r>
              <w:rPr>
                <w:rFonts w:ascii="Arial" w:cs="Arial" w:eastAsia="Arial" w:hAnsi="Arial"/>
                <w:sz w:val="18"/>
                <w:szCs w:val="18"/>
                <w:b w:val="1"/>
                <w:bCs w:val="1"/>
                <w:color w:val="auto"/>
              </w:rPr>
              <w:t>Exhibit No.</w:t>
            </w:r>
          </w:p>
        </w:tc>
        <w:tc>
          <w:tcPr>
            <w:tcW w:w="2360" w:type="dxa"/>
            <w:vAlign w:val="bottom"/>
            <w:tcBorders>
              <w:top w:val="single" w:sz="8" w:color="auto"/>
            </w:tcBorders>
          </w:tcPr>
          <w:p>
            <w:pPr>
              <w:spacing w:after="0"/>
              <w:rPr>
                <w:sz w:val="22"/>
                <w:szCs w:val="22"/>
                <w:color w:val="auto"/>
              </w:rPr>
            </w:pPr>
          </w:p>
        </w:tc>
        <w:tc>
          <w:tcPr>
            <w:tcW w:w="4240" w:type="dxa"/>
            <w:vAlign w:val="bottom"/>
            <w:tcBorders>
              <w:top w:val="single" w:sz="8" w:color="auto"/>
              <w:right w:val="single" w:sz="8" w:color="auto"/>
            </w:tcBorders>
            <w:gridSpan w:val="4"/>
          </w:tcPr>
          <w:p>
            <w:pPr>
              <w:ind w:left="480"/>
              <w:spacing w:after="0"/>
              <w:rPr>
                <w:sz w:val="20"/>
                <w:szCs w:val="20"/>
                <w:color w:val="auto"/>
              </w:rPr>
            </w:pPr>
            <w:r>
              <w:rPr>
                <w:rFonts w:ascii="Arial" w:cs="Arial" w:eastAsia="Arial" w:hAnsi="Arial"/>
                <w:sz w:val="18"/>
                <w:szCs w:val="18"/>
                <w:b w:val="1"/>
                <w:bCs w:val="1"/>
                <w:color w:val="auto"/>
              </w:rPr>
              <w:t>Description</w:t>
            </w:r>
          </w:p>
        </w:tc>
        <w:tc>
          <w:tcPr>
            <w:tcW w:w="2820" w:type="dxa"/>
            <w:vAlign w:val="bottom"/>
            <w:tcBorders>
              <w:top w:val="single" w:sz="8" w:color="auto"/>
              <w:right w:val="single" w:sz="8" w:color="auto"/>
            </w:tcBorders>
          </w:tcPr>
          <w:p>
            <w:pPr>
              <w:ind w:left="760"/>
              <w:spacing w:after="0"/>
              <w:rPr>
                <w:sz w:val="20"/>
                <w:szCs w:val="20"/>
                <w:color w:val="auto"/>
              </w:rPr>
            </w:pPr>
            <w:r>
              <w:rPr>
                <w:rFonts w:ascii="Arial" w:cs="Arial" w:eastAsia="Arial" w:hAnsi="Arial"/>
                <w:sz w:val="18"/>
                <w:szCs w:val="18"/>
                <w:b w:val="1"/>
                <w:bCs w:val="1"/>
                <w:color w:val="auto"/>
              </w:rPr>
              <w:t>Method of Filing</w:t>
            </w:r>
          </w:p>
        </w:tc>
        <w:tc>
          <w:tcPr>
            <w:tcW w:w="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320" w:type="dxa"/>
            <w:vAlign w:val="bottom"/>
            <w:tcBorders>
              <w:right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c>
          <w:tcPr>
            <w:tcW w:w="2360" w:type="dxa"/>
            <w:vAlign w:val="bottom"/>
            <w:tcBorders>
              <w:bottom w:val="single" w:sz="8" w:color="auto"/>
            </w:tcBorders>
          </w:tcPr>
          <w:p>
            <w:pPr>
              <w:spacing w:after="0"/>
              <w:rPr>
                <w:sz w:val="2"/>
                <w:szCs w:val="2"/>
                <w:color w:val="auto"/>
              </w:rPr>
            </w:pPr>
          </w:p>
        </w:tc>
        <w:tc>
          <w:tcPr>
            <w:tcW w:w="34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40" w:type="dxa"/>
            <w:vAlign w:val="bottom"/>
            <w:tcBorders>
              <w:bottom w:val="single" w:sz="8" w:color="auto"/>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320" w:type="dxa"/>
            <w:vAlign w:val="bottom"/>
            <w:tcBorders>
              <w:right w:val="single" w:sz="8" w:color="auto"/>
            </w:tcBorders>
          </w:tcPr>
          <w:p>
            <w:pPr>
              <w:spacing w:after="0"/>
              <w:rPr>
                <w:sz w:val="19"/>
                <w:szCs w:val="19"/>
                <w:color w:val="auto"/>
              </w:rPr>
            </w:pPr>
          </w:p>
        </w:tc>
        <w:tc>
          <w:tcPr>
            <w:tcW w:w="124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5"/>
              </w:rPr>
              <w:t>3.1</w:t>
            </w:r>
          </w:p>
        </w:tc>
        <w:tc>
          <w:tcPr>
            <w:tcW w:w="6600" w:type="dxa"/>
            <w:vAlign w:val="bottom"/>
            <w:tcBorders>
              <w:right w:val="single" w:sz="8" w:color="auto"/>
            </w:tcBorders>
            <w:gridSpan w:val="5"/>
            <w:shd w:val="clear" w:color="auto" w:fill="CCEEFF"/>
          </w:tcPr>
          <w:p>
            <w:pPr>
              <w:spacing w:after="0"/>
              <w:rPr>
                <w:rFonts w:ascii="Arial" w:cs="Arial" w:eastAsia="Arial" w:hAnsi="Arial"/>
                <w:sz w:val="18"/>
                <w:szCs w:val="18"/>
                <w:u w:val="single" w:color="auto"/>
                <w:color w:val="0000FF"/>
              </w:rPr>
            </w:pPr>
            <w:hyperlink r:id="rId82">
              <w:r>
                <w:rPr>
                  <w:rFonts w:ascii="Arial" w:cs="Arial" w:eastAsia="Arial" w:hAnsi="Arial"/>
                  <w:sz w:val="18"/>
                  <w:szCs w:val="18"/>
                  <w:u w:val="single" w:color="auto"/>
                  <w:color w:val="0000FF"/>
                </w:rPr>
                <w:t>Sun Communities, Inc. Articles of Restatement</w:t>
              </w:r>
            </w:hyperlink>
          </w:p>
        </w:tc>
        <w:tc>
          <w:tcPr>
            <w:tcW w:w="2820" w:type="dxa"/>
            <w:vAlign w:val="bottom"/>
            <w:tcBorders>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Incorporated by reference to Sun</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20" w:type="dxa"/>
            <w:vAlign w:val="bottom"/>
            <w:tcBorders>
              <w:right w:val="single" w:sz="8" w:color="auto"/>
            </w:tcBorders>
          </w:tcPr>
          <w:p>
            <w:pPr>
              <w:spacing w:after="0"/>
              <w:rPr>
                <w:sz w:val="18"/>
                <w:szCs w:val="18"/>
                <w:color w:val="auto"/>
              </w:rPr>
            </w:pPr>
          </w:p>
        </w:tc>
        <w:tc>
          <w:tcPr>
            <w:tcW w:w="1240" w:type="dxa"/>
            <w:vAlign w:val="bottom"/>
            <w:tcBorders>
              <w:right w:val="single" w:sz="8" w:color="auto"/>
            </w:tcBorders>
            <w:shd w:val="clear" w:color="auto" w:fill="CCEEFF"/>
          </w:tcPr>
          <w:p>
            <w:pPr>
              <w:spacing w:after="0"/>
              <w:rPr>
                <w:sz w:val="18"/>
                <w:szCs w:val="18"/>
                <w:color w:val="auto"/>
              </w:rPr>
            </w:pPr>
          </w:p>
        </w:tc>
        <w:tc>
          <w:tcPr>
            <w:tcW w:w="2360" w:type="dxa"/>
            <w:vAlign w:val="bottom"/>
            <w:shd w:val="clear" w:color="auto" w:fill="CCEEFF"/>
          </w:tcPr>
          <w:p>
            <w:pPr>
              <w:spacing w:after="0"/>
              <w:rPr>
                <w:sz w:val="18"/>
                <w:szCs w:val="18"/>
                <w:color w:val="auto"/>
              </w:rPr>
            </w:pPr>
          </w:p>
        </w:tc>
        <w:tc>
          <w:tcPr>
            <w:tcW w:w="34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tcBorders>
              <w:right w:val="single" w:sz="8" w:color="auto"/>
            </w:tcBorders>
            <w:shd w:val="clear" w:color="auto" w:fill="CCEEFF"/>
          </w:tcPr>
          <w:p>
            <w:pPr>
              <w:spacing w:after="0"/>
              <w:rPr>
                <w:sz w:val="18"/>
                <w:szCs w:val="18"/>
                <w:color w:val="auto"/>
              </w:rPr>
            </w:pPr>
          </w:p>
        </w:tc>
        <w:tc>
          <w:tcPr>
            <w:tcW w:w="2820" w:type="dxa"/>
            <w:vAlign w:val="bottom"/>
            <w:tcBorders>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9"/>
              </w:rPr>
              <w:t>Communities, Inc.'s Annual Report</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Borders>
              <w:right w:val="single" w:sz="8" w:color="auto"/>
            </w:tcBorders>
          </w:tcPr>
          <w:p>
            <w:pPr>
              <w:spacing w:after="0"/>
              <w:rPr>
                <w:sz w:val="18"/>
                <w:szCs w:val="18"/>
                <w:color w:val="auto"/>
              </w:rPr>
            </w:pPr>
          </w:p>
        </w:tc>
        <w:tc>
          <w:tcPr>
            <w:tcW w:w="1240" w:type="dxa"/>
            <w:vAlign w:val="bottom"/>
            <w:tcBorders>
              <w:right w:val="single" w:sz="8" w:color="auto"/>
            </w:tcBorders>
            <w:shd w:val="clear" w:color="auto" w:fill="CCEEFF"/>
          </w:tcPr>
          <w:p>
            <w:pPr>
              <w:spacing w:after="0"/>
              <w:rPr>
                <w:sz w:val="18"/>
                <w:szCs w:val="18"/>
                <w:color w:val="auto"/>
              </w:rPr>
            </w:pPr>
          </w:p>
        </w:tc>
        <w:tc>
          <w:tcPr>
            <w:tcW w:w="2360" w:type="dxa"/>
            <w:vAlign w:val="bottom"/>
            <w:shd w:val="clear" w:color="auto" w:fill="CCEEFF"/>
          </w:tcPr>
          <w:p>
            <w:pPr>
              <w:spacing w:after="0"/>
              <w:rPr>
                <w:sz w:val="18"/>
                <w:szCs w:val="18"/>
                <w:color w:val="auto"/>
              </w:rPr>
            </w:pPr>
          </w:p>
        </w:tc>
        <w:tc>
          <w:tcPr>
            <w:tcW w:w="34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tcBorders>
              <w:right w:val="single" w:sz="8" w:color="auto"/>
            </w:tcBorders>
            <w:shd w:val="clear" w:color="auto" w:fill="CCEEFF"/>
          </w:tcPr>
          <w:p>
            <w:pPr>
              <w:spacing w:after="0"/>
              <w:rPr>
                <w:sz w:val="18"/>
                <w:szCs w:val="18"/>
                <w:color w:val="auto"/>
              </w:rPr>
            </w:pPr>
          </w:p>
        </w:tc>
        <w:tc>
          <w:tcPr>
            <w:tcW w:w="2820" w:type="dxa"/>
            <w:vAlign w:val="bottom"/>
            <w:tcBorders>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8"/>
              </w:rPr>
              <w:t>on Form 10-K filed on February 22,</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2"/>
        </w:trPr>
        <w:tc>
          <w:tcPr>
            <w:tcW w:w="320" w:type="dxa"/>
            <w:vAlign w:val="bottom"/>
            <w:tcBorders>
              <w:right w:val="single" w:sz="8" w:color="auto"/>
            </w:tcBorders>
          </w:tcPr>
          <w:p>
            <w:pPr>
              <w:spacing w:after="0"/>
              <w:rPr>
                <w:sz w:val="22"/>
                <w:szCs w:val="22"/>
                <w:color w:val="auto"/>
              </w:rPr>
            </w:pPr>
          </w:p>
        </w:tc>
        <w:tc>
          <w:tcPr>
            <w:tcW w:w="1240" w:type="dxa"/>
            <w:vAlign w:val="bottom"/>
            <w:tcBorders>
              <w:bottom w:val="single" w:sz="8" w:color="CCEEFF"/>
              <w:right w:val="single" w:sz="8" w:color="auto"/>
            </w:tcBorders>
            <w:shd w:val="clear" w:color="auto" w:fill="CCEEFF"/>
          </w:tcPr>
          <w:p>
            <w:pPr>
              <w:spacing w:after="0"/>
              <w:rPr>
                <w:sz w:val="22"/>
                <w:szCs w:val="22"/>
                <w:color w:val="auto"/>
              </w:rPr>
            </w:pPr>
          </w:p>
        </w:tc>
        <w:tc>
          <w:tcPr>
            <w:tcW w:w="2360" w:type="dxa"/>
            <w:vAlign w:val="bottom"/>
            <w:tcBorders>
              <w:bottom w:val="single" w:sz="8" w:color="CCEEFF"/>
            </w:tcBorders>
            <w:shd w:val="clear" w:color="auto" w:fill="CCEEFF"/>
          </w:tcPr>
          <w:p>
            <w:pPr>
              <w:spacing w:after="0"/>
              <w:rPr>
                <w:sz w:val="22"/>
                <w:szCs w:val="22"/>
                <w:color w:val="auto"/>
              </w:rPr>
            </w:pPr>
          </w:p>
        </w:tc>
        <w:tc>
          <w:tcPr>
            <w:tcW w:w="34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right w:val="single" w:sz="8" w:color="auto"/>
            </w:tcBorders>
            <w:shd w:val="clear" w:color="auto" w:fill="CCEEFF"/>
          </w:tcPr>
          <w:p>
            <w:pPr>
              <w:spacing w:after="0"/>
              <w:rPr>
                <w:sz w:val="22"/>
                <w:szCs w:val="22"/>
                <w:color w:val="auto"/>
              </w:rPr>
            </w:pPr>
          </w:p>
        </w:tc>
        <w:tc>
          <w:tcPr>
            <w:tcW w:w="28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2018</w:t>
            </w:r>
          </w:p>
        </w:tc>
        <w:tc>
          <w:tcPr>
            <w:tcW w:w="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2"/>
        </w:trPr>
        <w:tc>
          <w:tcPr>
            <w:tcW w:w="320" w:type="dxa"/>
            <w:vAlign w:val="bottom"/>
            <w:tcBorders>
              <w:right w:val="single" w:sz="8" w:color="auto"/>
            </w:tcBorders>
          </w:tcPr>
          <w:p>
            <w:pPr>
              <w:spacing w:after="0"/>
              <w:rPr>
                <w:sz w:val="19"/>
                <w:szCs w:val="19"/>
                <w:color w:val="auto"/>
              </w:rPr>
            </w:pPr>
          </w:p>
        </w:tc>
        <w:tc>
          <w:tcPr>
            <w:tcW w:w="12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3.2</w:t>
            </w:r>
          </w:p>
        </w:tc>
        <w:tc>
          <w:tcPr>
            <w:tcW w:w="6600" w:type="dxa"/>
            <w:vAlign w:val="bottom"/>
            <w:tcBorders>
              <w:top w:val="single" w:sz="8" w:color="auto"/>
              <w:right w:val="single" w:sz="8" w:color="auto"/>
            </w:tcBorders>
            <w:gridSpan w:val="5"/>
          </w:tcPr>
          <w:p>
            <w:pPr>
              <w:spacing w:after="0"/>
              <w:rPr>
                <w:rFonts w:ascii="Arial" w:cs="Arial" w:eastAsia="Arial" w:hAnsi="Arial"/>
                <w:sz w:val="18"/>
                <w:szCs w:val="18"/>
                <w:u w:val="single" w:color="auto"/>
                <w:color w:val="0000FF"/>
              </w:rPr>
            </w:pPr>
            <w:hyperlink r:id="rId83">
              <w:r>
                <w:rPr>
                  <w:rFonts w:ascii="Arial" w:cs="Arial" w:eastAsia="Arial" w:hAnsi="Arial"/>
                  <w:sz w:val="18"/>
                  <w:szCs w:val="18"/>
                  <w:u w:val="single" w:color="auto"/>
                  <w:color w:val="0000FF"/>
                </w:rPr>
                <w:t>Third Amended and Restated Bylaws</w:t>
              </w:r>
            </w:hyperlink>
          </w:p>
        </w:tc>
        <w:tc>
          <w:tcPr>
            <w:tcW w:w="28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Incorporated by reference to Sun</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20" w:type="dxa"/>
            <w:vAlign w:val="bottom"/>
            <w:tcBorders>
              <w:right w:val="single" w:sz="8" w:color="auto"/>
            </w:tcBorders>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236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1"/>
              </w:rPr>
              <w:t>Communities Inc.'s Current Report on</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20" w:type="dxa"/>
            <w:vAlign w:val="bottom"/>
            <w:tcBorders>
              <w:right w:val="single" w:sz="8" w:color="auto"/>
            </w:tcBorders>
          </w:tcPr>
          <w:p>
            <w:pPr>
              <w:spacing w:after="0"/>
              <w:rPr>
                <w:sz w:val="20"/>
                <w:szCs w:val="20"/>
                <w:color w:val="auto"/>
              </w:rPr>
            </w:pPr>
          </w:p>
        </w:tc>
        <w:tc>
          <w:tcPr>
            <w:tcW w:w="1240" w:type="dxa"/>
            <w:vAlign w:val="bottom"/>
            <w:tcBorders>
              <w:right w:val="single" w:sz="8" w:color="auto"/>
            </w:tcBorders>
          </w:tcPr>
          <w:p>
            <w:pPr>
              <w:spacing w:after="0"/>
              <w:rPr>
                <w:sz w:val="20"/>
                <w:szCs w:val="20"/>
                <w:color w:val="auto"/>
              </w:rPr>
            </w:pPr>
          </w:p>
        </w:tc>
        <w:tc>
          <w:tcPr>
            <w:tcW w:w="2360" w:type="dxa"/>
            <w:vAlign w:val="bottom"/>
          </w:tcPr>
          <w:p>
            <w:pPr>
              <w:spacing w:after="0"/>
              <w:rPr>
                <w:sz w:val="20"/>
                <w:szCs w:val="20"/>
                <w:color w:val="auto"/>
              </w:rPr>
            </w:pPr>
          </w:p>
        </w:tc>
        <w:tc>
          <w:tcPr>
            <w:tcW w:w="34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Form 8-K filed on May 12, 2017</w:t>
            </w: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20" w:type="dxa"/>
            <w:vAlign w:val="bottom"/>
            <w:tcBorders>
              <w:right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c>
          <w:tcPr>
            <w:tcW w:w="2360" w:type="dxa"/>
            <w:vAlign w:val="bottom"/>
            <w:tcBorders>
              <w:bottom w:val="single" w:sz="8" w:color="auto"/>
            </w:tcBorders>
          </w:tcPr>
          <w:p>
            <w:pPr>
              <w:spacing w:after="0"/>
              <w:rPr>
                <w:sz w:val="2"/>
                <w:szCs w:val="2"/>
                <w:color w:val="auto"/>
              </w:rPr>
            </w:pPr>
          </w:p>
        </w:tc>
        <w:tc>
          <w:tcPr>
            <w:tcW w:w="34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40" w:type="dxa"/>
            <w:vAlign w:val="bottom"/>
            <w:tcBorders>
              <w:bottom w:val="single" w:sz="8" w:color="auto"/>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320" w:type="dxa"/>
            <w:vAlign w:val="bottom"/>
            <w:tcBorders>
              <w:right w:val="single" w:sz="8" w:color="auto"/>
            </w:tcBorders>
          </w:tcPr>
          <w:p>
            <w:pPr>
              <w:spacing w:after="0"/>
              <w:rPr>
                <w:sz w:val="15"/>
                <w:szCs w:val="15"/>
                <w:color w:val="auto"/>
              </w:rPr>
            </w:pPr>
          </w:p>
        </w:tc>
        <w:tc>
          <w:tcPr>
            <w:tcW w:w="1240" w:type="dxa"/>
            <w:vAlign w:val="bottom"/>
            <w:tcBorders>
              <w:right w:val="single" w:sz="8" w:color="auto"/>
            </w:tcBorders>
          </w:tcPr>
          <w:p>
            <w:pPr>
              <w:spacing w:after="0"/>
              <w:rPr>
                <w:sz w:val="15"/>
                <w:szCs w:val="15"/>
                <w:color w:val="auto"/>
              </w:rPr>
            </w:pPr>
          </w:p>
        </w:tc>
        <w:tc>
          <w:tcPr>
            <w:tcW w:w="5760" w:type="dxa"/>
            <w:vAlign w:val="bottom"/>
            <w:tcBorders>
              <w:bottom w:val="single" w:sz="8" w:color="0000FF"/>
            </w:tcBorders>
            <w:gridSpan w:val="2"/>
          </w:tcPr>
          <w:p>
            <w:pPr>
              <w:spacing w:after="0" w:line="169" w:lineRule="exact"/>
              <w:rPr>
                <w:rFonts w:ascii="Arial" w:cs="Arial" w:eastAsia="Arial" w:hAnsi="Arial"/>
                <w:sz w:val="18"/>
                <w:szCs w:val="18"/>
                <w:color w:val="0000FF"/>
                <w:w w:val="90"/>
              </w:rPr>
            </w:pPr>
            <w:hyperlink r:id="rId84">
              <w:r>
                <w:rPr>
                  <w:rFonts w:ascii="Arial" w:cs="Arial" w:eastAsia="Arial" w:hAnsi="Arial"/>
                  <w:sz w:val="18"/>
                  <w:szCs w:val="18"/>
                  <w:color w:val="0000FF"/>
                  <w:w w:val="90"/>
                </w:rPr>
                <w:t>Fourth Amendment to the Fourth Amended and Restated Agreement of Limited</w:t>
              </w:r>
            </w:hyperlink>
          </w:p>
        </w:tc>
        <w:tc>
          <w:tcPr>
            <w:tcW w:w="560" w:type="dxa"/>
            <w:vAlign w:val="bottom"/>
            <w:vMerge w:val="restart"/>
          </w:tcPr>
          <w:p>
            <w:pPr>
              <w:jc w:val="right"/>
              <w:ind w:right="90"/>
              <w:spacing w:after="0"/>
              <w:rPr>
                <w:rFonts w:ascii="Arial" w:cs="Arial" w:eastAsia="Arial" w:hAnsi="Arial"/>
                <w:sz w:val="18"/>
                <w:szCs w:val="18"/>
                <w:u w:val="single" w:color="auto"/>
                <w:color w:val="0000FF"/>
                <w:w w:val="89"/>
              </w:rPr>
            </w:pPr>
            <w:hyperlink r:id="rId84">
              <w:r>
                <w:rPr>
                  <w:rFonts w:ascii="Arial" w:cs="Arial" w:eastAsia="Arial" w:hAnsi="Arial"/>
                  <w:sz w:val="18"/>
                  <w:szCs w:val="18"/>
                  <w:u w:val="single" w:color="auto"/>
                  <w:color w:val="0000FF"/>
                  <w:w w:val="89"/>
                </w:rPr>
                <w:t>2020</w:t>
              </w:r>
            </w:hyperlink>
          </w:p>
        </w:tc>
        <w:tc>
          <w:tcPr>
            <w:tcW w:w="40" w:type="dxa"/>
            <w:vAlign w:val="bottom"/>
          </w:tcPr>
          <w:p>
            <w:pPr>
              <w:spacing w:after="0"/>
              <w:rPr>
                <w:sz w:val="15"/>
                <w:szCs w:val="15"/>
                <w:color w:val="auto"/>
              </w:rPr>
            </w:pPr>
          </w:p>
        </w:tc>
        <w:tc>
          <w:tcPr>
            <w:tcW w:w="240" w:type="dxa"/>
            <w:vAlign w:val="bottom"/>
            <w:tcBorders>
              <w:right w:val="single" w:sz="8" w:color="auto"/>
            </w:tcBorders>
          </w:tcPr>
          <w:p>
            <w:pPr>
              <w:spacing w:after="0"/>
              <w:rPr>
                <w:sz w:val="15"/>
                <w:szCs w:val="15"/>
                <w:color w:val="auto"/>
              </w:rPr>
            </w:pPr>
          </w:p>
        </w:tc>
        <w:tc>
          <w:tcPr>
            <w:tcW w:w="2820" w:type="dxa"/>
            <w:vAlign w:val="bottom"/>
            <w:tcBorders>
              <w:right w:val="single" w:sz="8" w:color="auto"/>
            </w:tcBorders>
          </w:tcPr>
          <w:p>
            <w:pPr>
              <w:ind w:left="20"/>
              <w:spacing w:after="0" w:line="182" w:lineRule="exact"/>
              <w:rPr>
                <w:sz w:val="20"/>
                <w:szCs w:val="20"/>
                <w:color w:val="auto"/>
              </w:rPr>
            </w:pPr>
            <w:r>
              <w:rPr>
                <w:rFonts w:ascii="Arial" w:cs="Arial" w:eastAsia="Arial" w:hAnsi="Arial"/>
                <w:sz w:val="18"/>
                <w:szCs w:val="18"/>
                <w:color w:val="auto"/>
              </w:rPr>
              <w:t>Incorporated by reference to Sun</w:t>
            </w: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320" w:type="dxa"/>
            <w:vAlign w:val="bottom"/>
            <w:tcBorders>
              <w:right w:val="single" w:sz="8" w:color="auto"/>
            </w:tcBorders>
          </w:tcPr>
          <w:p>
            <w:pPr>
              <w:spacing w:after="0"/>
              <w:rPr>
                <w:sz w:val="20"/>
                <w:szCs w:val="20"/>
                <w:color w:val="auto"/>
              </w:rPr>
            </w:pPr>
          </w:p>
        </w:tc>
        <w:tc>
          <w:tcPr>
            <w:tcW w:w="12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10.2</w:t>
            </w:r>
          </w:p>
        </w:tc>
        <w:tc>
          <w:tcPr>
            <w:tcW w:w="5760" w:type="dxa"/>
            <w:vAlign w:val="bottom"/>
            <w:gridSpan w:val="2"/>
          </w:tcPr>
          <w:p>
            <w:pPr>
              <w:spacing w:after="0"/>
              <w:rPr>
                <w:rFonts w:ascii="Arial" w:cs="Arial" w:eastAsia="Arial" w:hAnsi="Arial"/>
                <w:sz w:val="18"/>
                <w:szCs w:val="18"/>
                <w:u w:val="single" w:color="auto"/>
                <w:color w:val="0000FF"/>
                <w:w w:val="91"/>
              </w:rPr>
            </w:pPr>
            <w:hyperlink r:id="rId84">
              <w:r>
                <w:rPr>
                  <w:rFonts w:ascii="Arial" w:cs="Arial" w:eastAsia="Arial" w:hAnsi="Arial"/>
                  <w:sz w:val="18"/>
                  <w:szCs w:val="18"/>
                  <w:u w:val="single" w:color="auto"/>
                  <w:color w:val="0000FF"/>
                  <w:w w:val="91"/>
                </w:rPr>
                <w:t>Partnership of Sun Communities Operating Limited Partnership, dated May 14,</w:t>
              </w:r>
            </w:hyperlink>
          </w:p>
        </w:tc>
        <w:tc>
          <w:tcPr>
            <w:tcW w:w="560" w:type="dxa"/>
            <w:vAlign w:val="bottom"/>
            <w:vMerge w:val="continue"/>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8"/>
              </w:rPr>
              <w:t>Communities, Inc.’s Current Report</w:t>
            </w: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20" w:type="dxa"/>
            <w:vAlign w:val="bottom"/>
            <w:tcBorders>
              <w:right w:val="single" w:sz="8" w:color="auto"/>
            </w:tcBorders>
          </w:tcPr>
          <w:p>
            <w:pPr>
              <w:spacing w:after="0"/>
              <w:rPr>
                <w:sz w:val="20"/>
                <w:szCs w:val="20"/>
                <w:color w:val="auto"/>
              </w:rPr>
            </w:pPr>
          </w:p>
        </w:tc>
        <w:tc>
          <w:tcPr>
            <w:tcW w:w="1240" w:type="dxa"/>
            <w:vAlign w:val="bottom"/>
            <w:tcBorders>
              <w:right w:val="single" w:sz="8" w:color="auto"/>
            </w:tcBorders>
          </w:tcPr>
          <w:p>
            <w:pPr>
              <w:spacing w:after="0"/>
              <w:rPr>
                <w:sz w:val="20"/>
                <w:szCs w:val="20"/>
                <w:color w:val="auto"/>
              </w:rPr>
            </w:pPr>
          </w:p>
        </w:tc>
        <w:tc>
          <w:tcPr>
            <w:tcW w:w="2360" w:type="dxa"/>
            <w:vAlign w:val="bottom"/>
          </w:tcPr>
          <w:p>
            <w:pPr>
              <w:spacing w:after="0"/>
              <w:rPr>
                <w:sz w:val="20"/>
                <w:szCs w:val="20"/>
                <w:color w:val="auto"/>
              </w:rPr>
            </w:pPr>
          </w:p>
        </w:tc>
        <w:tc>
          <w:tcPr>
            <w:tcW w:w="34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9"/>
              </w:rPr>
              <w:t>on Form 8-K filed on May 18, 2020</w:t>
            </w: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20" w:type="dxa"/>
            <w:vAlign w:val="bottom"/>
            <w:tcBorders>
              <w:right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c>
          <w:tcPr>
            <w:tcW w:w="2360" w:type="dxa"/>
            <w:vAlign w:val="bottom"/>
            <w:tcBorders>
              <w:bottom w:val="single" w:sz="8" w:color="auto"/>
            </w:tcBorders>
          </w:tcPr>
          <w:p>
            <w:pPr>
              <w:spacing w:after="0"/>
              <w:rPr>
                <w:sz w:val="2"/>
                <w:szCs w:val="2"/>
                <w:color w:val="auto"/>
              </w:rPr>
            </w:pPr>
          </w:p>
        </w:tc>
        <w:tc>
          <w:tcPr>
            <w:tcW w:w="34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40" w:type="dxa"/>
            <w:vAlign w:val="bottom"/>
            <w:tcBorders>
              <w:bottom w:val="single" w:sz="8" w:color="auto"/>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320" w:type="dxa"/>
            <w:vAlign w:val="bottom"/>
            <w:tcBorders>
              <w:right w:val="single" w:sz="8" w:color="auto"/>
            </w:tcBorders>
          </w:tcPr>
          <w:p>
            <w:pPr>
              <w:spacing w:after="0"/>
              <w:rPr>
                <w:sz w:val="15"/>
                <w:szCs w:val="15"/>
                <w:color w:val="auto"/>
              </w:rPr>
            </w:pPr>
          </w:p>
        </w:tc>
        <w:tc>
          <w:tcPr>
            <w:tcW w:w="1240" w:type="dxa"/>
            <w:vAlign w:val="bottom"/>
            <w:tcBorders>
              <w:bottom w:val="single" w:sz="8" w:color="CCEEFF"/>
              <w:right w:val="single" w:sz="8" w:color="auto"/>
            </w:tcBorders>
            <w:shd w:val="clear" w:color="auto" w:fill="CCEEFF"/>
          </w:tcPr>
          <w:p>
            <w:pPr>
              <w:jc w:val="center"/>
              <w:spacing w:after="0" w:line="182" w:lineRule="exact"/>
              <w:rPr>
                <w:sz w:val="20"/>
                <w:szCs w:val="20"/>
                <w:color w:val="auto"/>
              </w:rPr>
            </w:pPr>
            <w:r>
              <w:rPr>
                <w:rFonts w:ascii="Arial" w:cs="Arial" w:eastAsia="Arial" w:hAnsi="Arial"/>
                <w:sz w:val="18"/>
                <w:szCs w:val="18"/>
                <w:color w:val="auto"/>
                <w:w w:val="91"/>
              </w:rPr>
              <w:t>31.1</w:t>
            </w:r>
          </w:p>
        </w:tc>
        <w:tc>
          <w:tcPr>
            <w:tcW w:w="6360" w:type="dxa"/>
            <w:vAlign w:val="bottom"/>
            <w:tcBorders>
              <w:bottom w:val="single" w:sz="8" w:color="0000FF"/>
            </w:tcBorders>
            <w:gridSpan w:val="4"/>
            <w:shd w:val="clear" w:color="auto" w:fill="CCEEFF"/>
          </w:tcPr>
          <w:p>
            <w:pPr>
              <w:spacing w:after="0" w:line="169" w:lineRule="exact"/>
              <w:rPr>
                <w:rFonts w:ascii="Arial" w:cs="Arial" w:eastAsia="Arial" w:hAnsi="Arial"/>
                <w:sz w:val="18"/>
                <w:szCs w:val="18"/>
                <w:color w:val="0000FF"/>
                <w:w w:val="91"/>
              </w:rPr>
            </w:pPr>
            <w:hyperlink w:anchor="page56">
              <w:r>
                <w:rPr>
                  <w:rFonts w:ascii="Arial" w:cs="Arial" w:eastAsia="Arial" w:hAnsi="Arial"/>
                  <w:sz w:val="18"/>
                  <w:szCs w:val="18"/>
                  <w:color w:val="0000FF"/>
                  <w:w w:val="91"/>
                </w:rPr>
                <w:t>Certification of Chief Executive Officer pursuant to Securities Exchange Act Rules 13a-</w:t>
              </w:r>
            </w:hyperlink>
          </w:p>
        </w:tc>
        <w:tc>
          <w:tcPr>
            <w:tcW w:w="240" w:type="dxa"/>
            <w:vAlign w:val="bottom"/>
            <w:tcBorders>
              <w:bottom w:val="single" w:sz="8" w:color="CCEEFF"/>
              <w:right w:val="single" w:sz="8" w:color="auto"/>
            </w:tcBorders>
            <w:shd w:val="clear" w:color="auto" w:fill="CCEEFF"/>
          </w:tcPr>
          <w:p>
            <w:pPr>
              <w:spacing w:after="0"/>
              <w:rPr>
                <w:sz w:val="15"/>
                <w:szCs w:val="15"/>
                <w:color w:val="auto"/>
              </w:rPr>
            </w:pPr>
          </w:p>
        </w:tc>
        <w:tc>
          <w:tcPr>
            <w:tcW w:w="2820" w:type="dxa"/>
            <w:vAlign w:val="bottom"/>
            <w:tcBorders>
              <w:bottom w:val="single" w:sz="8" w:color="CCEEFF"/>
              <w:right w:val="single" w:sz="8" w:color="auto"/>
            </w:tcBorders>
            <w:shd w:val="clear" w:color="auto" w:fill="CCEEFF"/>
          </w:tcPr>
          <w:p>
            <w:pPr>
              <w:ind w:left="20"/>
              <w:spacing w:after="0" w:line="182" w:lineRule="exact"/>
              <w:rPr>
                <w:sz w:val="20"/>
                <w:szCs w:val="20"/>
                <w:color w:val="auto"/>
              </w:rPr>
            </w:pPr>
            <w:r>
              <w:rPr>
                <w:rFonts w:ascii="Arial" w:cs="Arial" w:eastAsia="Arial" w:hAnsi="Arial"/>
                <w:sz w:val="18"/>
                <w:szCs w:val="18"/>
                <w:color w:val="auto"/>
              </w:rPr>
              <w:t>Filed herewith</w:t>
            </w: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320" w:type="dxa"/>
            <w:vAlign w:val="bottom"/>
            <w:tcBorders>
              <w:right w:val="single" w:sz="8" w:color="auto"/>
            </w:tcBorders>
          </w:tcPr>
          <w:p>
            <w:pPr>
              <w:spacing w:after="0"/>
              <w:rPr>
                <w:sz w:val="17"/>
                <w:szCs w:val="17"/>
                <w:color w:val="auto"/>
              </w:rPr>
            </w:pPr>
          </w:p>
        </w:tc>
        <w:tc>
          <w:tcPr>
            <w:tcW w:w="1240" w:type="dxa"/>
            <w:vAlign w:val="bottom"/>
            <w:tcBorders>
              <w:bottom w:val="single" w:sz="8" w:color="auto"/>
              <w:right w:val="single" w:sz="8" w:color="auto"/>
            </w:tcBorders>
            <w:shd w:val="clear" w:color="auto" w:fill="CCEEFF"/>
          </w:tcPr>
          <w:p>
            <w:pPr>
              <w:spacing w:after="0"/>
              <w:rPr>
                <w:sz w:val="17"/>
                <w:szCs w:val="17"/>
                <w:color w:val="auto"/>
              </w:rPr>
            </w:pPr>
          </w:p>
        </w:tc>
        <w:tc>
          <w:tcPr>
            <w:tcW w:w="6600" w:type="dxa"/>
            <w:vAlign w:val="bottom"/>
            <w:tcBorders>
              <w:bottom w:val="single" w:sz="8" w:color="auto"/>
              <w:right w:val="single" w:sz="8" w:color="auto"/>
            </w:tcBorders>
            <w:gridSpan w:val="5"/>
            <w:shd w:val="clear" w:color="auto" w:fill="CCEEFF"/>
          </w:tcPr>
          <w:p>
            <w:pPr>
              <w:spacing w:after="0" w:line="196" w:lineRule="exact"/>
              <w:rPr>
                <w:rFonts w:ascii="Arial" w:cs="Arial" w:eastAsia="Arial" w:hAnsi="Arial"/>
                <w:sz w:val="18"/>
                <w:szCs w:val="18"/>
                <w:u w:val="single" w:color="auto"/>
                <w:color w:val="0000FF"/>
                <w:w w:val="91"/>
              </w:rPr>
            </w:pPr>
            <w:hyperlink w:anchor="page56">
              <w:r>
                <w:rPr>
                  <w:rFonts w:ascii="Arial" w:cs="Arial" w:eastAsia="Arial" w:hAnsi="Arial"/>
                  <w:sz w:val="18"/>
                  <w:szCs w:val="18"/>
                  <w:u w:val="single" w:color="auto"/>
                  <w:color w:val="0000FF"/>
                  <w:w w:val="91"/>
                </w:rPr>
                <w:t>14(a)/15(d)-14(a), as adopted pursuant to Section 302 of the Sarbanes-Oxley Act of 2002.</w:t>
              </w:r>
            </w:hyperlink>
          </w:p>
        </w:tc>
        <w:tc>
          <w:tcPr>
            <w:tcW w:w="2820" w:type="dxa"/>
            <w:vAlign w:val="bottom"/>
            <w:tcBorders>
              <w:bottom w:val="single" w:sz="8" w:color="auto"/>
              <w:right w:val="single" w:sz="8" w:color="auto"/>
            </w:tcBorders>
            <w:shd w:val="clear" w:color="auto" w:fill="CCEEFF"/>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320" w:type="dxa"/>
            <w:vAlign w:val="bottom"/>
            <w:tcBorders>
              <w:right w:val="single" w:sz="8" w:color="auto"/>
            </w:tcBorders>
          </w:tcPr>
          <w:p>
            <w:pPr>
              <w:spacing w:after="0"/>
              <w:rPr>
                <w:sz w:val="15"/>
                <w:szCs w:val="15"/>
                <w:color w:val="auto"/>
              </w:rPr>
            </w:pPr>
          </w:p>
        </w:tc>
        <w:tc>
          <w:tcPr>
            <w:tcW w:w="1240" w:type="dxa"/>
            <w:vAlign w:val="bottom"/>
            <w:tcBorders>
              <w:right w:val="single" w:sz="8" w:color="auto"/>
            </w:tcBorders>
          </w:tcPr>
          <w:p>
            <w:pPr>
              <w:jc w:val="center"/>
              <w:spacing w:after="0" w:line="169" w:lineRule="exact"/>
              <w:rPr>
                <w:sz w:val="20"/>
                <w:szCs w:val="20"/>
                <w:color w:val="auto"/>
              </w:rPr>
            </w:pPr>
            <w:r>
              <w:rPr>
                <w:rFonts w:ascii="Arial" w:cs="Arial" w:eastAsia="Arial" w:hAnsi="Arial"/>
                <w:sz w:val="18"/>
                <w:szCs w:val="18"/>
                <w:color w:val="auto"/>
                <w:w w:val="91"/>
              </w:rPr>
              <w:t>31.2</w:t>
            </w:r>
          </w:p>
        </w:tc>
        <w:tc>
          <w:tcPr>
            <w:tcW w:w="6320" w:type="dxa"/>
            <w:vAlign w:val="bottom"/>
            <w:tcBorders>
              <w:bottom w:val="single" w:sz="8" w:color="0000FF"/>
            </w:tcBorders>
            <w:gridSpan w:val="3"/>
          </w:tcPr>
          <w:p>
            <w:pPr>
              <w:spacing w:after="0" w:line="169" w:lineRule="exact"/>
              <w:rPr>
                <w:rFonts w:ascii="Arial" w:cs="Arial" w:eastAsia="Arial" w:hAnsi="Arial"/>
                <w:sz w:val="18"/>
                <w:szCs w:val="18"/>
                <w:color w:val="0000FF"/>
                <w:w w:val="92"/>
              </w:rPr>
            </w:pPr>
            <w:hyperlink w:anchor="page57">
              <w:r>
                <w:rPr>
                  <w:rFonts w:ascii="Arial" w:cs="Arial" w:eastAsia="Arial" w:hAnsi="Arial"/>
                  <w:sz w:val="18"/>
                  <w:szCs w:val="18"/>
                  <w:color w:val="0000FF"/>
                  <w:w w:val="92"/>
                </w:rPr>
                <w:t>Certification of Chief Financial Officer pursuant to Securities Exchange Act Rules 13a-</w:t>
              </w:r>
            </w:hyperlink>
          </w:p>
        </w:tc>
        <w:tc>
          <w:tcPr>
            <w:tcW w:w="280" w:type="dxa"/>
            <w:vAlign w:val="bottom"/>
            <w:tcBorders>
              <w:right w:val="single" w:sz="8" w:color="auto"/>
            </w:tcBorders>
            <w:gridSpan w:val="2"/>
          </w:tcPr>
          <w:p>
            <w:pPr>
              <w:spacing w:after="0"/>
              <w:rPr>
                <w:sz w:val="15"/>
                <w:szCs w:val="15"/>
                <w:color w:val="auto"/>
              </w:rPr>
            </w:pPr>
          </w:p>
        </w:tc>
        <w:tc>
          <w:tcPr>
            <w:tcW w:w="2820" w:type="dxa"/>
            <w:vAlign w:val="bottom"/>
            <w:tcBorders>
              <w:right w:val="single" w:sz="8" w:color="auto"/>
            </w:tcBorders>
          </w:tcPr>
          <w:p>
            <w:pPr>
              <w:ind w:left="20"/>
              <w:spacing w:after="0" w:line="169" w:lineRule="exact"/>
              <w:rPr>
                <w:sz w:val="20"/>
                <w:szCs w:val="20"/>
                <w:color w:val="auto"/>
              </w:rPr>
            </w:pPr>
            <w:r>
              <w:rPr>
                <w:rFonts w:ascii="Arial" w:cs="Arial" w:eastAsia="Arial" w:hAnsi="Arial"/>
                <w:sz w:val="18"/>
                <w:szCs w:val="18"/>
                <w:color w:val="auto"/>
              </w:rPr>
              <w:t>Filed herewith</w:t>
            </w: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320" w:type="dxa"/>
            <w:vAlign w:val="bottom"/>
            <w:tcBorders>
              <w:right w:val="single" w:sz="8" w:color="auto"/>
            </w:tcBorders>
          </w:tcPr>
          <w:p>
            <w:pPr>
              <w:spacing w:after="0"/>
              <w:rPr>
                <w:sz w:val="17"/>
                <w:szCs w:val="17"/>
                <w:color w:val="auto"/>
              </w:rPr>
            </w:pPr>
          </w:p>
        </w:tc>
        <w:tc>
          <w:tcPr>
            <w:tcW w:w="1240" w:type="dxa"/>
            <w:vAlign w:val="bottom"/>
            <w:tcBorders>
              <w:bottom w:val="single" w:sz="8" w:color="auto"/>
              <w:right w:val="single" w:sz="8" w:color="auto"/>
            </w:tcBorders>
          </w:tcPr>
          <w:p>
            <w:pPr>
              <w:spacing w:after="0"/>
              <w:rPr>
                <w:sz w:val="17"/>
                <w:szCs w:val="17"/>
                <w:color w:val="auto"/>
              </w:rPr>
            </w:pPr>
          </w:p>
        </w:tc>
        <w:tc>
          <w:tcPr>
            <w:tcW w:w="6600" w:type="dxa"/>
            <w:vAlign w:val="bottom"/>
            <w:tcBorders>
              <w:bottom w:val="single" w:sz="8" w:color="auto"/>
              <w:right w:val="single" w:sz="8" w:color="auto"/>
            </w:tcBorders>
            <w:gridSpan w:val="5"/>
          </w:tcPr>
          <w:p>
            <w:pPr>
              <w:spacing w:after="0" w:line="196" w:lineRule="exact"/>
              <w:rPr>
                <w:rFonts w:ascii="Arial" w:cs="Arial" w:eastAsia="Arial" w:hAnsi="Arial"/>
                <w:sz w:val="18"/>
                <w:szCs w:val="18"/>
                <w:u w:val="single" w:color="auto"/>
                <w:color w:val="0000FF"/>
                <w:w w:val="91"/>
              </w:rPr>
            </w:pPr>
            <w:hyperlink w:anchor="page57">
              <w:r>
                <w:rPr>
                  <w:rFonts w:ascii="Arial" w:cs="Arial" w:eastAsia="Arial" w:hAnsi="Arial"/>
                  <w:sz w:val="18"/>
                  <w:szCs w:val="18"/>
                  <w:u w:val="single" w:color="auto"/>
                  <w:color w:val="0000FF"/>
                  <w:w w:val="91"/>
                </w:rPr>
                <w:t>14(a)/15(d)-14(a), as adopted pursuant to Section 302 of the Sarbanes-Oxley Act of 2002.</w:t>
              </w:r>
            </w:hyperlink>
          </w:p>
        </w:tc>
        <w:tc>
          <w:tcPr>
            <w:tcW w:w="2820" w:type="dxa"/>
            <w:vAlign w:val="bottom"/>
            <w:tcBorders>
              <w:bottom w:val="single" w:sz="8" w:color="auto"/>
              <w:right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320" w:type="dxa"/>
            <w:vAlign w:val="bottom"/>
            <w:tcBorders>
              <w:right w:val="single" w:sz="8" w:color="auto"/>
            </w:tcBorders>
          </w:tcPr>
          <w:p>
            <w:pPr>
              <w:spacing w:after="0"/>
              <w:rPr>
                <w:sz w:val="15"/>
                <w:szCs w:val="15"/>
                <w:color w:val="auto"/>
              </w:rPr>
            </w:pPr>
          </w:p>
        </w:tc>
        <w:tc>
          <w:tcPr>
            <w:tcW w:w="1240" w:type="dxa"/>
            <w:vAlign w:val="bottom"/>
            <w:tcBorders>
              <w:bottom w:val="single" w:sz="8" w:color="CCEEFF"/>
              <w:right w:val="single" w:sz="8" w:color="auto"/>
            </w:tcBorders>
            <w:shd w:val="clear" w:color="auto" w:fill="CCEEFF"/>
          </w:tcPr>
          <w:p>
            <w:pPr>
              <w:jc w:val="center"/>
              <w:spacing w:after="0" w:line="182" w:lineRule="exact"/>
              <w:rPr>
                <w:sz w:val="20"/>
                <w:szCs w:val="20"/>
                <w:color w:val="auto"/>
              </w:rPr>
            </w:pPr>
            <w:r>
              <w:rPr>
                <w:rFonts w:ascii="Arial" w:cs="Arial" w:eastAsia="Arial" w:hAnsi="Arial"/>
                <w:sz w:val="18"/>
                <w:szCs w:val="18"/>
                <w:color w:val="auto"/>
                <w:w w:val="91"/>
              </w:rPr>
              <w:t>32.1</w:t>
            </w:r>
          </w:p>
        </w:tc>
        <w:tc>
          <w:tcPr>
            <w:tcW w:w="6600" w:type="dxa"/>
            <w:vAlign w:val="bottom"/>
            <w:tcBorders>
              <w:bottom w:val="single" w:sz="8" w:color="0000FF"/>
              <w:right w:val="single" w:sz="8" w:color="auto"/>
            </w:tcBorders>
            <w:gridSpan w:val="5"/>
            <w:shd w:val="clear" w:color="auto" w:fill="CCEEFF"/>
          </w:tcPr>
          <w:p>
            <w:pPr>
              <w:spacing w:after="0" w:line="169" w:lineRule="exact"/>
              <w:rPr>
                <w:rFonts w:ascii="Arial" w:cs="Arial" w:eastAsia="Arial" w:hAnsi="Arial"/>
                <w:sz w:val="18"/>
                <w:szCs w:val="18"/>
                <w:color w:val="0000FF"/>
                <w:w w:val="94"/>
              </w:rPr>
            </w:pPr>
            <w:hyperlink w:anchor="page58">
              <w:r>
                <w:rPr>
                  <w:rFonts w:ascii="Arial" w:cs="Arial" w:eastAsia="Arial" w:hAnsi="Arial"/>
                  <w:sz w:val="18"/>
                  <w:szCs w:val="18"/>
                  <w:color w:val="0000FF"/>
                  <w:w w:val="94"/>
                </w:rPr>
                <w:t>Certification pursuant to 18 U.S.C. Section 1350, as adopted pursuant to Section 906 of</w:t>
              </w:r>
            </w:hyperlink>
          </w:p>
        </w:tc>
        <w:tc>
          <w:tcPr>
            <w:tcW w:w="2820" w:type="dxa"/>
            <w:vAlign w:val="bottom"/>
            <w:tcBorders>
              <w:bottom w:val="single" w:sz="8" w:color="CCEEFF"/>
              <w:right w:val="single" w:sz="8" w:color="auto"/>
            </w:tcBorders>
            <w:shd w:val="clear" w:color="auto" w:fill="CCEEFF"/>
          </w:tcPr>
          <w:p>
            <w:pPr>
              <w:ind w:left="20"/>
              <w:spacing w:after="0" w:line="182" w:lineRule="exact"/>
              <w:rPr>
                <w:sz w:val="20"/>
                <w:szCs w:val="20"/>
                <w:color w:val="auto"/>
              </w:rPr>
            </w:pPr>
            <w:r>
              <w:rPr>
                <w:rFonts w:ascii="Arial" w:cs="Arial" w:eastAsia="Arial" w:hAnsi="Arial"/>
                <w:sz w:val="18"/>
                <w:szCs w:val="18"/>
                <w:color w:val="auto"/>
              </w:rPr>
              <w:t>Filed herewith</w:t>
            </w: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320" w:type="dxa"/>
            <w:vAlign w:val="bottom"/>
            <w:tcBorders>
              <w:right w:val="single" w:sz="8" w:color="auto"/>
            </w:tcBorders>
          </w:tcPr>
          <w:p>
            <w:pPr>
              <w:spacing w:after="0"/>
              <w:rPr>
                <w:sz w:val="17"/>
                <w:szCs w:val="17"/>
                <w:color w:val="auto"/>
              </w:rPr>
            </w:pPr>
          </w:p>
        </w:tc>
        <w:tc>
          <w:tcPr>
            <w:tcW w:w="1240" w:type="dxa"/>
            <w:vAlign w:val="bottom"/>
            <w:tcBorders>
              <w:bottom w:val="single" w:sz="8" w:color="auto"/>
              <w:right w:val="single" w:sz="8" w:color="auto"/>
            </w:tcBorders>
            <w:shd w:val="clear" w:color="auto" w:fill="CCEEFF"/>
          </w:tcPr>
          <w:p>
            <w:pPr>
              <w:spacing w:after="0"/>
              <w:rPr>
                <w:sz w:val="17"/>
                <w:szCs w:val="17"/>
                <w:color w:val="auto"/>
              </w:rPr>
            </w:pPr>
          </w:p>
        </w:tc>
        <w:tc>
          <w:tcPr>
            <w:tcW w:w="6600" w:type="dxa"/>
            <w:vAlign w:val="bottom"/>
            <w:tcBorders>
              <w:bottom w:val="single" w:sz="8" w:color="auto"/>
              <w:right w:val="single" w:sz="8" w:color="auto"/>
            </w:tcBorders>
            <w:gridSpan w:val="5"/>
            <w:shd w:val="clear" w:color="auto" w:fill="CCEEFF"/>
          </w:tcPr>
          <w:p>
            <w:pPr>
              <w:spacing w:after="0" w:line="156" w:lineRule="exact"/>
              <w:rPr>
                <w:rFonts w:ascii="Arial" w:cs="Arial" w:eastAsia="Arial" w:hAnsi="Arial"/>
                <w:sz w:val="18"/>
                <w:szCs w:val="18"/>
                <w:color w:val="0000FF"/>
              </w:rPr>
            </w:pPr>
            <w:hyperlink w:anchor="page58">
              <w:r>
                <w:rPr>
                  <w:rFonts w:ascii="Arial" w:cs="Arial" w:eastAsia="Arial" w:hAnsi="Arial"/>
                  <w:sz w:val="18"/>
                  <w:szCs w:val="18"/>
                  <w:color w:val="0000FF"/>
                </w:rPr>
                <w:t>the Sarbanes-Oxley Act of 2002.</w:t>
              </w:r>
            </w:hyperlink>
          </w:p>
        </w:tc>
        <w:tc>
          <w:tcPr>
            <w:tcW w:w="2820" w:type="dxa"/>
            <w:vAlign w:val="bottom"/>
            <w:tcBorders>
              <w:bottom w:val="single" w:sz="8" w:color="auto"/>
              <w:right w:val="single" w:sz="8" w:color="auto"/>
            </w:tcBorders>
            <w:shd w:val="clear" w:color="auto" w:fill="CCEEFF"/>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320" w:type="dxa"/>
            <w:vAlign w:val="bottom"/>
            <w:tcBorders>
              <w:right w:val="single" w:sz="8" w:color="auto"/>
            </w:tcBorders>
          </w:tcPr>
          <w:p>
            <w:pPr>
              <w:spacing w:after="0"/>
              <w:rPr>
                <w:sz w:val="20"/>
                <w:szCs w:val="20"/>
                <w:color w:val="auto"/>
              </w:rPr>
            </w:pPr>
          </w:p>
        </w:tc>
        <w:tc>
          <w:tcPr>
            <w:tcW w:w="12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101.INS</w:t>
            </w:r>
          </w:p>
        </w:tc>
        <w:tc>
          <w:tcPr>
            <w:tcW w:w="6600" w:type="dxa"/>
            <w:vAlign w:val="bottom"/>
            <w:tcBorders>
              <w:right w:val="single" w:sz="8" w:color="auto"/>
            </w:tcBorders>
            <w:gridSpan w:val="5"/>
          </w:tcPr>
          <w:p>
            <w:pPr>
              <w:spacing w:after="0"/>
              <w:rPr>
                <w:sz w:val="20"/>
                <w:szCs w:val="20"/>
                <w:color w:val="auto"/>
              </w:rPr>
            </w:pPr>
            <w:r>
              <w:rPr>
                <w:rFonts w:ascii="Arial" w:cs="Arial" w:eastAsia="Arial" w:hAnsi="Arial"/>
                <w:sz w:val="18"/>
                <w:szCs w:val="18"/>
                <w:color w:val="auto"/>
              </w:rPr>
              <w:t>XBRL Instance Document</w:t>
            </w:r>
          </w:p>
        </w:tc>
        <w:tc>
          <w:tcPr>
            <w:tcW w:w="282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The instance document does not</w:t>
            </w: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20" w:type="dxa"/>
            <w:vAlign w:val="bottom"/>
            <w:tcBorders>
              <w:right w:val="single" w:sz="8" w:color="auto"/>
            </w:tcBorders>
          </w:tcPr>
          <w:p>
            <w:pPr>
              <w:spacing w:after="0"/>
              <w:rPr>
                <w:sz w:val="2"/>
                <w:szCs w:val="2"/>
                <w:color w:val="auto"/>
              </w:rPr>
            </w:pPr>
          </w:p>
        </w:tc>
        <w:tc>
          <w:tcPr>
            <w:tcW w:w="1240" w:type="dxa"/>
            <w:vAlign w:val="bottom"/>
            <w:tcBorders>
              <w:right w:val="single" w:sz="8" w:color="auto"/>
            </w:tcBorders>
          </w:tcPr>
          <w:p>
            <w:pPr>
              <w:spacing w:after="0"/>
              <w:rPr>
                <w:sz w:val="2"/>
                <w:szCs w:val="2"/>
                <w:color w:val="auto"/>
              </w:rPr>
            </w:pPr>
          </w:p>
        </w:tc>
        <w:tc>
          <w:tcPr>
            <w:tcW w:w="2360" w:type="dxa"/>
            <w:vAlign w:val="bottom"/>
          </w:tcPr>
          <w:p>
            <w:pPr>
              <w:spacing w:after="0"/>
              <w:rPr>
                <w:sz w:val="2"/>
                <w:szCs w:val="2"/>
                <w:color w:val="auto"/>
              </w:rPr>
            </w:pPr>
          </w:p>
        </w:tc>
        <w:tc>
          <w:tcPr>
            <w:tcW w:w="3400" w:type="dxa"/>
            <w:vAlign w:val="bottom"/>
          </w:tcPr>
          <w:p>
            <w:pPr>
              <w:spacing w:after="0"/>
              <w:rPr>
                <w:sz w:val="2"/>
                <w:szCs w:val="2"/>
                <w:color w:val="auto"/>
              </w:rPr>
            </w:pPr>
          </w:p>
        </w:tc>
        <w:tc>
          <w:tcPr>
            <w:tcW w:w="56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Borders>
              <w:right w:val="single" w:sz="8" w:color="auto"/>
            </w:tcBorders>
          </w:tcPr>
          <w:p>
            <w:pPr>
              <w:spacing w:after="0"/>
              <w:rPr>
                <w:sz w:val="2"/>
                <w:szCs w:val="2"/>
                <w:color w:val="auto"/>
              </w:rPr>
            </w:pPr>
          </w:p>
        </w:tc>
        <w:tc>
          <w:tcPr>
            <w:tcW w:w="2820" w:type="dxa"/>
            <w:vAlign w:val="bottom"/>
            <w:tcBorders>
              <w:right w:val="single" w:sz="8" w:color="auto"/>
            </w:tcBorders>
            <w:vMerge w:val="continue"/>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320" w:type="dxa"/>
            <w:vAlign w:val="bottom"/>
            <w:tcBorders>
              <w:right w:val="single" w:sz="8" w:color="auto"/>
            </w:tcBorders>
          </w:tcPr>
          <w:p>
            <w:pPr>
              <w:spacing w:after="0"/>
              <w:rPr>
                <w:sz w:val="15"/>
                <w:szCs w:val="15"/>
                <w:color w:val="auto"/>
              </w:rPr>
            </w:pPr>
          </w:p>
        </w:tc>
        <w:tc>
          <w:tcPr>
            <w:tcW w:w="1240" w:type="dxa"/>
            <w:vAlign w:val="bottom"/>
            <w:tcBorders>
              <w:right w:val="single" w:sz="8" w:color="auto"/>
            </w:tcBorders>
          </w:tcPr>
          <w:p>
            <w:pPr>
              <w:spacing w:after="0"/>
              <w:rPr>
                <w:sz w:val="15"/>
                <w:szCs w:val="15"/>
                <w:color w:val="auto"/>
              </w:rPr>
            </w:pPr>
          </w:p>
        </w:tc>
        <w:tc>
          <w:tcPr>
            <w:tcW w:w="2360" w:type="dxa"/>
            <w:vAlign w:val="bottom"/>
          </w:tcPr>
          <w:p>
            <w:pPr>
              <w:spacing w:after="0"/>
              <w:rPr>
                <w:sz w:val="15"/>
                <w:szCs w:val="15"/>
                <w:color w:val="auto"/>
              </w:rPr>
            </w:pPr>
          </w:p>
        </w:tc>
        <w:tc>
          <w:tcPr>
            <w:tcW w:w="34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Borders>
              <w:right w:val="single" w:sz="8" w:color="auto"/>
            </w:tcBorders>
          </w:tcPr>
          <w:p>
            <w:pPr>
              <w:spacing w:after="0"/>
              <w:rPr>
                <w:sz w:val="15"/>
                <w:szCs w:val="15"/>
                <w:color w:val="auto"/>
              </w:rPr>
            </w:pPr>
          </w:p>
        </w:tc>
        <w:tc>
          <w:tcPr>
            <w:tcW w:w="2820" w:type="dxa"/>
            <w:vAlign w:val="bottom"/>
            <w:tcBorders>
              <w:right w:val="single" w:sz="8" w:color="auto"/>
            </w:tcBorders>
          </w:tcPr>
          <w:p>
            <w:pPr>
              <w:ind w:left="20"/>
              <w:spacing w:after="0" w:line="176" w:lineRule="exact"/>
              <w:rPr>
                <w:sz w:val="20"/>
                <w:szCs w:val="20"/>
                <w:color w:val="auto"/>
              </w:rPr>
            </w:pPr>
            <w:r>
              <w:rPr>
                <w:rFonts w:ascii="Arial" w:cs="Arial" w:eastAsia="Arial" w:hAnsi="Arial"/>
                <w:sz w:val="18"/>
                <w:szCs w:val="18"/>
                <w:color w:val="auto"/>
              </w:rPr>
              <w:t>appear in the Interactive Data File</w:t>
            </w: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20" w:type="dxa"/>
            <w:vAlign w:val="bottom"/>
            <w:tcBorders>
              <w:right w:val="single" w:sz="8" w:color="auto"/>
            </w:tcBorders>
          </w:tcPr>
          <w:p>
            <w:pPr>
              <w:spacing w:after="0"/>
              <w:rPr>
                <w:sz w:val="15"/>
                <w:szCs w:val="15"/>
                <w:color w:val="auto"/>
              </w:rPr>
            </w:pPr>
          </w:p>
        </w:tc>
        <w:tc>
          <w:tcPr>
            <w:tcW w:w="1240" w:type="dxa"/>
            <w:vAlign w:val="bottom"/>
            <w:tcBorders>
              <w:right w:val="single" w:sz="8" w:color="auto"/>
            </w:tcBorders>
          </w:tcPr>
          <w:p>
            <w:pPr>
              <w:spacing w:after="0"/>
              <w:rPr>
                <w:sz w:val="15"/>
                <w:szCs w:val="15"/>
                <w:color w:val="auto"/>
              </w:rPr>
            </w:pPr>
          </w:p>
        </w:tc>
        <w:tc>
          <w:tcPr>
            <w:tcW w:w="2360" w:type="dxa"/>
            <w:vAlign w:val="bottom"/>
          </w:tcPr>
          <w:p>
            <w:pPr>
              <w:spacing w:after="0"/>
              <w:rPr>
                <w:sz w:val="15"/>
                <w:szCs w:val="15"/>
                <w:color w:val="auto"/>
              </w:rPr>
            </w:pPr>
          </w:p>
        </w:tc>
        <w:tc>
          <w:tcPr>
            <w:tcW w:w="34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Borders>
              <w:right w:val="single" w:sz="8" w:color="auto"/>
            </w:tcBorders>
          </w:tcPr>
          <w:p>
            <w:pPr>
              <w:spacing w:after="0"/>
              <w:rPr>
                <w:sz w:val="15"/>
                <w:szCs w:val="15"/>
                <w:color w:val="auto"/>
              </w:rPr>
            </w:pPr>
          </w:p>
        </w:tc>
        <w:tc>
          <w:tcPr>
            <w:tcW w:w="2820" w:type="dxa"/>
            <w:vAlign w:val="bottom"/>
            <w:tcBorders>
              <w:right w:val="single" w:sz="8" w:color="auto"/>
            </w:tcBorders>
          </w:tcPr>
          <w:p>
            <w:pPr>
              <w:ind w:left="20"/>
              <w:spacing w:after="0" w:line="176" w:lineRule="exact"/>
              <w:rPr>
                <w:sz w:val="20"/>
                <w:szCs w:val="20"/>
                <w:color w:val="auto"/>
              </w:rPr>
            </w:pPr>
            <w:r>
              <w:rPr>
                <w:rFonts w:ascii="Arial" w:cs="Arial" w:eastAsia="Arial" w:hAnsi="Arial"/>
                <w:sz w:val="18"/>
                <w:szCs w:val="18"/>
                <w:color w:val="auto"/>
                <w:w w:val="91"/>
              </w:rPr>
              <w:t>because its XBRL tags are embedded</w:t>
            </w: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20" w:type="dxa"/>
            <w:vAlign w:val="bottom"/>
            <w:tcBorders>
              <w:right w:val="single" w:sz="8" w:color="auto"/>
            </w:tcBorders>
          </w:tcPr>
          <w:p>
            <w:pPr>
              <w:spacing w:after="0"/>
              <w:rPr>
                <w:sz w:val="20"/>
                <w:szCs w:val="20"/>
                <w:color w:val="auto"/>
              </w:rPr>
            </w:pPr>
          </w:p>
        </w:tc>
        <w:tc>
          <w:tcPr>
            <w:tcW w:w="1240" w:type="dxa"/>
            <w:vAlign w:val="bottom"/>
            <w:tcBorders>
              <w:right w:val="single" w:sz="8" w:color="auto"/>
            </w:tcBorders>
          </w:tcPr>
          <w:p>
            <w:pPr>
              <w:spacing w:after="0"/>
              <w:rPr>
                <w:sz w:val="20"/>
                <w:szCs w:val="20"/>
                <w:color w:val="auto"/>
              </w:rPr>
            </w:pPr>
          </w:p>
        </w:tc>
        <w:tc>
          <w:tcPr>
            <w:tcW w:w="2360" w:type="dxa"/>
            <w:vAlign w:val="bottom"/>
          </w:tcPr>
          <w:p>
            <w:pPr>
              <w:spacing w:after="0"/>
              <w:rPr>
                <w:sz w:val="20"/>
                <w:szCs w:val="20"/>
                <w:color w:val="auto"/>
              </w:rPr>
            </w:pPr>
          </w:p>
        </w:tc>
        <w:tc>
          <w:tcPr>
            <w:tcW w:w="34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within the Inline XBRL document.</w:t>
            </w: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0"/>
        </w:trPr>
        <w:tc>
          <w:tcPr>
            <w:tcW w:w="320" w:type="dxa"/>
            <w:vAlign w:val="bottom"/>
            <w:tcBorders>
              <w:right w:val="single" w:sz="8" w:color="auto"/>
            </w:tcBorders>
          </w:tcPr>
          <w:p>
            <w:pPr>
              <w:spacing w:after="0"/>
              <w:rPr>
                <w:sz w:val="6"/>
                <w:szCs w:val="6"/>
                <w:color w:val="auto"/>
              </w:rPr>
            </w:pPr>
          </w:p>
        </w:tc>
        <w:tc>
          <w:tcPr>
            <w:tcW w:w="1240" w:type="dxa"/>
            <w:vAlign w:val="bottom"/>
            <w:tcBorders>
              <w:bottom w:val="single" w:sz="8" w:color="auto"/>
              <w:right w:val="single" w:sz="8" w:color="auto"/>
            </w:tcBorders>
          </w:tcPr>
          <w:p>
            <w:pPr>
              <w:spacing w:after="0"/>
              <w:rPr>
                <w:sz w:val="6"/>
                <w:szCs w:val="6"/>
                <w:color w:val="auto"/>
              </w:rPr>
            </w:pPr>
          </w:p>
        </w:tc>
        <w:tc>
          <w:tcPr>
            <w:tcW w:w="2360" w:type="dxa"/>
            <w:vAlign w:val="bottom"/>
            <w:tcBorders>
              <w:bottom w:val="single" w:sz="8" w:color="auto"/>
            </w:tcBorders>
          </w:tcPr>
          <w:p>
            <w:pPr>
              <w:spacing w:after="0"/>
              <w:rPr>
                <w:sz w:val="6"/>
                <w:szCs w:val="6"/>
                <w:color w:val="auto"/>
              </w:rPr>
            </w:pPr>
          </w:p>
        </w:tc>
        <w:tc>
          <w:tcPr>
            <w:tcW w:w="3400" w:type="dxa"/>
            <w:vAlign w:val="bottom"/>
            <w:tcBorders>
              <w:bottom w:val="single" w:sz="8" w:color="auto"/>
            </w:tcBorders>
          </w:tcPr>
          <w:p>
            <w:pPr>
              <w:spacing w:after="0"/>
              <w:rPr>
                <w:sz w:val="6"/>
                <w:szCs w:val="6"/>
                <w:color w:val="auto"/>
              </w:rPr>
            </w:pPr>
          </w:p>
        </w:tc>
        <w:tc>
          <w:tcPr>
            <w:tcW w:w="56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40" w:type="dxa"/>
            <w:vAlign w:val="bottom"/>
            <w:tcBorders>
              <w:bottom w:val="single" w:sz="8" w:color="auto"/>
              <w:right w:val="single" w:sz="8" w:color="auto"/>
            </w:tcBorders>
          </w:tcPr>
          <w:p>
            <w:pPr>
              <w:spacing w:after="0"/>
              <w:rPr>
                <w:sz w:val="6"/>
                <w:szCs w:val="6"/>
                <w:color w:val="auto"/>
              </w:rPr>
            </w:pPr>
          </w:p>
        </w:tc>
        <w:tc>
          <w:tcPr>
            <w:tcW w:w="2820" w:type="dxa"/>
            <w:vAlign w:val="bottom"/>
            <w:tcBorders>
              <w:bottom w:val="single" w:sz="8" w:color="auto"/>
              <w:right w:val="single" w:sz="8" w:color="auto"/>
            </w:tcBorders>
          </w:tcPr>
          <w:p>
            <w:pPr>
              <w:spacing w:after="0"/>
              <w:rPr>
                <w:sz w:val="6"/>
                <w:szCs w:val="6"/>
                <w:color w:val="auto"/>
              </w:rPr>
            </w:pPr>
          </w:p>
        </w:tc>
        <w:tc>
          <w:tcPr>
            <w:tcW w:w="2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69"/>
        </w:trPr>
        <w:tc>
          <w:tcPr>
            <w:tcW w:w="320" w:type="dxa"/>
            <w:vAlign w:val="bottom"/>
            <w:tcBorders>
              <w:right w:val="single" w:sz="8" w:color="auto"/>
            </w:tcBorders>
          </w:tcPr>
          <w:p>
            <w:pPr>
              <w:spacing w:after="0"/>
              <w:rPr>
                <w:sz w:val="22"/>
                <w:szCs w:val="22"/>
                <w:color w:val="auto"/>
              </w:rPr>
            </w:pPr>
          </w:p>
        </w:tc>
        <w:tc>
          <w:tcPr>
            <w:tcW w:w="124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101.SCH</w:t>
            </w:r>
          </w:p>
        </w:tc>
        <w:tc>
          <w:tcPr>
            <w:tcW w:w="6600" w:type="dxa"/>
            <w:vAlign w:val="bottom"/>
            <w:tcBorders>
              <w:bottom w:val="single" w:sz="8" w:color="CCEEFF"/>
              <w:right w:val="single" w:sz="8" w:color="auto"/>
            </w:tcBorders>
            <w:gridSpan w:val="5"/>
            <w:shd w:val="clear" w:color="auto" w:fill="CCEEFF"/>
          </w:tcPr>
          <w:p>
            <w:pPr>
              <w:spacing w:after="0"/>
              <w:rPr>
                <w:sz w:val="20"/>
                <w:szCs w:val="20"/>
                <w:color w:val="auto"/>
              </w:rPr>
            </w:pPr>
            <w:r>
              <w:rPr>
                <w:rFonts w:ascii="Arial" w:cs="Arial" w:eastAsia="Arial" w:hAnsi="Arial"/>
                <w:sz w:val="18"/>
                <w:szCs w:val="18"/>
                <w:color w:val="auto"/>
              </w:rPr>
              <w:t>XBRL Taxonomy Extension Schema Document</w:t>
            </w:r>
          </w:p>
        </w:tc>
        <w:tc>
          <w:tcPr>
            <w:tcW w:w="28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Filed herewith</w:t>
            </w:r>
          </w:p>
        </w:tc>
        <w:tc>
          <w:tcPr>
            <w:tcW w:w="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320" w:type="dxa"/>
            <w:vAlign w:val="bottom"/>
            <w:tcBorders>
              <w:right w:val="single" w:sz="8" w:color="auto"/>
            </w:tcBorders>
          </w:tcPr>
          <w:p>
            <w:pPr>
              <w:spacing w:after="0"/>
              <w:rPr>
                <w:sz w:val="20"/>
                <w:szCs w:val="20"/>
                <w:color w:val="auto"/>
              </w:rPr>
            </w:pPr>
          </w:p>
        </w:tc>
        <w:tc>
          <w:tcPr>
            <w:tcW w:w="12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7"/>
              </w:rPr>
              <w:t>101.CAL</w:t>
            </w:r>
          </w:p>
        </w:tc>
        <w:tc>
          <w:tcPr>
            <w:tcW w:w="6600" w:type="dxa"/>
            <w:vAlign w:val="bottom"/>
            <w:tcBorders>
              <w:top w:val="single" w:sz="8" w:color="auto"/>
              <w:right w:val="single" w:sz="8" w:color="auto"/>
            </w:tcBorders>
            <w:gridSpan w:val="5"/>
          </w:tcPr>
          <w:p>
            <w:pPr>
              <w:spacing w:after="0"/>
              <w:rPr>
                <w:sz w:val="20"/>
                <w:szCs w:val="20"/>
                <w:color w:val="auto"/>
              </w:rPr>
            </w:pPr>
            <w:r>
              <w:rPr>
                <w:rFonts w:ascii="Arial" w:cs="Arial" w:eastAsia="Arial" w:hAnsi="Arial"/>
                <w:sz w:val="18"/>
                <w:szCs w:val="18"/>
                <w:color w:val="auto"/>
              </w:rPr>
              <w:t>XBRL Taxonomy Extension Calculation Linkbase Document</w:t>
            </w:r>
          </w:p>
        </w:tc>
        <w:tc>
          <w:tcPr>
            <w:tcW w:w="28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Filed herewith</w:t>
            </w: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20" w:type="dxa"/>
            <w:vAlign w:val="bottom"/>
            <w:tcBorders>
              <w:right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c>
          <w:tcPr>
            <w:tcW w:w="2360" w:type="dxa"/>
            <w:vAlign w:val="bottom"/>
            <w:tcBorders>
              <w:bottom w:val="single" w:sz="8" w:color="auto"/>
            </w:tcBorders>
          </w:tcPr>
          <w:p>
            <w:pPr>
              <w:spacing w:after="0"/>
              <w:rPr>
                <w:sz w:val="2"/>
                <w:szCs w:val="2"/>
                <w:color w:val="auto"/>
              </w:rPr>
            </w:pPr>
          </w:p>
        </w:tc>
        <w:tc>
          <w:tcPr>
            <w:tcW w:w="34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40" w:type="dxa"/>
            <w:vAlign w:val="bottom"/>
            <w:tcBorders>
              <w:bottom w:val="single" w:sz="8" w:color="auto"/>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20" w:type="dxa"/>
            <w:vAlign w:val="bottom"/>
            <w:tcBorders>
              <w:right w:val="single" w:sz="8" w:color="auto"/>
            </w:tcBorders>
          </w:tcPr>
          <w:p>
            <w:pPr>
              <w:spacing w:after="0"/>
              <w:rPr>
                <w:sz w:val="22"/>
                <w:szCs w:val="22"/>
                <w:color w:val="auto"/>
              </w:rPr>
            </w:pPr>
          </w:p>
        </w:tc>
        <w:tc>
          <w:tcPr>
            <w:tcW w:w="124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8"/>
              </w:rPr>
              <w:t>101.LAB</w:t>
            </w:r>
          </w:p>
        </w:tc>
        <w:tc>
          <w:tcPr>
            <w:tcW w:w="6600" w:type="dxa"/>
            <w:vAlign w:val="bottom"/>
            <w:tcBorders>
              <w:bottom w:val="single" w:sz="8" w:color="CCEEFF"/>
              <w:right w:val="single" w:sz="8" w:color="auto"/>
            </w:tcBorders>
            <w:gridSpan w:val="5"/>
            <w:shd w:val="clear" w:color="auto" w:fill="CCEEFF"/>
          </w:tcPr>
          <w:p>
            <w:pPr>
              <w:spacing w:after="0"/>
              <w:rPr>
                <w:sz w:val="20"/>
                <w:szCs w:val="20"/>
                <w:color w:val="auto"/>
              </w:rPr>
            </w:pPr>
            <w:r>
              <w:rPr>
                <w:rFonts w:ascii="Arial" w:cs="Arial" w:eastAsia="Arial" w:hAnsi="Arial"/>
                <w:sz w:val="18"/>
                <w:szCs w:val="18"/>
                <w:color w:val="auto"/>
              </w:rPr>
              <w:t>XBRL Taxonomy Extension Label Linkbase Document</w:t>
            </w:r>
          </w:p>
        </w:tc>
        <w:tc>
          <w:tcPr>
            <w:tcW w:w="28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Filed herewith</w:t>
            </w:r>
          </w:p>
        </w:tc>
        <w:tc>
          <w:tcPr>
            <w:tcW w:w="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6"/>
        </w:trPr>
        <w:tc>
          <w:tcPr>
            <w:tcW w:w="320" w:type="dxa"/>
            <w:vAlign w:val="bottom"/>
            <w:tcBorders>
              <w:right w:val="single" w:sz="8" w:color="auto"/>
            </w:tcBorders>
          </w:tcPr>
          <w:p>
            <w:pPr>
              <w:spacing w:after="0"/>
              <w:rPr>
                <w:sz w:val="20"/>
                <w:szCs w:val="20"/>
                <w:color w:val="auto"/>
              </w:rPr>
            </w:pPr>
          </w:p>
        </w:tc>
        <w:tc>
          <w:tcPr>
            <w:tcW w:w="12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101.PRE</w:t>
            </w:r>
          </w:p>
        </w:tc>
        <w:tc>
          <w:tcPr>
            <w:tcW w:w="6600" w:type="dxa"/>
            <w:vAlign w:val="bottom"/>
            <w:tcBorders>
              <w:top w:val="single" w:sz="8" w:color="auto"/>
              <w:right w:val="single" w:sz="8" w:color="auto"/>
            </w:tcBorders>
            <w:gridSpan w:val="5"/>
          </w:tcPr>
          <w:p>
            <w:pPr>
              <w:spacing w:after="0"/>
              <w:rPr>
                <w:sz w:val="20"/>
                <w:szCs w:val="20"/>
                <w:color w:val="auto"/>
              </w:rPr>
            </w:pPr>
            <w:r>
              <w:rPr>
                <w:rFonts w:ascii="Arial" w:cs="Arial" w:eastAsia="Arial" w:hAnsi="Arial"/>
                <w:sz w:val="18"/>
                <w:szCs w:val="18"/>
                <w:color w:val="auto"/>
              </w:rPr>
              <w:t>XBRL Taxonomy Extension Presentation Linkbase Document</w:t>
            </w:r>
          </w:p>
        </w:tc>
        <w:tc>
          <w:tcPr>
            <w:tcW w:w="28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Filed herewith</w:t>
            </w: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20" w:type="dxa"/>
            <w:vAlign w:val="bottom"/>
            <w:tcBorders>
              <w:right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c>
          <w:tcPr>
            <w:tcW w:w="2360" w:type="dxa"/>
            <w:vAlign w:val="bottom"/>
            <w:tcBorders>
              <w:bottom w:val="single" w:sz="8" w:color="auto"/>
            </w:tcBorders>
          </w:tcPr>
          <w:p>
            <w:pPr>
              <w:spacing w:after="0"/>
              <w:rPr>
                <w:sz w:val="2"/>
                <w:szCs w:val="2"/>
                <w:color w:val="auto"/>
              </w:rPr>
            </w:pPr>
          </w:p>
        </w:tc>
        <w:tc>
          <w:tcPr>
            <w:tcW w:w="34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40" w:type="dxa"/>
            <w:vAlign w:val="bottom"/>
            <w:tcBorders>
              <w:bottom w:val="single" w:sz="8" w:color="auto"/>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8"/>
        </w:trPr>
        <w:tc>
          <w:tcPr>
            <w:tcW w:w="320" w:type="dxa"/>
            <w:vAlign w:val="bottom"/>
            <w:tcBorders>
              <w:right w:val="single" w:sz="8" w:color="auto"/>
            </w:tcBorders>
          </w:tcPr>
          <w:p>
            <w:pPr>
              <w:spacing w:after="0"/>
              <w:rPr>
                <w:sz w:val="22"/>
                <w:szCs w:val="22"/>
                <w:color w:val="auto"/>
              </w:rPr>
            </w:pPr>
          </w:p>
        </w:tc>
        <w:tc>
          <w:tcPr>
            <w:tcW w:w="124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101.DEF</w:t>
            </w:r>
          </w:p>
        </w:tc>
        <w:tc>
          <w:tcPr>
            <w:tcW w:w="6600" w:type="dxa"/>
            <w:vAlign w:val="bottom"/>
            <w:tcBorders>
              <w:bottom w:val="single" w:sz="8" w:color="CCEEFF"/>
              <w:right w:val="single" w:sz="8" w:color="auto"/>
            </w:tcBorders>
            <w:gridSpan w:val="5"/>
            <w:shd w:val="clear" w:color="auto" w:fill="CCEEFF"/>
          </w:tcPr>
          <w:p>
            <w:pPr>
              <w:spacing w:after="0"/>
              <w:rPr>
                <w:sz w:val="20"/>
                <w:szCs w:val="20"/>
                <w:color w:val="auto"/>
              </w:rPr>
            </w:pPr>
            <w:r>
              <w:rPr>
                <w:rFonts w:ascii="Arial" w:cs="Arial" w:eastAsia="Arial" w:hAnsi="Arial"/>
                <w:sz w:val="18"/>
                <w:szCs w:val="18"/>
                <w:color w:val="auto"/>
              </w:rPr>
              <w:t>XBRL Taxonomy Extension Definition Linkbase Document</w:t>
            </w:r>
          </w:p>
        </w:tc>
        <w:tc>
          <w:tcPr>
            <w:tcW w:w="28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Filed herewith</w:t>
            </w:r>
          </w:p>
        </w:tc>
        <w:tc>
          <w:tcPr>
            <w:tcW w:w="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12"/>
        </w:trPr>
        <w:tc>
          <w:tcPr>
            <w:tcW w:w="320" w:type="dxa"/>
            <w:vAlign w:val="bottom"/>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5760" w:type="dxa"/>
            <w:vAlign w:val="bottom"/>
            <w:tcBorders>
              <w:top w:val="single" w:sz="8" w:color="auto"/>
            </w:tcBorders>
            <w:gridSpan w:val="2"/>
          </w:tcPr>
          <w:p>
            <w:pPr>
              <w:ind w:left="3980"/>
              <w:spacing w:after="0"/>
              <w:rPr>
                <w:sz w:val="20"/>
                <w:szCs w:val="20"/>
                <w:color w:val="auto"/>
              </w:rPr>
            </w:pPr>
            <w:r>
              <w:rPr>
                <w:rFonts w:ascii="Arial" w:cs="Arial" w:eastAsia="Arial" w:hAnsi="Arial"/>
                <w:sz w:val="18"/>
                <w:szCs w:val="18"/>
                <w:color w:val="auto"/>
              </w:rPr>
              <w:t>52</w:t>
            </w:r>
          </w:p>
        </w:tc>
        <w:tc>
          <w:tcPr>
            <w:tcW w:w="56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282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2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2360" w:type="dxa"/>
            <w:vAlign w:val="bottom"/>
            <w:tcBorders>
              <w:bottom w:val="single" w:sz="8" w:color="9A9A9A"/>
            </w:tcBorders>
          </w:tcPr>
          <w:p>
            <w:pPr>
              <w:spacing w:after="0"/>
              <w:rPr>
                <w:sz w:val="10"/>
                <w:szCs w:val="10"/>
                <w:color w:val="auto"/>
              </w:rPr>
            </w:pPr>
          </w:p>
        </w:tc>
        <w:tc>
          <w:tcPr>
            <w:tcW w:w="340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8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6">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54" w:name="page55"/>
    <w:bookmarkEnd w:id="54"/>
    <w:p>
      <w:pPr>
        <w:jc w:val="center"/>
        <w:ind w:right="-19"/>
        <w:spacing w:after="0"/>
        <w:rPr>
          <w:sz w:val="20"/>
          <w:szCs w:val="20"/>
          <w:color w:val="auto"/>
        </w:rPr>
      </w:pPr>
      <w:r>
        <w:rPr>
          <w:rFonts w:ascii="Arial" w:cs="Arial" w:eastAsia="Arial" w:hAnsi="Arial"/>
          <w:sz w:val="18"/>
          <w:szCs w:val="18"/>
          <w:b w:val="1"/>
          <w:bCs w:val="1"/>
          <w:color w:val="auto"/>
        </w:rPr>
        <w:t>SUN COMMUNITIES, INC.</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00" w:lineRule="exact"/>
        <w:rPr>
          <w:sz w:val="20"/>
          <w:szCs w:val="20"/>
          <w:color w:val="auto"/>
        </w:rPr>
      </w:pPr>
    </w:p>
    <w:p>
      <w:pPr>
        <w:spacing w:after="0" w:line="29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11" w:lineRule="exact"/>
        <w:rPr>
          <w:sz w:val="20"/>
          <w:szCs w:val="20"/>
          <w:color w:val="auto"/>
        </w:rPr>
      </w:pPr>
    </w:p>
    <w:p>
      <w:pPr>
        <w:ind w:left="20"/>
        <w:spacing w:after="0"/>
        <w:tabs>
          <w:tab w:leader="none" w:pos="4220" w:val="left"/>
          <w:tab w:leader="none" w:pos="4680" w:val="left"/>
        </w:tabs>
        <w:rPr>
          <w:sz w:val="20"/>
          <w:szCs w:val="20"/>
          <w:color w:val="auto"/>
        </w:rPr>
      </w:pPr>
      <w:r>
        <w:rPr>
          <w:rFonts w:ascii="Arial" w:cs="Arial" w:eastAsia="Arial" w:hAnsi="Arial"/>
          <w:sz w:val="18"/>
          <w:szCs w:val="18"/>
          <w:color w:val="auto"/>
        </w:rPr>
        <w:t>Dated: July 23,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Karen J. Dearing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2971165</wp:posOffset>
            </wp:positionH>
            <wp:positionV relativeFrom="paragraph">
              <wp:posOffset>31750</wp:posOffset>
            </wp:positionV>
            <wp:extent cx="360045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7">
                      <a:extLst>
                        <a:ext uri="{28A0092B-C50C-407E-A947-70E740481C1C}"/>
                      </a:extLst>
                    </a:blip>
                    <a:srcRect/>
                    <a:stretch>
                      <a:fillRect/>
                    </a:stretch>
                  </pic:blipFill>
                  <pic:spPr bwMode="auto">
                    <a:xfrm>
                      <a:off x="0" y="0"/>
                      <a:ext cx="3600450" cy="8890"/>
                    </a:xfrm>
                    <a:prstGeom prst="rect">
                      <a:avLst/>
                    </a:prstGeom>
                    <a:noFill/>
                  </pic:spPr>
                </pic:pic>
              </a:graphicData>
            </a:graphic>
          </wp:anchor>
        </w:drawing>
      </w:r>
    </w:p>
    <w:p>
      <w:pPr>
        <w:spacing w:after="0" w:line="28"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Karen J. Dearing, Chief Financial Officer and Secretary</w:t>
      </w:r>
    </w:p>
    <w:p>
      <w:pPr>
        <w:ind w:left="4700"/>
        <w:spacing w:after="0"/>
        <w:rPr>
          <w:sz w:val="20"/>
          <w:szCs w:val="20"/>
          <w:color w:val="auto"/>
        </w:rPr>
      </w:pPr>
      <w:r>
        <w:rPr>
          <w:rFonts w:ascii="Arial" w:cs="Arial" w:eastAsia="Arial" w:hAnsi="Arial"/>
          <w:sz w:val="18"/>
          <w:szCs w:val="18"/>
          <w:color w:val="auto"/>
        </w:rPr>
        <w:t>(Duly authorized officer and 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240"/>
          </w:cols>
          <w:pgMar w:left="320" w:top="364" w:right="339" w:bottom="1440" w:gutter="0" w:footer="0" w:header="0"/>
        </w:sectPr>
      </w:pPr>
    </w:p>
    <w:bookmarkStart w:id="55" w:name="page56"/>
    <w:bookmarkEnd w:id="55"/>
    <w:p>
      <w:pPr>
        <w:jc w:val="right"/>
        <w:spacing w:after="0"/>
        <w:rPr>
          <w:sz w:val="20"/>
          <w:szCs w:val="20"/>
          <w:color w:val="auto"/>
        </w:rPr>
      </w:pPr>
      <w:r>
        <w:rPr>
          <w:rFonts w:ascii="Arial" w:cs="Arial" w:eastAsia="Arial" w:hAnsi="Arial"/>
          <w:sz w:val="18"/>
          <w:szCs w:val="18"/>
          <w:color w:val="auto"/>
        </w:rPr>
        <w:t>Exhibit 31.1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CERTIFICATIONS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Under Section 302 of the Sarbanes-Oxley Act of 2002)</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I, Gary A. Shiffman, certify that:</w:t>
      </w:r>
    </w:p>
    <w:p>
      <w:pPr>
        <w:spacing w:after="0" w:line="252" w:lineRule="exact"/>
        <w:rPr>
          <w:sz w:val="20"/>
          <w:szCs w:val="20"/>
          <w:color w:val="auto"/>
        </w:rPr>
      </w:pPr>
    </w:p>
    <w:p>
      <w:pPr>
        <w:ind w:left="180" w:hanging="172"/>
        <w:spacing w:after="0"/>
        <w:tabs>
          <w:tab w:leader="none" w:pos="1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Sun Communities, Inc.</w:t>
      </w:r>
    </w:p>
    <w:p>
      <w:pPr>
        <w:spacing w:after="0" w:line="252" w:lineRule="exact"/>
        <w:rPr>
          <w:rFonts w:ascii="Arial" w:cs="Arial" w:eastAsia="Arial" w:hAnsi="Arial"/>
          <w:sz w:val="18"/>
          <w:szCs w:val="18"/>
          <w:color w:val="auto"/>
        </w:rPr>
      </w:pPr>
    </w:p>
    <w:p>
      <w:pPr>
        <w:ind w:left="340" w:hanging="332"/>
        <w:spacing w:after="0" w:line="263" w:lineRule="auto"/>
        <w:tabs>
          <w:tab w:leader="none" w:pos="217" w:val="left"/>
        </w:tabs>
        <w:numPr>
          <w:ilvl w:val="0"/>
          <w:numId w:val="3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0" w:lineRule="exact"/>
        <w:rPr>
          <w:rFonts w:ascii="Arial" w:cs="Arial" w:eastAsia="Arial" w:hAnsi="Arial"/>
          <w:sz w:val="18"/>
          <w:szCs w:val="18"/>
          <w:color w:val="auto"/>
        </w:rPr>
      </w:pPr>
    </w:p>
    <w:p>
      <w:pPr>
        <w:ind w:left="340" w:hanging="332"/>
        <w:spacing w:after="0" w:line="277" w:lineRule="auto"/>
        <w:tabs>
          <w:tab w:leader="none" w:pos="2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7" w:lineRule="exact"/>
        <w:rPr>
          <w:rFonts w:ascii="Arial" w:cs="Arial" w:eastAsia="Arial" w:hAnsi="Arial"/>
          <w:sz w:val="18"/>
          <w:szCs w:val="18"/>
          <w:color w:val="auto"/>
        </w:rPr>
      </w:pPr>
    </w:p>
    <w:p>
      <w:pPr>
        <w:ind w:left="340" w:hanging="332"/>
        <w:spacing w:after="0" w:line="263" w:lineRule="auto"/>
        <w:tabs>
          <w:tab w:leader="none" w:pos="223"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0" w:lineRule="exact"/>
        <w:rPr>
          <w:rFonts w:ascii="Arial" w:cs="Arial" w:eastAsia="Arial" w:hAnsi="Arial"/>
          <w:sz w:val="18"/>
          <w:szCs w:val="18"/>
          <w:color w:val="auto"/>
        </w:rPr>
      </w:pPr>
    </w:p>
    <w:p>
      <w:pPr>
        <w:ind w:left="1060" w:hanging="323"/>
        <w:spacing w:after="0" w:line="263" w:lineRule="auto"/>
        <w:tabs>
          <w:tab w:leader="none" w:pos="926" w:val="left"/>
        </w:tabs>
        <w:numPr>
          <w:ilvl w:val="1"/>
          <w:numId w:val="3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0" w:lineRule="exact"/>
        <w:rPr>
          <w:rFonts w:ascii="Arial" w:cs="Arial" w:eastAsia="Arial" w:hAnsi="Arial"/>
          <w:sz w:val="18"/>
          <w:szCs w:val="18"/>
          <w:color w:val="auto"/>
        </w:rPr>
      </w:pPr>
    </w:p>
    <w:p>
      <w:pPr>
        <w:ind w:left="1060" w:hanging="323"/>
        <w:spacing w:after="0" w:line="263" w:lineRule="auto"/>
        <w:tabs>
          <w:tab w:leader="none" w:pos="955" w:val="left"/>
        </w:tabs>
        <w:numPr>
          <w:ilvl w:val="1"/>
          <w:numId w:val="3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0" w:lineRule="exact"/>
        <w:rPr>
          <w:rFonts w:ascii="Arial" w:cs="Arial" w:eastAsia="Arial" w:hAnsi="Arial"/>
          <w:sz w:val="18"/>
          <w:szCs w:val="18"/>
          <w:color w:val="auto"/>
        </w:rPr>
      </w:pPr>
    </w:p>
    <w:p>
      <w:pPr>
        <w:ind w:left="1060" w:hanging="323"/>
        <w:spacing w:after="0" w:line="342" w:lineRule="auto"/>
        <w:tabs>
          <w:tab w:leader="none" w:pos="954" w:val="left"/>
        </w:tabs>
        <w:numPr>
          <w:ilvl w:val="1"/>
          <w:numId w:val="3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6"/>
          <w:szCs w:val="16"/>
          <w:color w:val="auto"/>
        </w:rPr>
      </w:pPr>
    </w:p>
    <w:p>
      <w:pPr>
        <w:ind w:left="1060" w:hanging="323"/>
        <w:spacing w:after="0" w:line="263" w:lineRule="auto"/>
        <w:tabs>
          <w:tab w:leader="none" w:pos="937" w:val="left"/>
        </w:tabs>
        <w:numPr>
          <w:ilvl w:val="1"/>
          <w:numId w:val="3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210" w:lineRule="exact"/>
        <w:rPr>
          <w:rFonts w:ascii="Arial" w:cs="Arial" w:eastAsia="Arial" w:hAnsi="Arial"/>
          <w:sz w:val="18"/>
          <w:szCs w:val="18"/>
          <w:color w:val="auto"/>
        </w:rPr>
      </w:pPr>
    </w:p>
    <w:p>
      <w:pPr>
        <w:ind w:left="340" w:hanging="332"/>
        <w:spacing w:after="0" w:line="308" w:lineRule="auto"/>
        <w:tabs>
          <w:tab w:leader="none" w:pos="206"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w:t>
      </w:r>
    </w:p>
    <w:p>
      <w:pPr>
        <w:spacing w:after="0" w:line="173" w:lineRule="exact"/>
        <w:rPr>
          <w:rFonts w:ascii="Arial" w:cs="Arial" w:eastAsia="Arial" w:hAnsi="Arial"/>
          <w:sz w:val="17"/>
          <w:szCs w:val="17"/>
          <w:color w:val="auto"/>
        </w:rPr>
      </w:pPr>
    </w:p>
    <w:p>
      <w:pPr>
        <w:ind w:left="1100" w:hanging="323"/>
        <w:spacing w:after="0" w:line="308" w:lineRule="auto"/>
        <w:tabs>
          <w:tab w:leader="none" w:pos="993" w:val="left"/>
        </w:tabs>
        <w:numPr>
          <w:ilvl w:val="2"/>
          <w:numId w:val="33"/>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3" w:lineRule="exact"/>
        <w:rPr>
          <w:rFonts w:ascii="Arial" w:cs="Arial" w:eastAsia="Arial" w:hAnsi="Arial"/>
          <w:sz w:val="17"/>
          <w:szCs w:val="17"/>
          <w:color w:val="auto"/>
        </w:rPr>
      </w:pPr>
    </w:p>
    <w:p>
      <w:pPr>
        <w:ind w:left="1100" w:hanging="323"/>
        <w:spacing w:after="0" w:line="277" w:lineRule="auto"/>
        <w:tabs>
          <w:tab w:leader="none" w:pos="985" w:val="left"/>
        </w:tabs>
        <w:numPr>
          <w:ilvl w:val="2"/>
          <w:numId w:val="3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51" w:lineRule="exact"/>
        <w:rPr>
          <w:sz w:val="20"/>
          <w:szCs w:val="20"/>
          <w:color w:val="auto"/>
        </w:rPr>
      </w:pPr>
    </w:p>
    <w:p>
      <w:pPr>
        <w:ind w:left="40"/>
        <w:spacing w:after="0"/>
        <w:tabs>
          <w:tab w:leader="none" w:pos="4880" w:val="left"/>
        </w:tabs>
        <w:rPr>
          <w:sz w:val="20"/>
          <w:szCs w:val="20"/>
          <w:color w:val="auto"/>
        </w:rPr>
      </w:pPr>
      <w:r>
        <w:rPr>
          <w:rFonts w:ascii="Arial" w:cs="Arial" w:eastAsia="Arial" w:hAnsi="Arial"/>
          <w:sz w:val="18"/>
          <w:szCs w:val="18"/>
          <w:color w:val="auto"/>
        </w:rPr>
        <w:t>Dated: July 23, 2020</w:t>
      </w:r>
      <w:r>
        <w:rPr>
          <w:sz w:val="20"/>
          <w:szCs w:val="20"/>
          <w:color w:val="auto"/>
        </w:rPr>
        <w:tab/>
      </w:r>
      <w:r>
        <w:rPr>
          <w:rFonts w:ascii="Arial" w:cs="Arial" w:eastAsia="Arial" w:hAnsi="Arial"/>
          <w:sz w:val="16"/>
          <w:szCs w:val="16"/>
          <w:color w:val="auto"/>
        </w:rPr>
        <w:t>/s/ Gary A. Shiffman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3099435</wp:posOffset>
            </wp:positionH>
            <wp:positionV relativeFrom="paragraph">
              <wp:posOffset>31750</wp:posOffset>
            </wp:positionV>
            <wp:extent cx="402907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8">
                      <a:extLst>
                        <a:ext uri="{28A0092B-C50C-407E-A947-70E740481C1C}"/>
                      </a:extLst>
                    </a:blip>
                    <a:srcRect/>
                    <a:stretch>
                      <a:fillRect/>
                    </a:stretch>
                  </pic:blipFill>
                  <pic:spPr bwMode="auto">
                    <a:xfrm>
                      <a:off x="0" y="0"/>
                      <a:ext cx="4029075" cy="8255"/>
                    </a:xfrm>
                    <a:prstGeom prst="rect">
                      <a:avLst/>
                    </a:prstGeom>
                    <a:noFill/>
                  </pic:spPr>
                </pic:pic>
              </a:graphicData>
            </a:graphic>
          </wp:anchor>
        </w:drawing>
      </w:r>
    </w:p>
    <w:p>
      <w:pPr>
        <w:spacing w:after="0" w:line="57" w:lineRule="exact"/>
        <w:rPr>
          <w:sz w:val="20"/>
          <w:szCs w:val="20"/>
          <w:color w:val="auto"/>
        </w:rPr>
      </w:pPr>
    </w:p>
    <w:p>
      <w:pPr>
        <w:ind w:left="4900"/>
        <w:spacing w:after="0"/>
        <w:rPr>
          <w:sz w:val="20"/>
          <w:szCs w:val="20"/>
          <w:color w:val="auto"/>
        </w:rPr>
      </w:pPr>
      <w:r>
        <w:rPr>
          <w:rFonts w:ascii="Arial" w:cs="Arial" w:eastAsia="Arial" w:hAnsi="Arial"/>
          <w:sz w:val="18"/>
          <w:szCs w:val="18"/>
          <w:color w:val="auto"/>
        </w:rPr>
        <w:t>Gary A. Shiffman, Chief Executive Officer</w:t>
      </w:r>
    </w:p>
    <w:p>
      <w:pPr>
        <w:sectPr>
          <w:pgSz w:w="11900" w:h="16838" w:orient="portrait"/>
          <w:cols w:equalWidth="0" w:num="1">
            <w:col w:w="11240"/>
          </w:cols>
          <w:pgMar w:left="320" w:top="895" w:right="339" w:bottom="1440" w:gutter="0" w:footer="0" w:header="0"/>
        </w:sectPr>
      </w:pPr>
    </w:p>
    <w:bookmarkStart w:id="56" w:name="page57"/>
    <w:bookmarkEnd w:id="56"/>
    <w:p>
      <w:pPr>
        <w:jc w:val="right"/>
        <w:spacing w:after="0"/>
        <w:rPr>
          <w:sz w:val="20"/>
          <w:szCs w:val="20"/>
          <w:color w:val="auto"/>
        </w:rPr>
      </w:pPr>
      <w:r>
        <w:rPr>
          <w:rFonts w:ascii="Arial" w:cs="Arial" w:eastAsia="Arial" w:hAnsi="Arial"/>
          <w:sz w:val="18"/>
          <w:szCs w:val="18"/>
          <w:color w:val="auto"/>
        </w:rPr>
        <w:t>Exhibit 31.2</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CERTIFICATIONS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Under Section 302 of the Sarbanes-Oxley Act of 2002)</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I, Karen J. Dearing, certify that:</w:t>
      </w:r>
    </w:p>
    <w:p>
      <w:pPr>
        <w:spacing w:after="0" w:line="252" w:lineRule="exact"/>
        <w:rPr>
          <w:sz w:val="20"/>
          <w:szCs w:val="20"/>
          <w:color w:val="auto"/>
        </w:rPr>
      </w:pPr>
    </w:p>
    <w:p>
      <w:pPr>
        <w:ind w:left="180" w:hanging="172"/>
        <w:spacing w:after="0"/>
        <w:tabs>
          <w:tab w:leader="none" w:pos="1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Sun Communities, Inc.</w:t>
      </w:r>
    </w:p>
    <w:p>
      <w:pPr>
        <w:spacing w:after="0" w:line="252" w:lineRule="exact"/>
        <w:rPr>
          <w:rFonts w:ascii="Arial" w:cs="Arial" w:eastAsia="Arial" w:hAnsi="Arial"/>
          <w:sz w:val="18"/>
          <w:szCs w:val="18"/>
          <w:color w:val="auto"/>
        </w:rPr>
      </w:pPr>
    </w:p>
    <w:p>
      <w:pPr>
        <w:ind w:left="340" w:hanging="332"/>
        <w:spacing w:after="0" w:line="263" w:lineRule="auto"/>
        <w:tabs>
          <w:tab w:leader="none" w:pos="217" w:val="left"/>
        </w:tabs>
        <w:numPr>
          <w:ilvl w:val="0"/>
          <w:numId w:val="3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0" w:lineRule="exact"/>
        <w:rPr>
          <w:rFonts w:ascii="Arial" w:cs="Arial" w:eastAsia="Arial" w:hAnsi="Arial"/>
          <w:sz w:val="18"/>
          <w:szCs w:val="18"/>
          <w:color w:val="auto"/>
        </w:rPr>
      </w:pPr>
    </w:p>
    <w:p>
      <w:pPr>
        <w:ind w:left="340" w:hanging="332"/>
        <w:spacing w:after="0" w:line="277" w:lineRule="auto"/>
        <w:tabs>
          <w:tab w:leader="none" w:pos="2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7" w:lineRule="exact"/>
        <w:rPr>
          <w:rFonts w:ascii="Arial" w:cs="Arial" w:eastAsia="Arial" w:hAnsi="Arial"/>
          <w:sz w:val="18"/>
          <w:szCs w:val="18"/>
          <w:color w:val="auto"/>
        </w:rPr>
      </w:pPr>
    </w:p>
    <w:p>
      <w:pPr>
        <w:ind w:left="340" w:hanging="332"/>
        <w:spacing w:after="0" w:line="263" w:lineRule="auto"/>
        <w:tabs>
          <w:tab w:leader="none" w:pos="222"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0" w:lineRule="exact"/>
        <w:rPr>
          <w:rFonts w:ascii="Arial" w:cs="Arial" w:eastAsia="Arial" w:hAnsi="Arial"/>
          <w:sz w:val="18"/>
          <w:szCs w:val="18"/>
          <w:color w:val="auto"/>
        </w:rPr>
      </w:pPr>
    </w:p>
    <w:p>
      <w:pPr>
        <w:ind w:left="1060" w:hanging="323"/>
        <w:spacing w:after="0" w:line="263" w:lineRule="auto"/>
        <w:tabs>
          <w:tab w:leader="none" w:pos="926" w:val="left"/>
        </w:tabs>
        <w:numPr>
          <w:ilvl w:val="1"/>
          <w:numId w:val="3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0" w:lineRule="exact"/>
        <w:rPr>
          <w:rFonts w:ascii="Arial" w:cs="Arial" w:eastAsia="Arial" w:hAnsi="Arial"/>
          <w:sz w:val="18"/>
          <w:szCs w:val="18"/>
          <w:color w:val="auto"/>
        </w:rPr>
      </w:pPr>
    </w:p>
    <w:p>
      <w:pPr>
        <w:ind w:left="1060" w:hanging="323"/>
        <w:spacing w:after="0" w:line="263" w:lineRule="auto"/>
        <w:tabs>
          <w:tab w:leader="none" w:pos="955" w:val="left"/>
        </w:tabs>
        <w:numPr>
          <w:ilvl w:val="1"/>
          <w:numId w:val="3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0" w:lineRule="exact"/>
        <w:rPr>
          <w:rFonts w:ascii="Arial" w:cs="Arial" w:eastAsia="Arial" w:hAnsi="Arial"/>
          <w:sz w:val="18"/>
          <w:szCs w:val="18"/>
          <w:color w:val="auto"/>
        </w:rPr>
      </w:pPr>
    </w:p>
    <w:p>
      <w:pPr>
        <w:ind w:left="1060" w:right="20" w:hanging="323"/>
        <w:spacing w:after="0" w:line="342" w:lineRule="auto"/>
        <w:tabs>
          <w:tab w:leader="none" w:pos="953" w:val="left"/>
        </w:tabs>
        <w:numPr>
          <w:ilvl w:val="1"/>
          <w:numId w:val="3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6"/>
          <w:szCs w:val="16"/>
          <w:color w:val="auto"/>
        </w:rPr>
      </w:pPr>
    </w:p>
    <w:p>
      <w:pPr>
        <w:ind w:left="1060" w:hanging="323"/>
        <w:spacing w:after="0" w:line="263" w:lineRule="auto"/>
        <w:tabs>
          <w:tab w:leader="none" w:pos="935" w:val="left"/>
        </w:tabs>
        <w:numPr>
          <w:ilvl w:val="1"/>
          <w:numId w:val="3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210" w:lineRule="exact"/>
        <w:rPr>
          <w:rFonts w:ascii="Arial" w:cs="Arial" w:eastAsia="Arial" w:hAnsi="Arial"/>
          <w:sz w:val="18"/>
          <w:szCs w:val="18"/>
          <w:color w:val="auto"/>
        </w:rPr>
      </w:pPr>
    </w:p>
    <w:p>
      <w:pPr>
        <w:ind w:left="340" w:hanging="332"/>
        <w:spacing w:after="0" w:line="308" w:lineRule="auto"/>
        <w:tabs>
          <w:tab w:leader="none" w:pos="205"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w:t>
      </w:r>
    </w:p>
    <w:p>
      <w:pPr>
        <w:spacing w:after="0" w:line="173" w:lineRule="exact"/>
        <w:rPr>
          <w:rFonts w:ascii="Arial" w:cs="Arial" w:eastAsia="Arial" w:hAnsi="Arial"/>
          <w:sz w:val="17"/>
          <w:szCs w:val="17"/>
          <w:color w:val="auto"/>
        </w:rPr>
      </w:pPr>
    </w:p>
    <w:p>
      <w:pPr>
        <w:ind w:left="1100" w:hanging="323"/>
        <w:spacing w:after="0" w:line="308" w:lineRule="auto"/>
        <w:tabs>
          <w:tab w:leader="none" w:pos="993" w:val="left"/>
        </w:tabs>
        <w:numPr>
          <w:ilvl w:val="2"/>
          <w:numId w:val="34"/>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3" w:lineRule="exact"/>
        <w:rPr>
          <w:rFonts w:ascii="Arial" w:cs="Arial" w:eastAsia="Arial" w:hAnsi="Arial"/>
          <w:sz w:val="17"/>
          <w:szCs w:val="17"/>
          <w:color w:val="auto"/>
        </w:rPr>
      </w:pPr>
    </w:p>
    <w:p>
      <w:pPr>
        <w:ind w:left="1100" w:right="20" w:hanging="323"/>
        <w:spacing w:after="0" w:line="277" w:lineRule="auto"/>
        <w:tabs>
          <w:tab w:leader="none" w:pos="984" w:val="left"/>
        </w:tabs>
        <w:numPr>
          <w:ilvl w:val="2"/>
          <w:numId w:val="3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51" w:lineRule="exact"/>
        <w:rPr>
          <w:sz w:val="20"/>
          <w:szCs w:val="20"/>
          <w:color w:val="auto"/>
        </w:rPr>
      </w:pPr>
    </w:p>
    <w:p>
      <w:pPr>
        <w:ind w:left="20"/>
        <w:spacing w:after="0"/>
        <w:tabs>
          <w:tab w:leader="none" w:pos="5320" w:val="left"/>
        </w:tabs>
        <w:rPr>
          <w:sz w:val="20"/>
          <w:szCs w:val="20"/>
          <w:color w:val="auto"/>
        </w:rPr>
      </w:pPr>
      <w:r>
        <w:rPr>
          <w:rFonts w:ascii="Arial" w:cs="Arial" w:eastAsia="Arial" w:hAnsi="Arial"/>
          <w:sz w:val="18"/>
          <w:szCs w:val="18"/>
          <w:color w:val="auto"/>
        </w:rPr>
        <w:t>Dated: July 23, 2020</w:t>
      </w:r>
      <w:r>
        <w:rPr>
          <w:sz w:val="20"/>
          <w:szCs w:val="20"/>
          <w:color w:val="auto"/>
        </w:rPr>
        <w:tab/>
      </w:r>
      <w:r>
        <w:rPr>
          <w:rFonts w:ascii="Arial" w:cs="Arial" w:eastAsia="Arial" w:hAnsi="Arial"/>
          <w:sz w:val="16"/>
          <w:szCs w:val="16"/>
          <w:color w:val="auto"/>
        </w:rPr>
        <w:t>/s/ Karen J. Dearing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3382645</wp:posOffset>
            </wp:positionH>
            <wp:positionV relativeFrom="paragraph">
              <wp:posOffset>31750</wp:posOffset>
            </wp:positionV>
            <wp:extent cx="356616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9">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57"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Karen J. Dearing, Chief Financial Officer</w:t>
      </w:r>
    </w:p>
    <w:p>
      <w:pPr>
        <w:sectPr>
          <w:pgSz w:w="11900" w:h="16838" w:orient="portrait"/>
          <w:cols w:equalWidth="0" w:num="1">
            <w:col w:w="11240"/>
          </w:cols>
          <w:pgMar w:left="320" w:top="773" w:right="339" w:bottom="1440" w:gutter="0" w:footer="0" w:header="0"/>
        </w:sectPr>
      </w:pPr>
    </w:p>
    <w:bookmarkStart w:id="57" w:name="page58"/>
    <w:bookmarkEnd w:id="57"/>
    <w:p>
      <w:pPr>
        <w:jc w:val="right"/>
        <w:spacing w:after="0"/>
        <w:rPr>
          <w:sz w:val="20"/>
          <w:szCs w:val="20"/>
          <w:color w:val="auto"/>
        </w:rPr>
      </w:pPr>
      <w:r>
        <w:rPr>
          <w:rFonts w:ascii="Arial" w:cs="Arial" w:eastAsia="Arial" w:hAnsi="Arial"/>
          <w:sz w:val="18"/>
          <w:szCs w:val="18"/>
          <w:color w:val="auto"/>
        </w:rPr>
        <w:t>Exhibit 32.1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 18 U.S.C. SECTION 1350</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(Adopted Under Section 906 of the Sarbanes-Oxley Act of 2002)</w:t>
      </w:r>
    </w:p>
    <w:p>
      <w:pPr>
        <w:spacing w:after="0" w:line="23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undersigned officers, Gary A. Shiffman and Karen J. Dearing, hereby certify that to the best of their knowledge: (a) this Quarterly Report on Form 10-Q of Sun Communities, Inc., for the period ended June 30, 2020, fully complies with the requirements of Section 13(a) or 15(d) of the Securities Exchange Act of 1934, as amended; and (b) the information contained in this Form 10-Q fairly presents, in all material respects, the financial condition and results of operations of the Company.</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760" w:type="dxa"/>
            <w:vAlign w:val="bottom"/>
          </w:tcPr>
          <w:p>
            <w:pPr>
              <w:spacing w:after="0"/>
              <w:rPr>
                <w:sz w:val="20"/>
                <w:szCs w:val="20"/>
                <w:color w:val="auto"/>
              </w:rPr>
            </w:pPr>
            <w:r>
              <w:rPr>
                <w:rFonts w:ascii="Arial" w:cs="Arial" w:eastAsia="Arial" w:hAnsi="Arial"/>
                <w:sz w:val="18"/>
                <w:szCs w:val="18"/>
                <w:b w:val="1"/>
                <w:bCs w:val="1"/>
                <w:color w:val="auto"/>
                <w:w w:val="89"/>
              </w:rPr>
              <w:t>Signature</w:t>
            </w:r>
          </w:p>
        </w:tc>
        <w:tc>
          <w:tcPr>
            <w:tcW w:w="6040" w:type="dxa"/>
            <w:vAlign w:val="bottom"/>
          </w:tcPr>
          <w:p>
            <w:pPr>
              <w:spacing w:after="0"/>
              <w:rPr>
                <w:sz w:val="17"/>
                <w:szCs w:val="17"/>
                <w:color w:val="auto"/>
              </w:rPr>
            </w:pPr>
          </w:p>
        </w:tc>
        <w:tc>
          <w:tcPr>
            <w:tcW w:w="2540" w:type="dxa"/>
            <w:vAlign w:val="bottom"/>
            <w:gridSpan w:val="3"/>
          </w:tcPr>
          <w:p>
            <w:pPr>
              <w:jc w:val="center"/>
              <w:ind w:left="1490"/>
              <w:spacing w:after="0"/>
              <w:rPr>
                <w:sz w:val="20"/>
                <w:szCs w:val="20"/>
                <w:color w:val="auto"/>
              </w:rPr>
            </w:pPr>
            <w:r>
              <w:rPr>
                <w:rFonts w:ascii="Arial" w:cs="Arial" w:eastAsia="Arial" w:hAnsi="Arial"/>
                <w:sz w:val="18"/>
                <w:szCs w:val="18"/>
                <w:b w:val="1"/>
                <w:bCs w:val="1"/>
                <w:color w:val="auto"/>
                <w:w w:val="92"/>
              </w:rPr>
              <w:t>Date</w:t>
            </w:r>
          </w:p>
        </w:tc>
      </w:tr>
      <w:tr>
        <w:trPr>
          <w:trHeight w:val="20"/>
        </w:trPr>
        <w:tc>
          <w:tcPr>
            <w:tcW w:w="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91"/>
        </w:trPr>
        <w:tc>
          <w:tcPr>
            <w:tcW w:w="20" w:type="dxa"/>
            <w:vAlign w:val="bottom"/>
          </w:tcPr>
          <w:p>
            <w:pPr>
              <w:spacing w:after="0"/>
              <w:rPr>
                <w:sz w:val="24"/>
                <w:szCs w:val="24"/>
                <w:color w:val="auto"/>
              </w:rPr>
            </w:pPr>
          </w:p>
        </w:tc>
        <w:tc>
          <w:tcPr>
            <w:tcW w:w="6800" w:type="dxa"/>
            <w:vAlign w:val="bottom"/>
            <w:gridSpan w:val="2"/>
          </w:tcPr>
          <w:p>
            <w:pPr>
              <w:spacing w:after="0"/>
              <w:rPr>
                <w:sz w:val="20"/>
                <w:szCs w:val="20"/>
                <w:color w:val="auto"/>
              </w:rPr>
            </w:pPr>
            <w:r>
              <w:rPr>
                <w:rFonts w:ascii="Arial" w:cs="Arial" w:eastAsia="Arial" w:hAnsi="Arial"/>
                <w:sz w:val="18"/>
                <w:szCs w:val="18"/>
                <w:color w:val="auto"/>
              </w:rPr>
              <w:t>/s/ Gary A. Shiffman</w:t>
            </w:r>
          </w:p>
        </w:tc>
        <w:tc>
          <w:tcPr>
            <w:tcW w:w="2540" w:type="dxa"/>
            <w:vAlign w:val="bottom"/>
            <w:gridSpan w:val="3"/>
          </w:tcPr>
          <w:p>
            <w:pPr>
              <w:jc w:val="center"/>
              <w:ind w:left="1470"/>
              <w:spacing w:after="0"/>
              <w:rPr>
                <w:sz w:val="20"/>
                <w:szCs w:val="20"/>
                <w:color w:val="auto"/>
              </w:rPr>
            </w:pPr>
            <w:r>
              <w:rPr>
                <w:rFonts w:ascii="Arial" w:cs="Arial" w:eastAsia="Arial" w:hAnsi="Arial"/>
                <w:sz w:val="18"/>
                <w:szCs w:val="18"/>
                <w:color w:val="auto"/>
                <w:w w:val="91"/>
              </w:rPr>
              <w:t>July 23, 2020</w:t>
            </w:r>
          </w:p>
        </w:tc>
      </w:tr>
      <w:tr>
        <w:trPr>
          <w:trHeight w:val="27"/>
        </w:trPr>
        <w:tc>
          <w:tcPr>
            <w:tcW w:w="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6040" w:type="dxa"/>
            <w:vAlign w:val="bottom"/>
            <w:tcBorders>
              <w:bottom w:val="single" w:sz="8" w:color="auto"/>
            </w:tcBorders>
          </w:tcPr>
          <w:p>
            <w:pPr>
              <w:spacing w:after="0"/>
              <w:rPr>
                <w:sz w:val="2"/>
                <w:szCs w:val="2"/>
                <w:color w:val="auto"/>
              </w:rPr>
            </w:pPr>
          </w:p>
        </w:tc>
        <w:tc>
          <w:tcPr>
            <w:tcW w:w="1880" w:type="dxa"/>
            <w:vAlign w:val="bottom"/>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r>
      <w:tr>
        <w:trPr>
          <w:trHeight w:val="237"/>
        </w:trPr>
        <w:tc>
          <w:tcPr>
            <w:tcW w:w="20" w:type="dxa"/>
            <w:vAlign w:val="bottom"/>
          </w:tcPr>
          <w:p>
            <w:pPr>
              <w:spacing w:after="0"/>
              <w:rPr>
                <w:sz w:val="20"/>
                <w:szCs w:val="20"/>
                <w:color w:val="auto"/>
              </w:rPr>
            </w:pPr>
          </w:p>
        </w:tc>
        <w:tc>
          <w:tcPr>
            <w:tcW w:w="6800" w:type="dxa"/>
            <w:vAlign w:val="bottom"/>
            <w:gridSpan w:val="2"/>
          </w:tcPr>
          <w:p>
            <w:pPr>
              <w:spacing w:after="0"/>
              <w:rPr>
                <w:sz w:val="20"/>
                <w:szCs w:val="20"/>
                <w:color w:val="auto"/>
              </w:rPr>
            </w:pPr>
            <w:r>
              <w:rPr>
                <w:rFonts w:ascii="Arial" w:cs="Arial" w:eastAsia="Arial" w:hAnsi="Arial"/>
                <w:sz w:val="18"/>
                <w:szCs w:val="18"/>
                <w:color w:val="auto"/>
              </w:rPr>
              <w:t>Gary A. Shiffman, Chief Executive Officer</w:t>
            </w:r>
          </w:p>
        </w:tc>
        <w:tc>
          <w:tcPr>
            <w:tcW w:w="18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00" w:type="dxa"/>
            <w:vAlign w:val="bottom"/>
          </w:tcPr>
          <w:p>
            <w:pPr>
              <w:spacing w:after="0"/>
              <w:rPr>
                <w:sz w:val="20"/>
                <w:szCs w:val="20"/>
                <w:color w:val="auto"/>
              </w:rPr>
            </w:pPr>
          </w:p>
        </w:tc>
      </w:tr>
      <w:tr>
        <w:trPr>
          <w:trHeight w:val="540"/>
        </w:trPr>
        <w:tc>
          <w:tcPr>
            <w:tcW w:w="20" w:type="dxa"/>
            <w:vAlign w:val="bottom"/>
          </w:tcPr>
          <w:p>
            <w:pPr>
              <w:spacing w:after="0"/>
              <w:rPr>
                <w:sz w:val="24"/>
                <w:szCs w:val="24"/>
                <w:color w:val="auto"/>
              </w:rPr>
            </w:pPr>
          </w:p>
        </w:tc>
        <w:tc>
          <w:tcPr>
            <w:tcW w:w="6800" w:type="dxa"/>
            <w:vAlign w:val="bottom"/>
            <w:gridSpan w:val="2"/>
          </w:tcPr>
          <w:p>
            <w:pPr>
              <w:spacing w:after="0"/>
              <w:rPr>
                <w:sz w:val="20"/>
                <w:szCs w:val="20"/>
                <w:color w:val="auto"/>
              </w:rPr>
            </w:pPr>
            <w:r>
              <w:rPr>
                <w:rFonts w:ascii="Arial" w:cs="Arial" w:eastAsia="Arial" w:hAnsi="Arial"/>
                <w:sz w:val="18"/>
                <w:szCs w:val="18"/>
                <w:color w:val="auto"/>
              </w:rPr>
              <w:t>/s/ Karen J. Dearing</w:t>
            </w:r>
          </w:p>
        </w:tc>
        <w:tc>
          <w:tcPr>
            <w:tcW w:w="2540" w:type="dxa"/>
            <w:vAlign w:val="bottom"/>
            <w:gridSpan w:val="3"/>
          </w:tcPr>
          <w:p>
            <w:pPr>
              <w:jc w:val="center"/>
              <w:ind w:left="1470"/>
              <w:spacing w:after="0"/>
              <w:rPr>
                <w:sz w:val="20"/>
                <w:szCs w:val="20"/>
                <w:color w:val="auto"/>
              </w:rPr>
            </w:pPr>
            <w:r>
              <w:rPr>
                <w:rFonts w:ascii="Arial" w:cs="Arial" w:eastAsia="Arial" w:hAnsi="Arial"/>
                <w:sz w:val="18"/>
                <w:szCs w:val="18"/>
                <w:color w:val="auto"/>
                <w:w w:val="91"/>
              </w:rPr>
              <w:t>July 23, 2020</w:t>
            </w:r>
          </w:p>
        </w:tc>
      </w:tr>
      <w:tr>
        <w:trPr>
          <w:trHeight w:val="27"/>
        </w:trPr>
        <w:tc>
          <w:tcPr>
            <w:tcW w:w="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6040" w:type="dxa"/>
            <w:vAlign w:val="bottom"/>
            <w:tcBorders>
              <w:bottom w:val="single" w:sz="8" w:color="auto"/>
            </w:tcBorders>
          </w:tcPr>
          <w:p>
            <w:pPr>
              <w:spacing w:after="0"/>
              <w:rPr>
                <w:sz w:val="2"/>
                <w:szCs w:val="2"/>
                <w:color w:val="auto"/>
              </w:rPr>
            </w:pPr>
          </w:p>
        </w:tc>
        <w:tc>
          <w:tcPr>
            <w:tcW w:w="1880" w:type="dxa"/>
            <w:vAlign w:val="bottom"/>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r>
      <w:tr>
        <w:trPr>
          <w:trHeight w:val="237"/>
        </w:trPr>
        <w:tc>
          <w:tcPr>
            <w:tcW w:w="20" w:type="dxa"/>
            <w:vAlign w:val="bottom"/>
          </w:tcPr>
          <w:p>
            <w:pPr>
              <w:spacing w:after="0"/>
              <w:rPr>
                <w:sz w:val="20"/>
                <w:szCs w:val="20"/>
                <w:color w:val="auto"/>
              </w:rPr>
            </w:pPr>
          </w:p>
        </w:tc>
        <w:tc>
          <w:tcPr>
            <w:tcW w:w="6800" w:type="dxa"/>
            <w:vAlign w:val="bottom"/>
            <w:gridSpan w:val="2"/>
          </w:tcPr>
          <w:p>
            <w:pPr>
              <w:spacing w:after="0"/>
              <w:rPr>
                <w:sz w:val="20"/>
                <w:szCs w:val="20"/>
                <w:color w:val="auto"/>
              </w:rPr>
            </w:pPr>
            <w:r>
              <w:rPr>
                <w:rFonts w:ascii="Arial" w:cs="Arial" w:eastAsia="Arial" w:hAnsi="Arial"/>
                <w:sz w:val="18"/>
                <w:szCs w:val="18"/>
                <w:color w:val="auto"/>
              </w:rPr>
              <w:t>Karen J. Dearing, Chief Financial Officer</w:t>
            </w:r>
          </w:p>
        </w:tc>
        <w:tc>
          <w:tcPr>
            <w:tcW w:w="18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00" w:type="dxa"/>
            <w:vAlign w:val="bottom"/>
          </w:tcPr>
          <w:p>
            <w:pPr>
              <w:spacing w:after="0"/>
              <w:rPr>
                <w:sz w:val="20"/>
                <w:szCs w:val="20"/>
                <w:color w:val="auto"/>
              </w:rPr>
            </w:pPr>
          </w:p>
        </w:tc>
      </w:tr>
    </w:tbl>
    <w:p>
      <w:pPr>
        <w:spacing w:after="0" w:line="36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Sun Communities, Inc. and will be retained by Sun Communities, Inc. and furnished to the Securities and Exchange Commission or its staff upon request.</w:t>
      </w:r>
    </w:p>
    <w:sectPr>
      <w:pgSz w:w="11900" w:h="16838" w:orient="portrait"/>
      <w:cols w:equalWidth="0" w:num="1">
        <w:col w:w="11240"/>
      </w:cols>
      <w:pgMar w:left="320" w:top="65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9B500D"/>
    <w:multiLevelType w:val="hybridMultilevel"/>
    <w:lvl w:ilvl="0">
      <w:lvlJc w:val="left"/>
      <w:lvlText w:val="☒"/>
      <w:numFmt w:val="bullet"/>
      <w:start w:val="1"/>
    </w:lvl>
  </w:abstractNum>
  <w:abstractNum w:abstractNumId="1">
    <w:nsid w:val="431BD7B7"/>
    <w:multiLevelType w:val="hybridMultilevel"/>
    <w:lvl w:ilvl="0">
      <w:lvlJc w:val="left"/>
      <w:lvlText w:val="☐"/>
      <w:numFmt w:val="bullet"/>
      <w:start w:val="1"/>
    </w:lvl>
  </w:abstractNum>
  <w:abstractNum w:abstractNumId="2">
    <w:nsid w:val="3F2DBA31"/>
    <w:multiLevelType w:val="hybridMultilevel"/>
    <w:lvl w:ilvl="0">
      <w:lvlJc w:val="left"/>
      <w:lvlText w:val="%1."/>
      <w:numFmt w:val="decimal"/>
      <w:start w:val="1"/>
    </w:lvl>
  </w:abstractNum>
  <w:abstractNum w:abstractNumId="3">
    <w:nsid w:val="7C83E458"/>
    <w:multiLevelType w:val="hybridMultilevel"/>
    <w:lvl w:ilvl="0">
      <w:lvlJc w:val="left"/>
      <w:lvlText w:val="%1."/>
      <w:numFmt w:val="decimal"/>
      <w:start w:val="2"/>
    </w:lvl>
  </w:abstractNum>
  <w:abstractNum w:abstractNumId="4">
    <w:nsid w:val="257130A3"/>
    <w:multiLevelType w:val="hybridMultilevel"/>
    <w:lvl w:ilvl="0">
      <w:lvlJc w:val="left"/>
      <w:lvlText w:val="%1."/>
      <w:numFmt w:val="decimal"/>
      <w:start w:val="3"/>
    </w:lvl>
  </w:abstractNum>
  <w:abstractNum w:abstractNumId="5">
    <w:nsid w:val="62BBD95A"/>
    <w:multiLevelType w:val="hybridMultilevel"/>
    <w:lvl w:ilvl="0">
      <w:lvlJc w:val="left"/>
      <w:lvlText w:val="(%1)"/>
      <w:numFmt w:val="decimal"/>
      <w:start w:val="1"/>
    </w:lvl>
  </w:abstractNum>
  <w:abstractNum w:abstractNumId="6">
    <w:nsid w:val="436C6125"/>
    <w:multiLevelType w:val="hybridMultilevel"/>
    <w:lvl w:ilvl="0">
      <w:lvlJc w:val="left"/>
      <w:lvlText w:val="(%1)"/>
      <w:numFmt w:val="decimal"/>
      <w:start w:val="1"/>
    </w:lvl>
  </w:abstractNum>
  <w:abstractNum w:abstractNumId="7">
    <w:nsid w:val="628C895D"/>
    <w:multiLevelType w:val="hybridMultilevel"/>
    <w:lvl w:ilvl="0">
      <w:lvlJc w:val="left"/>
      <w:lvlText w:val="%1."/>
      <w:numFmt w:val="decimal"/>
      <w:start w:val="4"/>
    </w:lvl>
  </w:abstractNum>
  <w:abstractNum w:abstractNumId="8">
    <w:nsid w:val="333AB105"/>
    <w:multiLevelType w:val="hybridMultilevel"/>
    <w:lvl w:ilvl="0">
      <w:lvlJc w:val="left"/>
      <w:lvlText w:val="%1."/>
      <w:numFmt w:val="decimal"/>
      <w:start w:val="6"/>
    </w:lvl>
  </w:abstractNum>
  <w:abstractNum w:abstractNumId="9">
    <w:nsid w:val="721DA317"/>
    <w:multiLevelType w:val="hybridMultilevel"/>
    <w:lvl w:ilvl="0">
      <w:lvlJc w:val="left"/>
      <w:lvlText w:val="%1."/>
      <w:numFmt w:val="decimal"/>
      <w:start w:val="7"/>
    </w:lvl>
  </w:abstractNum>
  <w:abstractNum w:abstractNumId="10">
    <w:nsid w:val="2443A858"/>
    <w:multiLevelType w:val="hybridMultilevel"/>
    <w:lvl w:ilvl="0">
      <w:lvlJc w:val="left"/>
      <w:lvlText w:val="%1."/>
      <w:numFmt w:val="decimal"/>
      <w:start w:val="8"/>
    </w:lvl>
  </w:abstractNum>
  <w:abstractNum w:abstractNumId="11">
    <w:nsid w:val="2D1D5AE9"/>
    <w:multiLevelType w:val="hybridMultilevel"/>
    <w:lvl w:ilvl="0">
      <w:lvlJc w:val="left"/>
      <w:lvlText w:val="(%1)"/>
      <w:numFmt w:val="decimal"/>
      <w:start w:val="1"/>
    </w:lvl>
  </w:abstractNum>
  <w:abstractNum w:abstractNumId="12">
    <w:nsid w:val="6763845E"/>
    <w:multiLevelType w:val="hybridMultilevel"/>
    <w:lvl w:ilvl="0">
      <w:lvlJc w:val="left"/>
      <w:lvlText w:val="(%1)"/>
      <w:numFmt w:val="decimal"/>
      <w:start w:val="1"/>
    </w:lvl>
  </w:abstractNum>
  <w:abstractNum w:abstractNumId="13">
    <w:nsid w:val="75A2A8D4"/>
    <w:multiLevelType w:val="hybridMultilevel"/>
    <w:lvl w:ilvl="0">
      <w:lvlJc w:val="left"/>
      <w:lvlText w:val="%1."/>
      <w:numFmt w:val="decimal"/>
      <w:start w:val="9"/>
    </w:lvl>
  </w:abstractNum>
  <w:abstractNum w:abstractNumId="14">
    <w:nsid w:val="8EDBDAB"/>
    <w:multiLevelType w:val="hybridMultilevel"/>
    <w:lvl w:ilvl="0">
      <w:lvlJc w:val="left"/>
      <w:lvlText w:val="(%1)"/>
      <w:numFmt w:val="decimal"/>
      <w:start w:val="1"/>
    </w:lvl>
  </w:abstractNum>
  <w:abstractNum w:abstractNumId="15">
    <w:nsid w:val="79838CB2"/>
    <w:multiLevelType w:val="hybridMultilevel"/>
    <w:lvl w:ilvl="0">
      <w:lvlJc w:val="left"/>
      <w:lvlText w:val="%1."/>
      <w:numFmt w:val="decimal"/>
      <w:start w:val="10"/>
    </w:lvl>
  </w:abstractNum>
  <w:abstractNum w:abstractNumId="16">
    <w:nsid w:val="4353D0CD"/>
    <w:multiLevelType w:val="hybridMultilevel"/>
    <w:lvl w:ilvl="0">
      <w:lvlJc w:val="left"/>
      <w:lvlText w:val="(%1)"/>
      <w:numFmt w:val="decimal"/>
      <w:start w:val="1"/>
    </w:lvl>
  </w:abstractNum>
  <w:abstractNum w:abstractNumId="17">
    <w:nsid w:val="B03E0C6"/>
    <w:multiLevelType w:val="hybridMultilevel"/>
    <w:lvl w:ilvl="0">
      <w:lvlJc w:val="left"/>
      <w:lvlText w:val="%1."/>
      <w:numFmt w:val="decimal"/>
      <w:start w:val="11"/>
    </w:lvl>
  </w:abstractNum>
  <w:abstractNum w:abstractNumId="18">
    <w:nsid w:val="189A769B"/>
    <w:multiLevelType w:val="hybridMultilevel"/>
    <w:lvl w:ilvl="0">
      <w:lvlJc w:val="left"/>
      <w:lvlText w:val="%1."/>
      <w:numFmt w:val="decimal"/>
      <w:start w:val="12"/>
    </w:lvl>
  </w:abstractNum>
  <w:abstractNum w:abstractNumId="19">
    <w:nsid w:val="54E49EB4"/>
    <w:multiLevelType w:val="hybridMultilevel"/>
    <w:lvl w:ilvl="0">
      <w:lvlJc w:val="left"/>
      <w:lvlText w:val="%1."/>
      <w:numFmt w:val="decimal"/>
      <w:start w:val="13"/>
    </w:lvl>
  </w:abstractNum>
  <w:abstractNum w:abstractNumId="20">
    <w:nsid w:val="71F32454"/>
    <w:multiLevelType w:val="hybridMultilevel"/>
    <w:lvl w:ilvl="0">
      <w:lvlJc w:val="left"/>
      <w:lvlText w:val="%1."/>
      <w:numFmt w:val="decimal"/>
      <w:start w:val="14"/>
    </w:lvl>
  </w:abstractNum>
  <w:abstractNum w:abstractNumId="21">
    <w:nsid w:val="2CA88611"/>
    <w:multiLevelType w:val="hybridMultilevel"/>
    <w:lvl w:ilvl="0">
      <w:lvlJc w:val="left"/>
      <w:lvlText w:val="%1."/>
      <w:numFmt w:val="decimal"/>
      <w:start w:val="17"/>
    </w:lvl>
  </w:abstractNum>
  <w:abstractNum w:abstractNumId="22">
    <w:nsid w:val="836C40E"/>
    <w:multiLevelType w:val="hybridMultilevel"/>
    <w:lvl w:ilvl="0">
      <w:lvlJc w:val="left"/>
      <w:lvlText w:val="(%1)"/>
      <w:numFmt w:val="decimal"/>
      <w:start w:val="1"/>
    </w:lvl>
  </w:abstractNum>
  <w:abstractNum w:abstractNumId="23">
    <w:nsid w:val="2901D82"/>
    <w:multiLevelType w:val="hybridMultilevel"/>
    <w:lvl w:ilvl="0">
      <w:lvlJc w:val="left"/>
      <w:lvlText w:val="(%1)"/>
      <w:numFmt w:val="decimal"/>
      <w:start w:val="1"/>
    </w:lvl>
  </w:abstractNum>
  <w:abstractNum w:abstractNumId="24">
    <w:nsid w:val="3A95F874"/>
    <w:multiLevelType w:val="hybridMultilevel"/>
    <w:lvl w:ilvl="0">
      <w:lvlJc w:val="left"/>
      <w:lvlText w:val="(%1)"/>
      <w:numFmt w:val="decimal"/>
      <w:start w:val="1"/>
    </w:lvl>
  </w:abstractNum>
  <w:abstractNum w:abstractNumId="25">
    <w:nsid w:val="8138641"/>
    <w:multiLevelType w:val="hybridMultilevel"/>
    <w:lvl w:ilvl="0">
      <w:lvlJc w:val="left"/>
      <w:lvlText w:val="(%1)"/>
      <w:numFmt w:val="decimal"/>
      <w:start w:val="1"/>
    </w:lvl>
  </w:abstractNum>
  <w:abstractNum w:abstractNumId="26">
    <w:nsid w:val="1E7FF521"/>
    <w:multiLevelType w:val="hybridMultilevel"/>
    <w:lvl w:ilvl="0">
      <w:lvlJc w:val="left"/>
      <w:lvlText w:val="(%1)"/>
      <w:numFmt w:val="decimal"/>
      <w:start w:val="1"/>
    </w:lvl>
  </w:abstractNum>
  <w:abstractNum w:abstractNumId="27">
    <w:nsid w:val="7C3DBD3D"/>
    <w:multiLevelType w:val="hybridMultilevel"/>
    <w:lvl w:ilvl="0">
      <w:lvlJc w:val="left"/>
      <w:lvlText w:val="(%1)"/>
      <w:numFmt w:val="decimal"/>
      <w:start w:val="1"/>
    </w:lvl>
  </w:abstractNum>
  <w:abstractNum w:abstractNumId="28">
    <w:nsid w:val="737B8DDC"/>
    <w:multiLevelType w:val="hybridMultilevel"/>
    <w:lvl w:ilvl="0">
      <w:lvlJc w:val="left"/>
      <w:lvlText w:val="(%1)"/>
      <w:numFmt w:val="decimal"/>
      <w:start w:val="1"/>
    </w:lvl>
  </w:abstractNum>
  <w:abstractNum w:abstractNumId="29">
    <w:nsid w:val="6CEAF087"/>
    <w:multiLevelType w:val="hybridMultilevel"/>
    <w:lvl w:ilvl="0">
      <w:lvlJc w:val="left"/>
      <w:lvlText w:val="(%1)"/>
      <w:numFmt w:val="decimal"/>
      <w:start w:val="1"/>
    </w:lvl>
  </w:abstractNum>
  <w:abstractNum w:abstractNumId="30">
    <w:nsid w:val="22221A70"/>
    <w:multiLevelType w:val="hybridMultilevel"/>
    <w:lvl w:ilvl="0">
      <w:lvlJc w:val="left"/>
      <w:lvlText w:val="•"/>
      <w:numFmt w:val="bullet"/>
      <w:start w:val="1"/>
    </w:lvl>
  </w:abstractNum>
  <w:abstractNum w:abstractNumId="31">
    <w:nsid w:val="4516DDE9"/>
    <w:multiLevelType w:val="hybridMultilevel"/>
    <w:lvl w:ilvl="0">
      <w:lvlJc w:val="left"/>
      <w:lvlText w:val="(%1)"/>
      <w:numFmt w:val="decimal"/>
      <w:start w:val="1"/>
    </w:lvl>
  </w:abstractNum>
  <w:abstractNum w:abstractNumId="32">
    <w:nsid w:val="3006C83E"/>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33">
    <w:nsid w:val="614FD4A1"/>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5" Type="http://schemas.openxmlformats.org/officeDocument/2006/relationships/image" Target="media/image75.png"/><Relationship Id="rId86" Type="http://schemas.openxmlformats.org/officeDocument/2006/relationships/image" Target="media/image76.png"/><Relationship Id="rId87" Type="http://schemas.openxmlformats.org/officeDocument/2006/relationships/image" Target="media/image77.png"/><Relationship Id="rId88" Type="http://schemas.openxmlformats.org/officeDocument/2006/relationships/image" Target="media/image78.png"/><Relationship Id="rId89" Type="http://schemas.openxmlformats.org/officeDocument/2006/relationships/image" Target="media/image79.png"/><Relationship Id="rId82" Type="http://schemas.openxmlformats.org/officeDocument/2006/relationships/hyperlink" Target="http://www.sec.gov/Archives/edgar/data/912593/000091259318000049/exhibit31-suncommunitiesin.htm" TargetMode="External"/><Relationship Id="rId83" Type="http://schemas.openxmlformats.org/officeDocument/2006/relationships/hyperlink" Target="http://www.sec.gov/Archives/edgar/data/912593/000091259317000078/exhibit31-thirdamendedandr.htm" TargetMode="External"/><Relationship Id="rId84" Type="http://schemas.openxmlformats.org/officeDocument/2006/relationships/hyperlink" Target="https://www.sec.gov/Archives/edgar/data/912593/000091259320000094/exhibit101-fourthamend.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2020-07-23T11:29:33Z</dcterms:created>
  <dcterms:modified xsi:type="dcterms:W3CDTF">2020-07-23T11:29:33Z</dcterms:modified>
</cp:coreProperties>
</file>