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ind w:left="3820" w:right="920" w:hanging="2889"/>
        <w:spacing w:after="0" w:line="286"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48" w:lineRule="exact"/>
        <w:rPr>
          <w:sz w:val="24"/>
          <w:szCs w:val="24"/>
          <w:color w:val="auto"/>
        </w:rPr>
      </w:pPr>
    </w:p>
    <w:p>
      <w:pPr>
        <w:jc w:val="center"/>
        <w:ind w:left="3780" w:right="920" w:hanging="2856"/>
        <w:spacing w:after="0" w:line="273" w:lineRule="auto"/>
        <w:tabs>
          <w:tab w:leader="none" w:pos="11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6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1-12616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80010</wp:posOffset>
            </wp:positionV>
            <wp:extent cx="180848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SUN COMMUNITIES,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9"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38-2730780</w:t>
            </w:r>
          </w:p>
        </w:tc>
      </w:tr>
      <w:tr>
        <w:trPr>
          <w:trHeight w:val="234"/>
        </w:trPr>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6"/>
        </w:trPr>
        <w:tc>
          <w:tcPr>
            <w:tcW w:w="4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27777 Franklin Rd, Suite 300,   Southfield,</w:t>
            </w:r>
          </w:p>
        </w:tc>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48034</w:t>
            </w:r>
          </w:p>
        </w:tc>
      </w:tr>
      <w:tr>
        <w:trPr>
          <w:trHeight w:val="234"/>
        </w:trPr>
        <w:tc>
          <w:tcPr>
            <w:tcW w:w="42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 208-2500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7500" w:type="dxa"/>
            <w:vAlign w:val="bottom"/>
            <w:gridSpan w:val="6"/>
          </w:tcPr>
          <w:p>
            <w:pPr>
              <w:jc w:val="center"/>
              <w:ind w:left="35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60" w:type="dxa"/>
            <w:vAlign w:val="bottom"/>
          </w:tcPr>
          <w:p>
            <w:pPr>
              <w:spacing w:after="0"/>
              <w:rPr>
                <w:sz w:val="20"/>
                <w:szCs w:val="20"/>
                <w:color w:val="auto"/>
              </w:rPr>
            </w:pPr>
          </w:p>
        </w:tc>
      </w:tr>
      <w:tr>
        <w:trPr>
          <w:trHeight w:val="459"/>
        </w:trPr>
        <w:tc>
          <w:tcPr>
            <w:tcW w:w="111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Pr>
          <w:p>
            <w:pPr>
              <w:spacing w:after="0"/>
              <w:rPr>
                <w:sz w:val="22"/>
                <w:szCs w:val="22"/>
                <w:color w:val="auto"/>
              </w:rPr>
            </w:pPr>
          </w:p>
        </w:tc>
        <w:tc>
          <w:tcPr>
            <w:tcW w:w="32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SUI</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2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0" w:right="339" w:bottom="1440" w:gutter="0" w:footer="0" w:header="0"/>
        </w:sectPr>
      </w:pPr>
    </w:p>
    <w:p>
      <w:pPr>
        <w:ind w:left="2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8" w:lineRule="exact"/>
        <w:rPr>
          <w:sz w:val="24"/>
          <w:szCs w:val="24"/>
          <w:color w:val="auto"/>
        </w:rPr>
      </w:pPr>
    </w:p>
    <w:p>
      <w:pPr>
        <w:sectPr>
          <w:pgSz w:w="11900" w:h="16838" w:orient="portrait"/>
          <w:cols w:equalWidth="0" w:num="5">
            <w:col w:w="1860" w:space="600"/>
            <w:col w:w="1200" w:space="720"/>
            <w:col w:w="1520" w:space="600"/>
            <w:col w:w="1960" w:space="540"/>
            <w:col w:w="2240"/>
          </w:cols>
          <w:pgMar w:left="320" w:top="1350" w:right="339" w:bottom="1440" w:gutter="0" w:footer="0" w:header="0"/>
          <w:type w:val="continuous"/>
        </w:sectPr>
      </w:pPr>
    </w:p>
    <w:p>
      <w:pPr>
        <w:ind w:left="9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2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9" w:lineRule="exact"/>
        <w:rPr>
          <w:sz w:val="24"/>
          <w:szCs w:val="24"/>
          <w:color w:val="auto"/>
        </w:rPr>
      </w:pPr>
    </w:p>
    <w:p>
      <w:pPr>
        <w:sectPr>
          <w:pgSz w:w="11900" w:h="16838" w:orient="portrait"/>
          <w:cols w:equalWidth="0" w:num="5">
            <w:col w:w="2260" w:space="720"/>
            <w:col w:w="1360" w:space="720"/>
            <w:col w:w="1620" w:space="720"/>
            <w:col w:w="1780" w:space="720"/>
            <w:col w:w="1340"/>
          </w:cols>
          <w:pgMar w:left="320" w:top="1350" w:right="3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per share, outstanding as of April 25, 2024: 124,634,174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103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2024 (Unaudited) and December 31, 2023</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Loss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Equity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40</w:t>
            </w:r>
          </w:p>
        </w:tc>
      </w:t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61</w:t>
            </w: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62</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63</w:t>
            </w:r>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63</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67</w:t>
            </w:r>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Land</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4,278.2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Land improvements and buildings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11,529.5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11,682.2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Rental homes and improvements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744.4</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1,031.3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1,011.7</w:t>
            </w:r>
          </w:p>
        </w:tc>
      </w:tr>
      <w:tr>
        <w:trPr>
          <w:trHeight w:val="194"/>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17,716.5</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(3,410.5)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(3,272.9)</w:t>
            </w:r>
          </w:p>
        </w:tc>
      </w:tr>
      <w:tr>
        <w:trPr>
          <w:trHeight w:val="194"/>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 net (see Note 8 at VIEs)</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14,457.9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14,443.6</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cash equivalents and restricted cash (see Note 8 at VIEs)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205.6</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733.0</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intangible assets, net (see Note 8 at VIEs)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w:t>
            </w:r>
          </w:p>
        </w:tc>
      </w:tr>
      <w:tr>
        <w:trPr>
          <w:trHeight w:val="20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assets, net (see Note 8 at VIEs)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668.5</w:t>
            </w:r>
          </w:p>
        </w:tc>
      </w:tr>
      <w:tr>
        <w:trPr>
          <w:trHeight w:val="198"/>
        </w:trPr>
        <w:tc>
          <w:tcPr>
            <w:tcW w:w="79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17,113.3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16,940.7</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Mortgage loans payable (see Note 9; Note 8 at VIEs)</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3,465.5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3,478.9</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Secured borrowings on collateralized receivables (See Note 5)</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Unsecured debt (see Note 9; Note 8 at VIEs)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4,242.6</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payable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Advanced reservation deposits and rent (see Note 8 at VIEs)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344.5</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expenses and accounts payable (see Note 8 at VIEs)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313.7</w:t>
            </w:r>
          </w:p>
        </w:tc>
      </w:tr>
      <w:tr>
        <w:trPr>
          <w:trHeight w:val="20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liabilities (see Note 8 at VIEs)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987.5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953.1</w:t>
            </w:r>
          </w:p>
        </w:tc>
      </w:tr>
      <w:tr>
        <w:trPr>
          <w:trHeight w:val="19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9,830.0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9,506.8</w:t>
            </w:r>
          </w:p>
        </w:tc>
      </w:tr>
      <w:tr>
        <w:trPr>
          <w:trHeight w:val="18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Commitments and contingencies (see Note 17)</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Temporary equity (see Note 10; Note 8 at VIEs)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260.9</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58"/>
        </w:trPr>
        <w:tc>
          <w:tcPr>
            <w:tcW w:w="792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5"/>
                <w:szCs w:val="15"/>
                <w:color w:val="auto"/>
              </w:rPr>
              <w:t>Common stock, $0.01 par value. Authorized: 360.0 shares; Issued and outstanding: 124.6 at March 31, 2024 and 124.4 at</w:t>
            </w: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06"/>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December 31, 2023</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9,466.9</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Distributions in excess of accumulated earnings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(2,540.6)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(2,397.5)</w:t>
            </w:r>
          </w:p>
        </w:tc>
      </w:tr>
      <w:tr>
        <w:trPr>
          <w:trHeight w:val="198"/>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b w:val="1"/>
                <w:bCs w:val="1"/>
                <w:color w:val="auto"/>
              </w:rPr>
              <w:t>Total SUI shareholders' equity</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7,082.8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5"/>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Common and preferred OP units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r>
      <w:tr>
        <w:trPr>
          <w:trHeight w:val="194"/>
        </w:trPr>
        <w:tc>
          <w:tcPr>
            <w:tcW w:w="7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noncontrolling interests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90.2</w:t>
            </w:r>
          </w:p>
        </w:tc>
      </w:tr>
      <w:tr>
        <w:trPr>
          <w:trHeight w:val="196"/>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7,023.6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7,173.0</w:t>
            </w:r>
          </w:p>
        </w:tc>
      </w:tr>
      <w:tr>
        <w:trPr>
          <w:trHeight w:val="198"/>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 Liabilities, Temporary Equity and Shareholders' Equity</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17,113.3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16,940.7</w:t>
            </w:r>
          </w:p>
        </w:tc>
      </w:tr>
      <w:tr>
        <w:trPr>
          <w:trHeight w:val="20"/>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8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476.9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441.6</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00"/>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198"/>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671.3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651.2</w:t>
            </w:r>
          </w:p>
        </w:tc>
      </w:tr>
      <w:tr>
        <w:trPr>
          <w:trHeight w:val="182"/>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157.2</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tax</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costs and selling</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99.8</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 (see Note 17)</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155.6</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Goodwill impairment (see Note 6)</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4"/>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720.8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668.6</w:t>
            </w:r>
          </w:p>
        </w:tc>
      </w:tr>
      <w:tr>
        <w:trPr>
          <w:trHeight w:val="19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Before Other Items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marketable securities (see Note 16)</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 (see Note 3)</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notes receivable (see Note 4)</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 (loss) from nonconsolidated affiliates (see Note 7)</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 Note 7)</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13)</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0"/>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Deferred tax benefit (see Note 13)</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9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r>
      <w:tr>
        <w:trPr>
          <w:trHeight w:val="200"/>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Preferred return to preferred OP units / equity interests</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5"/>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96"/>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Attributable to SUI Common Shareholders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(44.9)</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8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00"/>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w:t>
            </w:r>
          </w:p>
        </w:tc>
      </w:tr>
      <w:tr>
        <w:trPr>
          <w:trHeight w:val="20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w:t>
            </w:r>
          </w:p>
        </w:tc>
      </w:t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loss per share (see Note 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w:t>
            </w:r>
          </w:p>
        </w:tc>
      </w:tr>
      <w:tr>
        <w:trPr>
          <w:trHeight w:val="198"/>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loss per share (see Note 14)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2"/>
        </w:trPr>
        <w:tc>
          <w:tcPr>
            <w:tcW w:w="8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w:t>
            </w:r>
          </w:p>
        </w:tc>
      </w:tr>
      <w:tr>
        <w:trPr>
          <w:trHeight w:val="20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gain / (loss) arising during period</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r>
      <w:tr>
        <w:trPr>
          <w:trHeight w:val="205"/>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Adjustment for accumulated foreign currency translation loss reclassified into earnings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194"/>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foreign currency translation gain / (loss)</w:t>
            </w: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28.8</w:t>
            </w:r>
          </w:p>
        </w:tc>
      </w:tr>
      <w:tr>
        <w:trPr>
          <w:trHeight w:val="185"/>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Flow Hedges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unrealized gain / (loss) on interest rate derivatives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Interest rate derivative gain reclassified to earnings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94"/>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unrealized gain / (loss) on interest rate derivatives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198"/>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r>
      <w:tr>
        <w:trPr>
          <w:trHeight w:val="200"/>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Less: Comprehensive loss attributable to noncontrolling 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Loss attributable to SUI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220" w:type="dxa"/>
            <w:vAlign w:val="bottom"/>
          </w:tcPr>
          <w:p>
            <w:pPr>
              <w:spacing w:after="0"/>
              <w:rPr>
                <w:sz w:val="12"/>
                <w:szCs w:val="12"/>
                <w:color w:val="auto"/>
              </w:rPr>
            </w:pPr>
          </w:p>
        </w:tc>
        <w:tc>
          <w:tcPr>
            <w:tcW w:w="78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580" w:type="dxa"/>
            <w:vAlign w:val="bottom"/>
          </w:tcPr>
          <w:p>
            <w:pPr>
              <w:jc w:val="center"/>
              <w:ind w:right="4"/>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jc w:val="right"/>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386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Comprehensive Noncontrolling Shareholders'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6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260.9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9,466.9</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(2,397.5)</w:t>
            </w: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7,173.0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7,433.9</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and common OP units, net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60"/>
        </w:trPr>
        <w:tc>
          <w:tcPr>
            <w:tcW w:w="36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 (loss)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2024</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9,471.4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(2,540.6)</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7,023.6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7,283.3</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220" w:type="dxa"/>
            <w:vAlign w:val="bottom"/>
          </w:tcPr>
          <w:p>
            <w:pPr>
              <w:spacing w:after="0"/>
              <w:rPr>
                <w:sz w:val="12"/>
                <w:szCs w:val="12"/>
                <w:color w:val="auto"/>
              </w:rPr>
            </w:pPr>
          </w:p>
        </w:tc>
        <w:tc>
          <w:tcPr>
            <w:tcW w:w="780" w:type="dxa"/>
            <w:vAlign w:val="bottom"/>
          </w:tcPr>
          <w:p>
            <w:pPr>
              <w:jc w:val="center"/>
              <w:ind w:right="124"/>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386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Comprehensive Noncontrolling Shareholders'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6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9,549.7</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(1,731.2)</w:t>
            </w: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8,091.4</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and common OP units, net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51"/>
        </w:trPr>
        <w:tc>
          <w:tcPr>
            <w:tcW w:w="3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151"/>
        </w:trPr>
        <w:tc>
          <w:tcPr>
            <w:tcW w:w="3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Issuance of third party equity interests in consolidated</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Series K preferred OP units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2023, As Restated</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298.8</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9,556.4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(1,889.8)</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7,754.6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8,053.4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86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0" w:type="dxa"/>
            <w:vAlign w:val="bottom"/>
          </w:tcPr>
          <w:p>
            <w:pPr>
              <w:spacing w:after="0"/>
              <w:rPr>
                <w:sz w:val="17"/>
                <w:szCs w:val="17"/>
                <w:color w:val="auto"/>
              </w:rPr>
            </w:pPr>
          </w:p>
        </w:tc>
        <w:tc>
          <w:tcPr>
            <w:tcW w:w="140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02"/>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194.5</w:t>
            </w:r>
          </w:p>
        </w:tc>
      </w:tr>
      <w:tr>
        <w:trPr>
          <w:trHeight w:val="19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in properties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(301.8)</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deposit on acquisition</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insurance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disposition of assets and depreciated homes, net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related to disposition of properties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notes and other receivables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Repayments of notes and other receivables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Investments in nonconsolidated affiliates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of capital from nonconsolidated affiliates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94"/>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Used For Investing Activities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(321.9)</w:t>
            </w: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and costs of common stock, OP units and preferred OP units, net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stock withheld to satisfy income tax obligations related to vesting of restricted stock awards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on lines of credit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626.0</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lines of credit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(951.1)</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issuance of other debt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583.0</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Contributions from noncontrolling interest</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other debt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w:t>
            </w:r>
          </w:p>
        </w:tc>
      </w:tr>
      <w:tr>
        <w:trPr>
          <w:trHeight w:val="20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Payments for deferred financing costs, net of prepaid return</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 (Used For)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w:t>
            </w:r>
          </w:p>
        </w:tc>
      </w:tr>
      <w:tr>
        <w:trPr>
          <w:trHeight w:val="194"/>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r>
      <w:tr>
        <w:trPr>
          <w:trHeight w:val="20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w:t>
            </w:r>
          </w:p>
        </w:tc>
      </w:tr>
      <w:tr>
        <w:trPr>
          <w:trHeight w:val="22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End of Period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00"/>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 (net of capitalized interest of $2.7 and $2.5, respectively)</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72.2</w:t>
            </w:r>
          </w:p>
        </w:tc>
      </w:tr>
      <w:tr>
        <w:trPr>
          <w:trHeight w:val="20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 on mandatorily redeemable debt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Reduction in secured borrowing balance</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distributions declared and outstanding</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Conversion of common and preferred OP units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Assets held for sale, net (included within Other Assets, net and Other Liabilities)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262.1</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ROU asset obtained from new operating lease liabilities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notes and other receivables in relation to disposition of properties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111.2</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 at the date of acquisition</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 Common stock and OP units issued</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w:t>
            </w:r>
          </w:p>
        </w:tc>
      </w:tr>
      <w:tr>
        <w:trPr>
          <w:trHeight w:val="198"/>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Series K preferred interest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 Communities, Inc., and all wholly-owned or majority-owned and controlled subsidiaries, including Sun Communities Operating Limited Partnership (the "Operating Partnership"), Sun Home Services, Inc. ("SHS"), Safe Harbor Marinas, LLC ("Safe Harbor") and the entities through which we operate our business in the United Kingdom (collectively, "Park Holidays") are referred to herein as the "Company," "SUI," "us," "we," or "our."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 Certain reclassifications have been made to prior period financial statements in order to conform to current period presentation. There was no impact to prior period net income for any of the reclassifications.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2023 as filed with the SEC on February 28, 2024 (our "2023 Annual Report"). These statements have been prepared on a basis that is substantially consistent with the accounting principles applied in our 2023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 Investment Property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property is recorded at cost, less accumulated depreciation.</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review the carrying value of long-lived assets to be held for use for impairment quarterly or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a possible impairment. Future events could occur which would cause us to conclude that impairment indicators exist, and significant adverse changes in national, regional, or local market conditions or trends may cause us to change the estimates and assumptions used in our impairment analysis. The results of an impairment analysis could be material to our financial statements. Our primary indicator for potential impairment is based on NOI trends period over period. Circumstances that may prompt a test of recoverability may include a significant decrease in the anticipated market price, an adverse change to the extent or manner in which an asset may be used or in its physical condition or other events that may significantly change the value of the long-lived asset. An impairment loss is recognized when a long-lived asset's carrying value is not recoverable and exceeds estimated fair value.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long-lived assets based on discounted future cash flows and any potential disposition proceeds for a given asset. Forecasting cash flows requires management to make estimates and assumptions about such variables as the estimated holding period, rental rates, occupancy, development and operating expenses during the holding period, as well as capitalization rates. Management uses its best judgment when developing these estimates and assumptions.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we expanded our organizational structure from three segments, which consisted of (i) manufactured home ("MH") communities, (ii) recreational vehicle ("RV") communities, and (iii) Marinas, to a four-segment structure that now includes (iv) communities in the United Kingdom ("UK"). The new structure reflects how the chief operating decision maker manages the business, makes operating decisions, allocates resources and evaluates operating performance. Beginning with the three months ended March 31, 2024,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stockholders' equity or cash flows for any of the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of Previously Issued Financial Statements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our 2023 Annual Report, we restated the unaudited financial information as of and for the three months ended March 31, 2023, the three and six months ended June 30, 2023, and the three and nine months ended September 30, 2023 (collectively, the "2023 Interim Financial Statements"). Accordingly, certain prior period balances within our consolidated financial statements and the accompanying footnotes have been restated, where applicable.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we acquired a portfolio of holiday park properties located in the United Kingdom, which we refer to as our Park Holidays business, classified within our UK reporting segment. As disclosed in our Current Report on Form 8-K filed with the SEC on February 20, 2024, during the course of management's 2023 year-end procedures, we reviewed the controls relating to the valuation of the Park Holidays business and the associated goodwill at March 31, 2023, June 30, 2023 and September 30, 2023. In connection with that review, we concluded that there were triggering events relevant to the valuation of the Park Holidays business, including reduced financial projections and increases in interest rates, that should have been taken into account when preparing the 2023 Interim Financial Statements. Management undertook a full review of the valuations and determined that at each of March 31, 2023, June 30, 2023 and September 30, 2023, we should have recognized non-cash impairments to goodwill for the Park Holidays business.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non-cash goodwill impairment increased Net loss on our Consolidated Statements of Operations by $15.4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real property revenue at our MH, RV, Marina and UK properties, revenue from home sales, revenue from service, retail, dining and entertainment, interest income, and brokerage commissions and other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and segment (in millions):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40"/>
        </w:trPr>
        <w:tc>
          <w:tcPr>
            <w:tcW w:w="1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2023</w:t>
            </w:r>
            <w:r>
              <w:rPr>
                <w:rFonts w:ascii="Times New Roman" w:cs="Times New Roman" w:eastAsia="Times New Roman" w:hAnsi="Times New Roman"/>
                <w:sz w:val="18"/>
                <w:szCs w:val="18"/>
                <w:b w:val="1"/>
                <w:bCs w:val="1"/>
                <w:color w:val="auto"/>
                <w:vertAlign w:val="superscript"/>
              </w:rPr>
              <w:t>(1)</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4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RV</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1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238.0</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476.9</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224.0</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441.6</w:t>
            </w:r>
          </w:p>
        </w:tc>
      </w:tr>
      <w:tr>
        <w:trPr>
          <w:trHeight w:val="205"/>
        </w:trPr>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r>
      <w:tr>
        <w:trPr>
          <w:trHeight w:val="148"/>
        </w:trPr>
        <w:tc>
          <w:tcPr>
            <w:tcW w:w="16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Service, retail, dining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1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and entertainment</w:t>
            </w:r>
          </w:p>
        </w:tc>
        <w:tc>
          <w:tcPr>
            <w:tcW w:w="18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w:t>
            </w:r>
          </w:p>
        </w:tc>
      </w:tr>
      <w:tr>
        <w:trPr>
          <w:trHeight w:val="207"/>
        </w:trPr>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49"/>
        </w:trPr>
        <w:tc>
          <w:tcPr>
            <w:tcW w:w="16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Brokerage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8"/>
        </w:trPr>
        <w:tc>
          <w:tcPr>
            <w:tcW w:w="16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commissions and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2"/>
        </w:trPr>
        <w:tc>
          <w:tcPr>
            <w:tcW w:w="1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25"/>
        </w:trPr>
        <w:tc>
          <w:tcPr>
            <w:tcW w:w="1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272.0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671.3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651.2</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Recast to reflect segment changes.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revenue is derived from site and home leases, and wet slip and dry storage space leases that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account for all revenue from contracts with customers following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except for those that are within the scope of other topics in the FASB ASC. For additional information, refer to Note 1, "Significant Accounting Policies" in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Acquisitions</w:t>
      </w: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did not acquire any operating properties during the three months ended March 31, 2024. During the same period, we entered into a ground lease to support one marina with eight wet slips and dry storage spaces.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Development and Expansion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acquired two land parcels located in the United States ("U.S.") for an aggregate purchase price of $12.9 million. In conjunction with one of the land parcel acquisitions, we issued 4,452 common OP units valued at $0.6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acquired two buildings related to our marinas located in the U.S. for an aggregate purchase price of $13.7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Dispositions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2024, we sold two MH communities located in Arizona and Florida with 533 developed sites for total cash consideration of $51.7 million. The gain from the sale of the properties was $6.2 million and was recorded in Gain / (loss) on dispositions of properties on our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we acquired the following properties: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 Dry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0"/>
        </w:trPr>
        <w:tc>
          <w:tcPr>
            <w:tcW w:w="3140" w:type="dxa"/>
            <w:vAlign w:val="bottom"/>
            <w:gridSpan w:val="2"/>
          </w:tcPr>
          <w:p>
            <w:pPr>
              <w:ind w:left="980"/>
              <w:spacing w:after="0" w:line="211" w:lineRule="exact"/>
              <w:rPr>
                <w:sz w:val="20"/>
                <w:szCs w:val="20"/>
                <w:color w:val="auto"/>
              </w:rPr>
            </w:pPr>
            <w:r>
              <w:rPr>
                <w:rFonts w:ascii="Times New Roman" w:cs="Times New Roman" w:eastAsia="Times New Roman" w:hAnsi="Times New Roman"/>
                <w:sz w:val="15"/>
                <w:szCs w:val="15"/>
                <w:b w:val="1"/>
                <w:bCs w:val="1"/>
                <w:color w:val="auto"/>
              </w:rPr>
              <w:t>Property Name</w:t>
            </w:r>
            <w:r>
              <w:rPr>
                <w:rFonts w:ascii="Times New Roman" w:cs="Times New Roman" w:eastAsia="Times New Roman" w:hAnsi="Times New Roman"/>
                <w:sz w:val="19"/>
                <w:szCs w:val="19"/>
                <w:b w:val="1"/>
                <w:bCs w:val="1"/>
                <w:color w:val="auto"/>
                <w:vertAlign w:val="superscript"/>
              </w:rPr>
              <w:t>(1)</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Storage Spaces</w:t>
            </w:r>
          </w:p>
        </w:tc>
        <w:tc>
          <w:tcPr>
            <w:tcW w:w="14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8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196"/>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Fox Run</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0"/>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Savannah Yacht Center</w:t>
            </w: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GA</w:t>
            </w:r>
          </w:p>
        </w:tc>
        <w:tc>
          <w:tcPr>
            <w:tcW w:w="1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23"/>
        </w:trPr>
        <w:tc>
          <w:tcPr>
            <w:tcW w:w="3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Property names are subject to changes subsequent to acquisition.</w:t>
      </w:r>
    </w:p>
    <w:p>
      <w:pPr>
        <w:spacing w:after="0" w:line="2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assets acquired, net of liabilities assumed at the acquisition date and the consideration paid for the acquisitions completed in 2023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In-place leases,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color w:val="auto"/>
              </w:rPr>
              <w:t>goodwill and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0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intangible</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assets /</w:t>
            </w:r>
          </w:p>
        </w:tc>
        <w:tc>
          <w:tcPr>
            <w:tcW w:w="180" w:type="dxa"/>
            <w:vAlign w:val="bottom"/>
          </w:tcPr>
          <w:p>
            <w:pPr>
              <w:spacing w:after="0"/>
              <w:rPr>
                <w:sz w:val="14"/>
                <w:szCs w:val="14"/>
                <w:color w:val="auto"/>
              </w:rPr>
            </w:pPr>
          </w:p>
        </w:tc>
        <w:tc>
          <w:tcPr>
            <w:tcW w:w="13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assets</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(liabilities), net</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escrow</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line="203" w:lineRule="exact"/>
              <w:rPr>
                <w:sz w:val="20"/>
                <w:szCs w:val="20"/>
                <w:color w:val="auto"/>
              </w:rPr>
            </w:pPr>
            <w:r>
              <w:rPr>
                <w:rFonts w:ascii="Times New Roman" w:cs="Times New Roman" w:eastAsia="Times New Roman" w:hAnsi="Times New Roman"/>
                <w:sz w:val="15"/>
                <w:szCs w:val="15"/>
                <w:color w:val="auto"/>
                <w:w w:val="95"/>
              </w:rPr>
              <w:t>equity</w:t>
            </w:r>
            <w:r>
              <w:rPr>
                <w:rFonts w:ascii="Times New Roman" w:cs="Times New Roman" w:eastAsia="Times New Roman" w:hAnsi="Times New Roman"/>
                <w:sz w:val="19"/>
                <w:szCs w:val="19"/>
                <w:color w:val="auto"/>
                <w:w w:val="95"/>
                <w:vertAlign w:val="superscript"/>
              </w:rPr>
              <w:t>(1)</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83"/>
        </w:trPr>
        <w:tc>
          <w:tcPr>
            <w:tcW w:w="174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5"/>
                <w:szCs w:val="15"/>
                <w:b w:val="1"/>
                <w:bCs w:val="1"/>
                <w:color w:val="auto"/>
              </w:rPr>
              <w:t>Asset Acquisition</w:t>
            </w:r>
            <w:r>
              <w:rPr>
                <w:rFonts w:ascii="Times New Roman" w:cs="Times New Roman" w:eastAsia="Times New Roman" w:hAnsi="Times New Roman"/>
                <w:sz w:val="19"/>
                <w:szCs w:val="19"/>
                <w:b w:val="1"/>
                <w:bCs w:val="1"/>
                <w:color w:val="auto"/>
                <w:vertAlign w:val="superscript"/>
              </w:rPr>
              <w:t>(2)</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Fox Run</w:t>
            </w:r>
            <w:r>
              <w:rPr>
                <w:rFonts w:ascii="Times New Roman" w:cs="Times New Roman" w:eastAsia="Times New Roman" w:hAnsi="Times New Roman"/>
                <w:sz w:val="19"/>
                <w:szCs w:val="19"/>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Savannah Yacht Center</w:t>
            </w:r>
            <w:r>
              <w:rPr>
                <w:rFonts w:ascii="Times New Roman" w:cs="Times New Roman" w:eastAsia="Times New Roman" w:hAnsi="Times New Roman"/>
                <w:sz w:val="19"/>
                <w:szCs w:val="19"/>
                <w:color w:val="auto"/>
                <w:vertAlign w:val="superscript"/>
              </w:rPr>
              <w:t>(4)</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107.4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105.0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10, "Equity and Temporary Equity," for additional detail.</w:t>
      </w:r>
    </w:p>
    <w:p>
      <w:pPr>
        <w:spacing w:after="0" w:line="59"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Property names are subject to changes subsequent to acquisition.</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conjunction with the acquisition, the Operating Partnership issued 31,289 common OP units valued at $4.4 million.</w:t>
      </w:r>
    </w:p>
    <w:p>
      <w:pPr>
        <w:spacing w:after="0" w:line="44"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conjunction with the acquisition, the Operating Partnership issued one million Series K preferred OP units valued at $100.6 million.</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incurred and capitalized $3.1 million of transaction costs, which have been allocated among the various fixed asset categories for purchases that meet the asset acquisition criteria. During the year ended December 31, 2023, we recognized $3.0 million of business combination expenses in connection with transactions completed during 2022.</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Development and Expansion Activities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acquired four land parcels located in the U.S. and one land parcel in the United Kingdom for an aggregate purchase price of $35.8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Dispositions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as part of a transaction with our joint venture partners in Sun NG RV Resorts, Sun NG Whitewater RV Resorts LLC, Sun NG Beaver Brook LLC and four standalone affiliates (collectively, "Sun NG"), we disposed of our majority equity interest owned in three consolidated joint venture RV properties with 955 developed sites.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sold one MH community located in Maine with 155 developed sites at its net carrying value for cash consideration of $6.8 million. The property was previously classified as held for sale during the three months ended June 30, 2023, with its net carrying value of $13.1 million written down by $6.3 million within Asset impairments on our Consolidated Statements of Operations, to a fair value less cost to sell of $6.8 million.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we sold two parcels of land in the United Kingdom for total consideration of $111.5 million. The consideration consisted of $108.8 million in the form of an operator note receivable that was added to an existing facility with a weighted average interest rate of 11.9% per annum, due May 31, 2023 and subsequently extended to July 31, 2023 as part of the operator's total facility. On the date of sale, the carrying value of the note receivable approximated its fair value due to its short term nature. The dispositions resulted in a loss on sale totaling $2.2 million during the year ended December 31, 2023, net of the release of foreign currency translation losses from Accumulated other comprehensive income ("AOCI") of $11.9 million. The total loss on sale was recorded in Gain / (loss) on dispositions of properties on the Consolidated Statements of Operations. As of December 31, 2023, we have reacquired these two parcels of land at fair value as part of the settlement of the related note receivable, with no remeasurement gain or loss recognized. Refer to Note 4, "Notes and Other Receivables," for additional information on the settlement of the notes receivable.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Held For Sale - Changes to a Plan of Sale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periodically classify real estate as "held for sale" after an active program to sell an asset has commenced and when the sale is probable. Subsequent to the classification of assets as held for sale, no further depreciation expense is recorded.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the criteria was met to classify Sandy Bay, an operating MH community in the United Kingdom, with 730 developed sites, as held for sale. Previously, this property had been under contract. At December 31, 2023, the sale contract was no longer in effect, and due to an unexpected change in circumstance related to the counterparty, we reclassified the property as held for use. In accordance with ASC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we recorded the property at the lower of the carrying amount before the asset was held for sale, adjusted for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that would have been recognized had the asset been continually classified as held for use, and the fair value at the time of the reclassification. During the three months ended December 31, 2023, we recorded depreciation and amortization expense of $1.3 million in conjunction with the reclassification of the property. The following assets and liabilities, which were previously classified as held for sale within Other assets and Other liabilities, respectively, were reclassified as of December 31, 2023: Investment in property, net of $259.0 million, Inventory of manufactured homes of $4.6 million, Other intangible assets of $1.3 million and Other liabilities, net of $55.8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20, "Subsequent Events," for information regarding acquisitions completed after March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Other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notes and other receivables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1440" w:type="dxa"/>
            <w:vAlign w:val="bottom"/>
            <w:shd w:val="clear" w:color="auto" w:fill="CCEEFF"/>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144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94"/>
              </w:rPr>
              <w:t>127.7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 net</w:t>
            </w:r>
          </w:p>
        </w:tc>
        <w:tc>
          <w:tcPr>
            <w:tcW w:w="14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303.1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267.5</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Notes and Other Receivables, net</w:t>
            </w:r>
          </w:p>
        </w:tc>
        <w:tc>
          <w:tcPr>
            <w:tcW w:w="1440" w:type="dxa"/>
            <w:vAlign w:val="bottom"/>
            <w:tcBorders>
              <w:bottom w:val="single" w:sz="8" w:color="auto"/>
            </w:tcBorders>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4"/>
              </w:rPr>
              <w:t>469.1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20"/>
        </w:trPr>
        <w:tc>
          <w:tcPr>
            <w:tcW w:w="7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Installment notes receivable are measured at fair value, using indicative pricing models from third party valuation specialists,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During the three months ended December 31, 2023, we transferred a group of installment notes receivable to an unrelated party. Refer to Note 5, "Collateralized Receivables and Transfers of Financial Assets," for additional details. The balances of installment notes receivable of $38.3 million (gross installment notes receivable of $39.1 million less fair value adjustment of $0.8 million) and $19.6 million (gross installment notes receivable of $20.4 million less fair value adjustment of $0.8 million) as of March 31, 2024 and December 31, 2023,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6.6% and 18.2 years as of March 31, 2024, and 6.9% and 17.2 years as of December 31, 2023, respectively. Refer to Note 16, "Fair Value Measurements," for additional details.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Notes receivable from real estate developers and operators are measured at fair value, using indicative pricing models from third party valuation specialists, in accordance with 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Refer to Note 16, "Fair Value Measurements,"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Receivable from a Real Estate Operator</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receivable from a real estate operator was comprised of a fully drawn loan provided to Royale Holdings Group HoldCo Limited, a real estate development owner and operator in the United Kingdom, and certain other parties, to fund investing and financing activities (the "Note"). The Note was collateralized by a first-priority security interest in three real estate assets and three MH manufacturers in the United Kingdom. As of March 31, 2024, there was no remaining balance due on the note receivable.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maturity date of July 31, 2023, the Note became past due. On September 29, 2023, we appointed receivers over the real estate assets. The receivers marketed the real estate assets for sale during the fourth quarter of 2023. Upon completion of the marketing process, on December 28, 2023, we appointed administrators over the real estate assets and acquired such assets through a credit bid. During the fourth quarter, we engaged third party valuation specialists to appraise the real estate assets in accordance with ASC 820. The appraisals were completed using the discounted cash flow method (income approach), with the significant assumptions being development density, estimated absorption rate, home sale price and discount rate. The real estate assets appraised at fair value totaling $263.8 million. The Note balance was reduced by this amount, with an offsetting adjustment to Investment property, net on our Consolidated Balance Sheets as of December 31,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balance remaining on the Note, which was in nonaccrual status, collateralized by a first-priority security interest in three MH manufacturers in the United Kingdom, was adjusted to fair value totaling $10.8 million (gross notes receivable of $114.3 million, inclusive of accrued interest of $10.4 million, less a fair value adjustment of $103.5 million). The note had a weighted average interest rate of 12.5% as of December 31,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completed a receivership process related to the three MH manufacturers in the United Kingdom. The receivers sold such assets for a total consideration of $10.7 million, resulting in cash proceeds to the Company of $7.0 million, net of non-cash consideration and fees. The sale of these assets resulted in an incremental fair value remeasurement adjustment of $0.8 million that was recorded in Loss on remeasurement of notes receivable on the Consolidated Statements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from Real Estate Developers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acquisition and construction loans provided to real estate developers total $127.7 million with a net weighted average interest rate and maturity of 9.3% and 2.6 years as of March 31, 2024, and total $123.7 million with a net weighted average interest rate and maturity of 9.2% and 2.6 years as of December 31, 2023. As of March 31, 2024, the additional acquisition and construction loans provided to real estate developers have $38.3 million of undrawn funds. There were no adjustments to the fair value of notes receivable from real estate developers during the three months ended March 31, 2024 and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receivables, net were comprised of amounts due from the following categories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2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MH and annual RV residents for rent, utility charges, fees and other pass-through charges, net</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83.2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Insurance receivables</w:t>
            </w:r>
          </w:p>
        </w:tc>
        <w:tc>
          <w:tcPr>
            <w:tcW w:w="144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sale proceeds</w:t>
            </w: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Marina customers for storage, service and lease payments, net</w:t>
            </w:r>
            <w:r>
              <w:rPr>
                <w:rFonts w:ascii="Times New Roman" w:cs="Times New Roman" w:eastAsia="Times New Roman" w:hAnsi="Times New Roman"/>
                <w:sz w:val="19"/>
                <w:szCs w:val="19"/>
                <w:color w:val="auto"/>
                <w:vertAlign w:val="superscript"/>
              </w:rPr>
              <w:t>(2)</w:t>
            </w:r>
          </w:p>
        </w:tc>
        <w:tc>
          <w:tcPr>
            <w:tcW w:w="144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w:t>
            </w:r>
          </w:p>
        </w:tc>
        <w:tc>
          <w:tcPr>
            <w:tcW w:w="14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Other Receivables, net</w:t>
            </w:r>
          </w:p>
        </w:tc>
        <w:tc>
          <w:tcPr>
            <w:tcW w:w="1440" w:type="dxa"/>
            <w:vAlign w:val="bottom"/>
            <w:tcBorders>
              <w:bottom w:val="single" w:sz="8" w:color="auto"/>
            </w:tcBorders>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4"/>
              </w:rPr>
              <w:t>303.1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267.5</w:t>
            </w:r>
          </w:p>
        </w:tc>
      </w:tr>
      <w:tr>
        <w:trPr>
          <w:trHeight w:val="21"/>
        </w:trPr>
        <w:tc>
          <w:tcPr>
            <w:tcW w:w="7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of $5.0 million and $4.8 million as of March 31, 2024 and December 31, 2023, respectively.</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of $3.1 million and $2.9 million as of March 31, 2024 and December 31, 2023,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Collateralized Receivables and Transfers of Financial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we completed a transfer of our installment notes receivable to an unrelated entity and received net cash proceeds of $53.4 million, along with an agreed upon future cash payment of $1.1 million from the third-party servicer, in exchange for relinquishing our right, title and interest in the receivables. We used the proceeds to pay down borrowings outstanding under our senior credit facility. We have no further obligations or rights with respect to the control, management, administration, servicing or collection of the installment notes receivables. However, we are subject to certain recourse provisions requiring us to purchase the underlying manufactured homes collateralizing such notes at a price calculated based on the agreed upon terms, in the event of a note default and subsequent repossession of the home by the unrelated entity. The recourse provisions are considered to be a form of continuing involvement which precluded establishing legal isolation, and therefore these transferred loans do not meet the requirements for sale accounting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has been accounted for in accordance with ASC 860-30, with the transferred assets classified as Collateralized receivables, net and the cash proceeds received from this transaction classified as Secured borrowings on collateralized receivables within the Consolidated Balance Sheets. We have elected to apply the fair value option to the collateralized receivables and related secured borrowings under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balance of collateralized receivables was $56.5 million (gross collateralized receivable of $57.8 million less fair value adjustments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and $56.2 million (gross collateralized receivable of $59.1 million less fair value adjustments of $2.9 million) as of March 31, 2024 and December 31, 2023, respectively. The balance of secured borrowings on collateralized receivables was $56.1 million (gross secured borrowings of $52.6 million plus fair value adjustments of $3.5 million) and $55.8 million (gross secured borrowings of $53.9 million plus fair value adjustments of $1.9 million) as of March 31, 2024, and December 31, 2023, respectively. The notes represent financing to purchasers of manufactured homes located in our communities and require monthly principal and interest payments. The notes had a net weighted average interest rate and maturity of 8.6% and 13.9 years as of March 31, 2024 and 8.6% and 14.2 years as of December 31, 2023. Refer to Note 16, "Fair Value Measurements," for additional details.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collateralized receivables earn interest income and the secured borrowings accrue interest expense at the same amount. The amount of interest income and interest expense recognized during the three months ended March 31, 2024 was $1.2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measurement periods for the valuation of assets acquired and liabilities assumed in a business combination end as soon as information on the facts and circumstances that existed as of the acquisition dates becomes available on the earlier of (i) the dates of acquisition, or (ii) 12 months after the acquisition dates. Adjustments in purchase price allocations may require a change in the amounts allocated to goodwill during the periods in which the adjustments are determined. Changes in the carrying amount of goodwill during the three months ended March 31, 2024 by reportable segment were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MH</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RV</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UK</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31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Balance as of December 31, 2023</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733.0</w:t>
            </w:r>
          </w:p>
        </w:tc>
      </w:tr>
      <w:tr>
        <w:trPr>
          <w:trHeight w:val="200"/>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1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23"/>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March 31, 2024</w:t>
            </w: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Accumulated impairment losses as of March 31,</w:t>
            </w: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r>
              <w:rPr>
                <w:rFonts w:ascii="Times New Roman" w:cs="Times New Roman" w:eastAsia="Times New Roman" w:hAnsi="Times New Roman"/>
                <w:sz w:val="9"/>
                <w:szCs w:val="9"/>
                <w:color w:val="auto"/>
              </w:rPr>
              <w:t>(2)</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369.9</w:t>
            </w:r>
          </w:p>
        </w:tc>
      </w:tr>
    </w:tbl>
    <w:p>
      <w:pPr>
        <w:spacing w:after="0" w:line="55"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Recast to reflect segment changes.</w:t>
      </w:r>
    </w:p>
    <w:p>
      <w:pPr>
        <w:spacing w:after="0" w:line="55" w:lineRule="exact"/>
        <w:rPr>
          <w:rFonts w:ascii="Times New Roman" w:cs="Times New Roman" w:eastAsia="Times New Roman" w:hAnsi="Times New Roman"/>
          <w:sz w:val="19"/>
          <w:szCs w:val="19"/>
          <w:color w:val="auto"/>
          <w:vertAlign w:val="superscript"/>
        </w:rPr>
      </w:pPr>
    </w:p>
    <w:p>
      <w:pPr>
        <w:jc w:val="both"/>
        <w:ind w:left="180" w:hanging="172"/>
        <w:spacing w:after="0" w:line="244" w:lineRule="auto"/>
        <w:tabs>
          <w:tab w:leader="none" w:pos="15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months ended March 31, 2024, we performed a qualitative assessment of our goodwill balance in accordance with ASC 350-20, "</w:t>
      </w:r>
      <w:r>
        <w:rPr>
          <w:rFonts w:ascii="Times New Roman" w:cs="Times New Roman" w:eastAsia="Times New Roman" w:hAnsi="Times New Roman"/>
          <w:sz w:val="14"/>
          <w:szCs w:val="14"/>
          <w:i w:val="1"/>
          <w:iCs w:val="1"/>
          <w:color w:val="auto"/>
        </w:rPr>
        <w:t>Goodwill and Other</w:t>
      </w:r>
      <w:r>
        <w:rPr>
          <w:rFonts w:ascii="Times New Roman" w:cs="Times New Roman" w:eastAsia="Times New Roman" w:hAnsi="Times New Roman"/>
          <w:sz w:val="14"/>
          <w:szCs w:val="14"/>
          <w:color w:val="auto"/>
        </w:rPr>
        <w:t>." We concluded that the fair value of each respective reporting segment was more-likely-than-not greater than its carrying value. Accordingly, there were no goodwill impairment charges recorded during the three months ended March 31, 2024. For the year ended December 31, 2023, we recorded aggregate non-cash impairment charges of $369.9 million within Goodwill impairment on the Consolidated Statements of Operations. The decline in fair value of the UK reporting segment was primarily driven by a higher weighted average cost of capital due to changes in the macroeconomic environment, as well as inflationary pressures in the UK causing a decline in financial projections.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goodwill for impairment on an annual basis and at an interim date, if indicators of potential impairment exist. During the three months ended March 31, 2024, we voluntarily changed our annual impairment assessment date from April 1 to October 31 for the UK reporting segment. As the last quantitative impairment test was performed as of December 31, 2023, there will not be more than 12 months that have elapsed between goodwill impairment tests of the UK reporting segment.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measurement date represents a change in method of applying an accounting principle. This change is preferable because it better aligns our goodwill impairment testing procedures with our annual planning process, our fiscal year-end, and with the annual testing for our Marina segment. We continue to monitor each reporting segment for triggering events for purposes of goodwill impairment testing.</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accounting principle did not result in any, nor do we expect the change in accounting principle to result in any delay, acceleration or avoidance of an impairment charge.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2560" w:type="dxa"/>
            <w:vAlign w:val="bottom"/>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46"/>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r>
      <w:tr>
        <w:trPr>
          <w:trHeight w:val="21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200"/>
        </w:trPr>
        <w:tc>
          <w:tcPr>
            <w:tcW w:w="4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 months - 13 years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3 - 15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4 - 17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1 - 27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94"/>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 finite-lived assets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(223.5)</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(216.3)</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Indefinite-lived assets - Trademarks and trade names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Indefinite-lived assets - Other</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0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indefinite-lived assets</w:t>
            </w:r>
          </w:p>
        </w:tc>
        <w:tc>
          <w:tcPr>
            <w:tcW w:w="1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(223.5)</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(216.3)</w:t>
            </w: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related to our Other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2"/>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 Amortization Expense</w:t>
            </w: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0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5"/>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3"/>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fees and other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198"/>
        </w:trPr>
        <w:tc>
          <w:tcPr>
            <w:tcW w:w="85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amortization expense for Other intangible assets to be as follows for the next five years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 Future Amortization Expense</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Remainder 2024</w:t>
            </w:r>
          </w:p>
        </w:tc>
        <w:tc>
          <w:tcPr>
            <w:tcW w:w="30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2028</w:t>
            </w:r>
          </w:p>
        </w:tc>
      </w:tr>
      <w:tr>
        <w:trPr>
          <w:trHeight w:val="200"/>
        </w:trPr>
        <w:tc>
          <w:tcPr>
            <w:tcW w:w="4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0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3"/>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8"/>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w:t>
            </w:r>
          </w:p>
        </w:tc>
      </w:tr>
      <w:tr>
        <w:trPr>
          <w:trHeight w:val="21"/>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in Nonconsolidated Affiliates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joint ventures that are not consolidated, nor recorded at cost, are accounted for using the equity method of accounting as prescribed in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Investments in nonconsolidated affiliates are recorded within Other assets, net on the Consolidated Balance Sheets. Equity income and loss are recorded in Income / (loss) from nonconsolidated affiliates on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Sungenia Joint Venture ("Sungenia JV")</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2024 and December 31, 2023, we had a 50.0% ownership interest in Sungenia JV, a joint venture formed between us and Ingenia Communities Group (ASX:INA) ("Ingenia") in November 2018, to establish and grow a manufactured housing community development program in Australia.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GTSC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"GTSC"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March 31, 2024 and December 31, 2023, we had a 40.0% ownership interest in GTSC, which engages in acquiring, holding and selling loans secured, directly or indirectly, by manufactured homes located in our communities.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 Lift, LLC ("SV Lift")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had a 50.0% ownership interest in SV Lift, which owns, operates and leases an aircraft.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balance in each nonconsolidated affiliate was as follows (in millions):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60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Sungenia JV</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56.8</w:t>
            </w:r>
          </w:p>
        </w:tc>
      </w:tr>
      <w:tr>
        <w:trPr>
          <w:trHeight w:val="20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in GTSC</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60.4</w:t>
            </w:r>
          </w:p>
        </w:tc>
      </w:tr>
      <w:tr>
        <w:trPr>
          <w:trHeight w:val="202"/>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SV Lift</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118.9</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 (loss) from each nonconsolidated affiliate is as follows (in millions):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7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26"/>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Income / (loss) from Nonconsolidated Affiliates</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4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RezPlot Systems LLC equity loss</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center"/>
              <w:ind w:left="1084"/>
              <w:spacing w:after="0"/>
              <w:rPr>
                <w:sz w:val="20"/>
                <w:szCs w:val="20"/>
                <w:color w:val="auto"/>
              </w:rPr>
            </w:pPr>
            <w:r>
              <w:rPr>
                <w:rFonts w:ascii="Times New Roman" w:cs="Times New Roman" w:eastAsia="Times New Roman" w:hAnsi="Times New Roman"/>
                <w:sz w:val="15"/>
                <w:szCs w:val="15"/>
                <w:color w:val="auto"/>
              </w:rPr>
              <w:t>(1.5)</w:t>
            </w:r>
          </w:p>
        </w:tc>
      </w:tr>
      <w:tr>
        <w:trPr>
          <w:trHeight w:val="20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Sungenia JV equity income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ind w:left="1124"/>
              <w:spacing w:after="0"/>
              <w:rPr>
                <w:sz w:val="20"/>
                <w:szCs w:val="20"/>
                <w:color w:val="auto"/>
              </w:rPr>
            </w:pPr>
            <w:r>
              <w:rPr>
                <w:rFonts w:ascii="Times New Roman" w:cs="Times New Roman" w:eastAsia="Times New Roman" w:hAnsi="Times New Roman"/>
                <w:sz w:val="15"/>
                <w:szCs w:val="15"/>
                <w:color w:val="auto"/>
                <w:w w:val="95"/>
              </w:rPr>
              <w:t>0.6</w:t>
            </w:r>
          </w:p>
        </w:tc>
      </w:tr>
      <w:tr>
        <w:trPr>
          <w:trHeight w:val="205"/>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GTSC equity income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ind w:left="1124"/>
              <w:spacing w:after="0"/>
              <w:rPr>
                <w:sz w:val="20"/>
                <w:szCs w:val="20"/>
                <w:color w:val="auto"/>
              </w:rPr>
            </w:pPr>
            <w:r>
              <w:rPr>
                <w:rFonts w:ascii="Times New Roman" w:cs="Times New Roman" w:eastAsia="Times New Roman" w:hAnsi="Times New Roman"/>
                <w:sz w:val="15"/>
                <w:szCs w:val="15"/>
                <w:color w:val="auto"/>
                <w:w w:val="95"/>
              </w:rPr>
              <w:t>1.0</w:t>
            </w:r>
          </w:p>
        </w:tc>
      </w:tr>
      <w:tr>
        <w:trPr>
          <w:trHeight w:val="20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SV Lift equity loss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1084"/>
              <w:spacing w:after="0"/>
              <w:rPr>
                <w:sz w:val="20"/>
                <w:szCs w:val="20"/>
                <w:color w:val="auto"/>
              </w:rPr>
            </w:pPr>
            <w:r>
              <w:rPr>
                <w:rFonts w:ascii="Times New Roman" w:cs="Times New Roman" w:eastAsia="Times New Roman" w:hAnsi="Times New Roman"/>
                <w:sz w:val="15"/>
                <w:szCs w:val="15"/>
                <w:color w:val="auto"/>
              </w:rPr>
              <w:t>(0.3)</w:t>
            </w:r>
          </w:p>
        </w:tc>
      </w:tr>
      <w:tr>
        <w:trPr>
          <w:trHeight w:val="223"/>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Income / (Loss) from Nonconsolidated Affiliates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center"/>
              <w:ind w:left="1084"/>
              <w:spacing w:after="0"/>
              <w:rPr>
                <w:sz w:val="20"/>
                <w:szCs w:val="20"/>
                <w:color w:val="auto"/>
              </w:rPr>
            </w:pPr>
            <w:r>
              <w:rPr>
                <w:rFonts w:ascii="Times New Roman" w:cs="Times New Roman" w:eastAsia="Times New Roman" w:hAnsi="Times New Roman"/>
                <w:sz w:val="15"/>
                <w:szCs w:val="15"/>
                <w:color w:val="auto"/>
              </w:rPr>
              <w:t>(0.2)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tabs>
          <w:tab w:leader="none" w:pos="174"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 RV reservation software technology company, operating under the Campspot brand, which we acquired in January 2019 and disposed of our ownership interest in December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Sungenia JV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158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Cumulative translation adjustment</w:t>
            </w: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0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23"/>
        </w:trPr>
        <w:tc>
          <w:tcPr>
            <w:tcW w:w="7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GTSC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158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40" w:type="dxa"/>
            <w:vAlign w:val="bottom"/>
          </w:tcPr>
          <w:p>
            <w:pPr>
              <w:spacing w:after="0"/>
              <w:rPr>
                <w:sz w:val="17"/>
                <w:szCs w:val="17"/>
                <w:color w:val="auto"/>
              </w:rPr>
            </w:pP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40" w:type="dxa"/>
            <w:vAlign w:val="bottom"/>
          </w:tcPr>
          <w:p>
            <w:pPr>
              <w:spacing w:after="0"/>
              <w:rPr>
                <w:sz w:val="17"/>
                <w:szCs w:val="17"/>
                <w:color w:val="auto"/>
              </w:rPr>
            </w:pP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adjustment</w:t>
            </w:r>
          </w:p>
        </w:tc>
        <w:tc>
          <w:tcPr>
            <w:tcW w:w="1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98"/>
        </w:trPr>
        <w:tc>
          <w:tcPr>
            <w:tcW w:w="76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60.4</w:t>
            </w: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Consolidated Variable Interest Entities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Operating Partnership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the Operating Partnership under the guidance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Consolidated VIEs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Sun NG Cisco Grove RV LLC, Sun NG Coyote Ranch RV LLC, Sun NG Kittatinny RV LLC, Sun NG River Beach LLC, Sun NG Beaver Brook LLC, FPG Sun Menifee 80 LLC, Solar Energy Project LLC, Solar Energy Project CA II LLC, Solar Energy Project III LLC and FPG Sun Moreno Valley 66 LLC under the guidance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concluded that each entity is a VIE where we are the primary beneficiary, as we have the power to direct the significant activities of and absorb the significant losses and receive the significant benefits from each entity. Refer to Note 10, "Equity and Temporary Equity," for additional information on consolidated VIEs.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Sun NG Cisco Grove RV LLC, Sun NG Coyote Ranch RV LLC, </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un NG Kittatinny RV LLC and Sun NG River Beach RV LLC </w:t>
      </w:r>
      <w:r>
        <w:rPr>
          <w:rFonts w:ascii="Times New Roman" w:cs="Times New Roman" w:eastAsia="Times New Roman" w:hAnsi="Times New Roman"/>
          <w:sz w:val="18"/>
          <w:szCs w:val="18"/>
          <w:color w:val="auto"/>
        </w:rPr>
        <w:t>were formed in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engage in the sourcing, due diligence, acquisition, management, construction, leasing and disposition of certain RV parks and resorts. The table below shows their respective ownership percentages, representing the common equity interests: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17"/>
                <w:szCs w:val="17"/>
                <w:color w:val="auto"/>
              </w:rPr>
            </w:pPr>
          </w:p>
        </w:tc>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5"/>
                <w:szCs w:val="15"/>
                <w:b w:val="1"/>
                <w:bCs w:val="1"/>
                <w:color w:val="auto"/>
              </w:rPr>
              <w:t>Sun NG LLC</w:t>
            </w:r>
          </w:p>
        </w:tc>
        <w:tc>
          <w:tcPr>
            <w:tcW w:w="17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Third Party Interest</w:t>
            </w:r>
          </w:p>
        </w:tc>
      </w:tr>
      <w:tr>
        <w:trPr>
          <w:trHeight w:val="200"/>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NG Cisco Grove RV LLC</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94.8 %</w:t>
            </w: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Sun NG Coyote Ranch RV LLC</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NG Kittatinny RV LLC</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198"/>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Sun NG River Beach RV LLC</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4.1 %</w:t>
            </w:r>
          </w:p>
        </w:tc>
      </w:tr>
    </w:tbl>
    <w:p>
      <w:pPr>
        <w:spacing w:after="0" w:line="3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Sun NG Beaver Brook RV LLC </w:t>
      </w:r>
      <w:r>
        <w:rPr>
          <w:rFonts w:ascii="Times New Roman" w:cs="Times New Roman" w:eastAsia="Times New Roman" w:hAnsi="Times New Roman"/>
          <w:sz w:val="18"/>
          <w:szCs w:val="18"/>
          <w:color w:val="auto"/>
        </w:rPr>
        <w:t>was formed during the three months ended September 30, 2022. The purpose of the company is to engage in the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diligence, acquisition, management, construction, leasing and disposition of a recreational vehicle park and resort. The Company's ownership percentages were split between Sun NG LLC and NG Beaver Brook, LLC in the ratio of 70% and 30%, representing common equity interests. In December 2023, the terms were amended which resulted in the Company ownership percentages split between Sun NG LLC and NG Beaver Brook, LLC changing to a ratio of 98.4% and 1.6%, respectively, representing the common equity interests.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assets and liabilities of our consolidated VIEs after eliminations, with the exception of the Operating Partnership, included in our Consolidated Balance Sheets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52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7"/>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8"/>
        </w:trPr>
        <w:tc>
          <w:tcPr>
            <w:tcW w:w="78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Other Equity</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debt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Advanced reservation deposits and rent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expenses and accounts payable</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r>
      <w:tr>
        <w:trPr>
          <w:trHeight w:val="194"/>
        </w:trPr>
        <w:tc>
          <w:tcPr>
            <w:tcW w:w="78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Temporary equity</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Other Equity</w:t>
            </w: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related to the consolidated VIEs, with the exception of the Operating Partnership, comprised 0.8% of our consolidated total assets at March 31, 2024 and December 31, 2023. Total liabilities comprised 0.3% of our consolidated total liabilities at March 31, 2024 and December 31, 2023. Equity Interests and Noncontrolling interests related to the consolidated VIEs, on an absolute basis, comprised less than 1.0% of our consolidated total equity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 and Line of Credit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debt, including premiums, discounts and deferred financing costs (in millions, except for statistical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4"/>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680" w:type="dxa"/>
            <w:vAlign w:val="bottom"/>
            <w:gridSpan w:val="3"/>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6"/>
        </w:trPr>
        <w:tc>
          <w:tcPr>
            <w:tcW w:w="3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4"/>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200" w:type="dxa"/>
            <w:vAlign w:val="bottom"/>
          </w:tcPr>
          <w:p>
            <w:pPr>
              <w:spacing w:after="0"/>
              <w:rPr>
                <w:sz w:val="17"/>
                <w:szCs w:val="17"/>
                <w:color w:val="auto"/>
              </w:rPr>
            </w:pPr>
          </w:p>
        </w:tc>
        <w:tc>
          <w:tcPr>
            <w:tcW w:w="2620" w:type="dxa"/>
            <w:vAlign w:val="bottom"/>
            <w:gridSpan w:val="4"/>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Years to Maturity</w:t>
            </w:r>
          </w:p>
        </w:tc>
        <w:tc>
          <w:tcPr>
            <w:tcW w:w="2680" w:type="dxa"/>
            <w:vAlign w:val="bottom"/>
            <w:gridSpan w:val="3"/>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Interest Rates</w:t>
            </w:r>
          </w:p>
        </w:tc>
      </w:tr>
      <w:tr>
        <w:trPr>
          <w:trHeight w:val="152"/>
        </w:trPr>
        <w:tc>
          <w:tcPr>
            <w:tcW w:w="3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06"/>
        </w:trPr>
        <w:tc>
          <w:tcPr>
            <w:tcW w:w="3320" w:type="dxa"/>
            <w:vAlign w:val="bottom"/>
          </w:tcPr>
          <w:p>
            <w:pPr>
              <w:spacing w:after="0"/>
              <w:rPr>
                <w:sz w:val="17"/>
                <w:szCs w:val="17"/>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1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Secured Debt</w:t>
            </w:r>
          </w:p>
        </w:tc>
        <w:tc>
          <w:tcPr>
            <w:tcW w:w="3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332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Mortgage loans payable</w:t>
            </w:r>
            <w:r>
              <w:rPr>
                <w:rFonts w:ascii="Times New Roman" w:cs="Times New Roman" w:eastAsia="Times New Roman" w:hAnsi="Times New Roman"/>
                <w:sz w:val="19"/>
                <w:szCs w:val="19"/>
                <w:color w:val="auto"/>
                <w:vertAlign w:val="superscript"/>
              </w:rPr>
              <w:t>(1)</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3.995 %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3.994 %</w:t>
            </w:r>
          </w:p>
        </w:tc>
      </w:tr>
      <w:tr>
        <w:trPr>
          <w:trHeight w:val="203"/>
        </w:trPr>
        <w:tc>
          <w:tcPr>
            <w:tcW w:w="332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Secured borrowings on collateralized receivables</w:t>
            </w:r>
            <w:r>
              <w:rPr>
                <w:rFonts w:ascii="Times New Roman" w:cs="Times New Roman" w:eastAsia="Times New Roman" w:hAnsi="Times New Roman"/>
                <w:sz w:val="19"/>
                <w:szCs w:val="19"/>
                <w:color w:val="auto"/>
                <w:vertAlign w:val="superscript"/>
              </w:rPr>
              <w:t>(2)</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8.559 %</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8.556 %</w:t>
            </w:r>
          </w:p>
        </w:tc>
      </w:tr>
      <w:tr>
        <w:trPr>
          <w:trHeight w:val="194"/>
        </w:trPr>
        <w:tc>
          <w:tcPr>
            <w:tcW w:w="3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Secured Debt</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3,534.7</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Unsecured Debt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32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Senior unsecured notes</w:t>
            </w:r>
            <w:r>
              <w:rPr>
                <w:rFonts w:ascii="Times New Roman" w:cs="Times New Roman" w:eastAsia="Times New Roman" w:hAnsi="Times New Roman"/>
                <w:sz w:val="19"/>
                <w:szCs w:val="19"/>
                <w:color w:val="auto"/>
                <w:vertAlign w:val="superscript"/>
              </w:rPr>
              <w:t>(3)</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3.778 %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3.375 %</w:t>
            </w:r>
          </w:p>
        </w:tc>
      </w:tr>
      <w:tr>
        <w:trPr>
          <w:trHeight w:val="243"/>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Line of credit and other debt</w:t>
            </w:r>
            <w:r>
              <w:rPr>
                <w:rFonts w:ascii="Times New Roman" w:cs="Times New Roman" w:eastAsia="Times New Roman" w:hAnsi="Times New Roman"/>
                <w:sz w:val="19"/>
                <w:szCs w:val="19"/>
                <w:color w:val="auto"/>
                <w:vertAlign w:val="superscript"/>
              </w:rPr>
              <w:t>(4)</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5.186 %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5.428 %</w:t>
            </w:r>
          </w:p>
        </w:tc>
      </w:tr>
      <w:tr>
        <w:trPr>
          <w:trHeight w:val="194"/>
        </w:trPr>
        <w:tc>
          <w:tcPr>
            <w:tcW w:w="3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Total Unsecured Debt</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4,350.4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4,242.6</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r>
      <w:tr>
        <w:trPr>
          <w:trHeight w:val="223"/>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Debt</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4.207 %</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4.234 %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80" w:right="20" w:hanging="172"/>
        <w:spacing w:after="0" w:line="230"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2024 and December 31, 2023 include zero net debt premium, as of each such date, and $16.2 million and $16.9 million of deferred financing costs, respectively. Weighted average interest rates include the impact of hedge activity.</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2024 and December 31, 2023 include fair value adjustments of $3.5 million and $1.9 million, respectively.</w:t>
      </w:r>
    </w:p>
    <w:p>
      <w:pPr>
        <w:spacing w:after="0" w:line="55" w:lineRule="exact"/>
        <w:rPr>
          <w:rFonts w:ascii="Times New Roman" w:cs="Times New Roman" w:eastAsia="Times New Roman" w:hAnsi="Times New Roman"/>
          <w:sz w:val="19"/>
          <w:szCs w:val="19"/>
          <w:color w:val="auto"/>
          <w:vertAlign w:val="superscript"/>
        </w:rPr>
      </w:pPr>
    </w:p>
    <w:p>
      <w:pPr>
        <w:ind w:left="180" w:hanging="172"/>
        <w:spacing w:after="0" w:line="212" w:lineRule="auto"/>
        <w:tabs>
          <w:tab w:leader="none" w:pos="169"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2024 and December 31, 2023 include $6.9 million and $6.5 million of net debt discount, respectively, and $19.4 million and $16.0 million of deferred financing costs, respectively. Weighted average interest rates include the impact of hedge activity.</w:t>
      </w:r>
    </w:p>
    <w:p>
      <w:pPr>
        <w:spacing w:after="0" w:line="1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2024 and December 31, 2023 include zero and $1.6 million of deferred financing costs, respectively. Weighted average interest rates include the impact of hedge activity.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term loans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the year ended December 31, 2023, no mortgage term loans were repaid.</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did not enter into any mortgage term loans. During the year ended December 31, 2023, we entered into the following mortgage term loans during the quarters presented below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60" w:type="dxa"/>
            <w:vAlign w:val="bottom"/>
            <w:gridSpan w:val="2"/>
          </w:tcPr>
          <w:p>
            <w:pPr>
              <w:ind w:left="16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00" w:type="dxa"/>
            <w:vAlign w:val="bottom"/>
          </w:tcPr>
          <w:p>
            <w:pPr>
              <w:spacing w:after="0"/>
              <w:rPr>
                <w:sz w:val="17"/>
                <w:szCs w:val="17"/>
                <w:color w:val="auto"/>
              </w:rPr>
            </w:pPr>
          </w:p>
        </w:tc>
        <w:tc>
          <w:tcPr>
            <w:tcW w:w="134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Loan Amount</w:t>
            </w:r>
          </w:p>
        </w:tc>
        <w:tc>
          <w:tcPr>
            <w:tcW w:w="28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Term (in years)</w:t>
            </w: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2500" w:type="dxa"/>
            <w:vAlign w:val="bottom"/>
          </w:tcPr>
          <w:p>
            <w:pPr>
              <w:ind w:left="7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0" w:type="dxa"/>
            <w:vAlign w:val="bottom"/>
          </w:tcPr>
          <w:p>
            <w:pPr>
              <w:spacing w:after="0"/>
              <w:rPr>
                <w:sz w:val="1"/>
                <w:szCs w:val="1"/>
                <w:color w:val="auto"/>
              </w:rPr>
            </w:pPr>
          </w:p>
        </w:tc>
      </w:tr>
      <w:tr>
        <w:trPr>
          <w:trHeight w:val="200"/>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 2023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w:t>
            </w:r>
          </w:p>
        </w:tc>
        <w:tc>
          <w:tcPr>
            <w:tcW w:w="280" w:type="dxa"/>
            <w:vAlign w:val="bottom"/>
            <w:tcBorders>
              <w:top w:val="single" w:sz="8" w:color="CCEEFF"/>
            </w:tcBorders>
            <w:shd w:val="clear" w:color="auto" w:fill="CCEEFF"/>
          </w:tcPr>
          <w:p>
            <w:pPr>
              <w:jc w:val="right"/>
              <w:ind w:right="90"/>
              <w:spacing w:after="0" w:line="113" w:lineRule="exact"/>
              <w:rPr>
                <w:sz w:val="20"/>
                <w:szCs w:val="20"/>
                <w:color w:val="auto"/>
              </w:rPr>
            </w:pPr>
            <w:r>
              <w:rPr>
                <w:rFonts w:ascii="Times New Roman" w:cs="Times New Roman" w:eastAsia="Times New Roman" w:hAnsi="Times New Roman"/>
                <w:sz w:val="10"/>
                <w:szCs w:val="10"/>
                <w:color w:val="auto"/>
              </w:rPr>
              <w:t>(1)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6.49 %</w:t>
            </w:r>
          </w:p>
        </w:tc>
        <w:tc>
          <w:tcPr>
            <w:tcW w:w="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 1, 2030</w:t>
            </w:r>
          </w:p>
        </w:tc>
        <w:tc>
          <w:tcPr>
            <w:tcW w:w="0" w:type="dxa"/>
            <w:vAlign w:val="bottom"/>
          </w:tcPr>
          <w:p>
            <w:pPr>
              <w:spacing w:after="0"/>
              <w:rPr>
                <w:sz w:val="1"/>
                <w:szCs w:val="1"/>
                <w:color w:val="auto"/>
              </w:rPr>
            </w:pPr>
          </w:p>
        </w:tc>
      </w:tr>
      <w:tr>
        <w:trPr>
          <w:trHeight w:val="19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(2)</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80" w:type="dxa"/>
            <w:vAlign w:val="bottom"/>
          </w:tcPr>
          <w:p>
            <w:pPr>
              <w:spacing w:after="0"/>
              <w:rPr>
                <w:sz w:val="17"/>
                <w:szCs w:val="17"/>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13, 2026</w:t>
            </w:r>
          </w:p>
        </w:tc>
        <w:tc>
          <w:tcPr>
            <w:tcW w:w="0" w:type="dxa"/>
            <w:vAlign w:val="bottom"/>
          </w:tcPr>
          <w:p>
            <w:pPr>
              <w:spacing w:after="0"/>
              <w:rPr>
                <w:sz w:val="1"/>
                <w:szCs w:val="1"/>
                <w:color w:val="auto"/>
              </w:rPr>
            </w:pPr>
          </w:p>
        </w:tc>
      </w:tr>
      <w:tr>
        <w:trPr>
          <w:trHeight w:val="50"/>
        </w:trPr>
        <w:tc>
          <w:tcPr>
            <w:tcW w:w="3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(3)</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7 - 10</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5.72 %</w:t>
            </w:r>
          </w:p>
        </w:tc>
        <w:tc>
          <w:tcPr>
            <w:tcW w:w="80" w:type="dxa"/>
            <w:vAlign w:val="bottom"/>
          </w:tcPr>
          <w:p>
            <w:pPr>
              <w:spacing w:after="0"/>
              <w:rPr>
                <w:sz w:val="22"/>
                <w:szCs w:val="22"/>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 2030 - April 1, 2033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newly encumbered properties.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five existing encumbered properties.</w:t>
      </w:r>
    </w:p>
    <w:p>
      <w:pPr>
        <w:spacing w:after="0" w:line="2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22 existing encumbered properties.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mortgage term loans, which total $3.5 billion as of March 31, 2024, are secured by 156 properties comprised of 62,848 sites representing approximately $2.7 billion of net book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Borrowings on Collateralized Receivables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"Collateralized Receivables and Transfers of Financial Assets," for information on Secured Borrowings on Collateralized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outstanding senior unsecured notes (in millions, except for statistical information). All senior unsecured notes include interest payments on a semi-annual basis in arrears, and are recorded within the Unsecured debt line item on the 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0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02"/>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5.5% notes, issued in January 2024 and due in January 2029</w:t>
            </w:r>
            <w:r>
              <w:rPr>
                <w:rFonts w:ascii="Times New Roman" w:cs="Times New Roman" w:eastAsia="Times New Roman" w:hAnsi="Times New Roman"/>
                <w:sz w:val="19"/>
                <w:szCs w:val="19"/>
                <w:color w:val="auto"/>
                <w:vertAlign w:val="superscript"/>
              </w:rPr>
              <w:t>(1)</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5.7% notes, issued in January 2023 and due in January 2033</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4.2% notes, issued in April 2022 and due in April 2032</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592.6</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notes, issued in October 2021 and due in November 2028</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446.8</w:t>
            </w: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2.7% notes, issued in June 2021 and October 2021, and due in July 2031</w:t>
            </w: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w:t>
            </w:r>
          </w:p>
        </w:tc>
      </w:tr>
      <w:tr>
        <w:trPr>
          <w:trHeight w:val="198"/>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2,700.0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2,177.5</w:t>
            </w:r>
          </w:p>
        </w:tc>
      </w:tr>
      <w:tr>
        <w:trPr>
          <w:trHeight w:val="21"/>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46" w:lineRule="auto"/>
        <w:tabs>
          <w:tab w:leader="none" w:pos="15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January 2024, the Operating Partnership issued $500.0 million of senior unsecured notes with an interest rate of 5.5% and a five-year term, due January 15, 2029 (the "2029 Notes"). Interest on the 2029 Notes is payable semi-annually in arrears on January 15 and July 15 of each year, beginning on July 15, 2024. The net proceeds from the offering were $495.4 million, after deducting underwriters' discounts and estimated offering expenses. We used the majority of the net proceeds to repay borrowings outstanding under our Senior Credit Facility.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Operating Partnership (as borrower), SUI (as guarantor), and certain lenders are parties to a credit agreement which governs our senior credit facility (the "Senior Credit Facility").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March 2024, the aggregate amount of our Senior Credit Facility was $4.2 billion with the ability to upsize the total borrowings by an additional $800.0 million, subject to certain conditions. The aggregate amount under the Senior Credit Facility consisted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maturity date of the revolving term loan facility is April 7, 2026. At our option that maturity date may be extended two additional six-month periods. The maturity date of the term loan facility was April 7, 2025.</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we terminated the term loan facility and settled the associated $1.1 billion of borrowings outstanding under the term loan by increasing our borrowings under the revolving loan of the Senior Credit Facility. Subsequent to the termination of the term loan, our aggregate borrowing capacity under the Senior Credit Facility was reduced to the original capacity under the revolving loan of $3.05 billion. During the three months ended March 31, 2024, we recognized a Loss on extinguishment of debt in our Consolidated Statements of Operations of $0.6 million related to the termination of the term loan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the Adjusted Term Secured Overnight Financing Rate ("SOFR"), the Adjusted Eurocurrency Rate, the Australian Bank Bill Swap Bid Rate ("BBSY"), the Daily Sterling Overnight Index Average ("SONIA") Rate or the Canadian Dollar Offered Rate, as applicable, plus a margin, in all cases, which can range from 0.725% to 1.6%, subject to certain adjustments. As of March 31, 2024, the margins based on our credit ratings were 0.85% on the revolving loan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Agreement. We had $1.7 billion and $944.1 million of borrowings outstanding under the revolving loan as of March 31, 2024 and December 31, 2023, respectively. We also had zero and $1.1 billion of borrowings outstanding under the term loan on the Senior Credit Facility as of March 31, 2024 and December 31, 2023, respectively. These balances are recorded in Unsecured debt on the Consolidated Balance Sheets.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$11.2 million and $26.2 million of outstanding letters of credit at March 31, 2024 and December 31, 2023, respectively.</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2019, we assumed a $58.0 million secured term loan facility related to an acquisition. The term loan initially had a four-year term ending October 29, 2023, and bore interest at a floating rate based on the Eurodollar rate or Prime rate plus a margin ranging from 1.2% to 2.05%. Effective July 1, 2021, we amended the agreement to release the associated collateral, extend the term loan facility maturity date to October 29, 2025 and adjust the interest rate margin to a range from 0.8% to 1.6%. In August 2022, we amended the secured term loan facility to transition from the Eurodollar rate to SOFR. As of March 31, 2024, the margin based on our credit rating was 0.95%. The outstanding balance was $3.9 million and $7.8 million at March 31, 2024 and December 31, 2023, respectively. These balances are recorded in Unsecured debt on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March 31, 2024, we were in compliance with all financial covenants.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Capitalized</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capitalize interest during the construction and development of our communities. Capitalized interest costs associated with construction and development activities during the three months ended March 31, 2024 and 2023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Borders>
              <w:bottom w:val="single" w:sz="8" w:color="auto"/>
            </w:tcBorders>
          </w:tcPr>
          <w:p>
            <w:pPr>
              <w:spacing w:after="0"/>
              <w:rPr>
                <w:sz w:val="17"/>
                <w:szCs w:val="17"/>
                <w:color w:val="auto"/>
              </w:rPr>
            </w:pPr>
          </w:p>
        </w:tc>
      </w:tr>
      <w:tr>
        <w:trPr>
          <w:trHeight w:val="200"/>
        </w:trPr>
        <w:tc>
          <w:tcPr>
            <w:tcW w:w="7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280" w:type="dxa"/>
            <w:vAlign w:val="bottom"/>
            <w:tcBorders>
              <w:bottom w:val="single" w:sz="8" w:color="auto"/>
            </w:tcBorders>
          </w:tcPr>
          <w:p>
            <w:pPr>
              <w:spacing w:after="0"/>
              <w:rPr>
                <w:sz w:val="17"/>
                <w:szCs w:val="17"/>
                <w:color w:val="auto"/>
              </w:rPr>
            </w:pPr>
          </w:p>
        </w:tc>
      </w:tr>
      <w:tr>
        <w:trPr>
          <w:trHeight w:val="23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capitalized</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5"/>
              </w:rPr>
              <w:t>2.7</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and Temporary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Preferred OP Units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March 31, 2024 and December 31, 2023 and the related terms, and summarizes the balance included within Temporary Equity on our Consolidated Balance Sheets (in millions, except for statistical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OP Units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5"/>
                <w:szCs w:val="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240" w:type="dxa"/>
            <w:vAlign w:val="bottom"/>
            <w:gridSpan w:val="2"/>
            <w:vMerge w:val="continue"/>
          </w:tcPr>
          <w:p>
            <w:pPr>
              <w:spacing w:after="0"/>
              <w:rPr>
                <w:sz w:val="5"/>
                <w:szCs w:val="5"/>
                <w:color w:val="auto"/>
              </w:rPr>
            </w:pPr>
          </w:p>
        </w:tc>
        <w:tc>
          <w:tcPr>
            <w:tcW w:w="1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20" w:type="dxa"/>
            <w:vAlign w:val="bottom"/>
            <w:gridSpan w:val="4"/>
            <w:vMerge w:val="restart"/>
          </w:tcPr>
          <w:p>
            <w:pPr>
              <w:jc w:val="right"/>
              <w:ind w:right="884"/>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Distribution</w:t>
            </w:r>
          </w:p>
        </w:tc>
        <w:tc>
          <w:tcPr>
            <w:tcW w:w="12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9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(1)</w:t>
            </w:r>
          </w:p>
        </w:tc>
        <w:tc>
          <w:tcPr>
            <w:tcW w:w="12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(2)</w:t>
            </w:r>
          </w:p>
        </w:tc>
        <w:tc>
          <w:tcPr>
            <w:tcW w:w="12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5"/>
                <w:szCs w:val="15"/>
                <w:b w:val="1"/>
                <w:bCs w:val="1"/>
                <w:color w:val="auto"/>
              </w:rPr>
              <w:t>Redemption</w:t>
            </w:r>
            <w:r>
              <w:rPr>
                <w:rFonts w:ascii="Times New Roman" w:cs="Times New Roman" w:eastAsia="Times New Roman" w:hAnsi="Times New Roman"/>
                <w:sz w:val="19"/>
                <w:szCs w:val="19"/>
                <w:b w:val="1"/>
                <w:bCs w:val="1"/>
                <w:color w:val="auto"/>
                <w:vertAlign w:val="superscript"/>
              </w:rPr>
              <w:t>(3)</w:t>
            </w: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Redemption Period</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40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52"/>
        </w:trPr>
        <w:tc>
          <w:tcPr>
            <w:tcW w:w="13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Series D preferred</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488,958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0.8000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Any time</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F preferred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 May</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14, 2025 or death of holder</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62"/>
        </w:trPr>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Any time after earlier of</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continue"/>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205,812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September 30, 2025 or death</w:t>
            </w: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203"/>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 holder</w:t>
            </w:r>
          </w:p>
        </w:tc>
        <w:tc>
          <w:tcPr>
            <w:tcW w:w="1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Series H preferred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continue"/>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581,229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October 30, 2025 or death of</w:t>
            </w: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20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w:t>
            </w: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During the 30-day period</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following a change of control</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continue"/>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238,000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2.85 %</w:t>
            </w: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of the Company or any time</w:t>
            </w:r>
          </w:p>
        </w:tc>
        <w:tc>
          <w:tcPr>
            <w:tcW w:w="18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203"/>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after April 21, 2026</w:t>
            </w:r>
          </w:p>
        </w:tc>
        <w:tc>
          <w:tcPr>
            <w:tcW w:w="1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K preferred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Within 60 days after March</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0.5882</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23, 2028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0" w:type="dxa"/>
            <w:vAlign w:val="bottom"/>
          </w:tcPr>
          <w:p>
            <w:pPr>
              <w:spacing w:after="0"/>
              <w:rPr>
                <w:sz w:val="1"/>
                <w:szCs w:val="1"/>
                <w:color w:val="auto"/>
              </w:rPr>
            </w:pPr>
          </w:p>
        </w:tc>
      </w:tr>
      <w:tr>
        <w:trPr>
          <w:trHeight w:val="225"/>
        </w:trPr>
        <w:tc>
          <w:tcPr>
            <w:tcW w:w="1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2,603,999</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250.2</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redemption price for each preferred OP unit redeemed will be equal to its issue price plus all accrued but unpaid distributions.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Equity Interests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redeemable equity interests included in Temporary Equity on our Consolidated Balance Sheets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02"/>
        </w:trPr>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Equity Interest</w:t>
            </w:r>
          </w:p>
        </w:tc>
        <w:tc>
          <w:tcPr>
            <w:tcW w:w="5780" w:type="dxa"/>
            <w:vAlign w:val="bottom"/>
            <w:gridSpan w:val="2"/>
          </w:tcPr>
          <w:p>
            <w:pPr>
              <w:ind w:left="24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8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42"/>
        </w:trPr>
        <w:tc>
          <w:tcPr>
            <w:tcW w:w="2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7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Solar Energy Project CA II LLC</w:t>
            </w:r>
          </w:p>
        </w:tc>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communities</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w:t>
            </w: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Solar Energy Project LLC</w:t>
            </w: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communities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r>
      <w:tr>
        <w:trPr>
          <w:trHeight w:val="153"/>
        </w:trPr>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78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Arizona and</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Solar Energy Project III LLC</w:t>
            </w:r>
          </w:p>
        </w:tc>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California communities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In connection with investments in land for future development and joint ventures that</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224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Other stand-alone joint ventures</w:t>
            </w:r>
            <w:r>
              <w:rPr>
                <w:rFonts w:ascii="Times New Roman" w:cs="Times New Roman" w:eastAsia="Times New Roman" w:hAnsi="Times New Roman"/>
                <w:sz w:val="19"/>
                <w:szCs w:val="19"/>
                <w:color w:val="auto"/>
                <w:vertAlign w:val="superscript"/>
              </w:rPr>
              <w:t>(1)</w:t>
            </w:r>
          </w:p>
        </w:tc>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operate portfolios of RV communities in the U.S.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r>
      <w:tr>
        <w:trPr>
          <w:trHeight w:val="221"/>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8, "Consolidated Variable Interest Entities," for more information on the 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Universal Shelf Registration Statement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we filed a new universal shelf registration statement on Form S-3 with the SEC. The shelf registration statement was deemed automatically effective and provides for the registration of unspecified amounts of equity and debt securities. The authorized number of shares of our capital stock is 380,000,000 shares, of which 360,000,000 shares are common stock and 20,000,000 shares are preferred stock. As of March 31, 2024, we had 124,641,861 shares of common stock issued and outstanding and no shares of preferred stock were issued and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an At the Market Offering Sales Agreement with certain sales agents and forward sellers pursuant to which we may sell, from time to time, up to an aggregate gross sales price of $1.25 billion of our common stock (the "ATM"), through the sales agents, acting as our sales agents or, if applicable, as forward sellers, or directly to the sales agents as principals for their own accounts. The sales agents and forward sellers are entitled to compensation in an agreed amount not to exceed 2.0% of the gross price per share for any shares sold under the ATM. Through March 31, 2024, we had entered into forward sales agreements under the ATM for an aggregate gross sales price of $160.6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Common OP Units in Connection with the Acquisition of Certain Properties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Three Months Ended March 31, 2024 and 2023</w:t>
            </w: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Common OP Units Issued</w:t>
            </w:r>
          </w:p>
        </w:tc>
        <w:tc>
          <w:tcPr>
            <w:tcW w:w="140" w:type="dxa"/>
            <w:vAlign w:val="bottom"/>
          </w:tcPr>
          <w:p>
            <w:pPr>
              <w:spacing w:after="0"/>
              <w:rPr>
                <w:sz w:val="17"/>
                <w:szCs w:val="17"/>
                <w:color w:val="auto"/>
              </w:rPr>
            </w:pP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Value at Issuance (in millions)</w:t>
            </w:r>
          </w:p>
        </w:tc>
        <w:tc>
          <w:tcPr>
            <w:tcW w:w="238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Related Acquisition</w:t>
            </w:r>
          </w:p>
        </w:tc>
      </w:tr>
      <w:tr>
        <w:trPr>
          <w:trHeight w:val="200"/>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2024</w:t>
            </w:r>
          </w:p>
        </w:tc>
        <w:tc>
          <w:tcPr>
            <w:tcW w:w="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4,452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 for development</w:t>
            </w:r>
          </w:p>
        </w:tc>
      </w:tr>
      <w:tr>
        <w:trPr>
          <w:trHeight w:val="19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January 2023</w:t>
            </w:r>
          </w:p>
        </w:tc>
        <w:tc>
          <w:tcPr>
            <w:tcW w:w="2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31,289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Fox Run</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Statements of Comprehensive Loss for complete details related to OCI activity in the reporting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AOCI attributable to SUI common shareholders consisted of the following, net of tax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foreign currency translation losses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tcBorders>
            <w:shd w:val="clear" w:color="auto" w:fill="CCEEFF"/>
          </w:tcPr>
          <w:p>
            <w:pPr>
              <w:jc w:val="center"/>
              <w:ind w:left="964"/>
              <w:spacing w:after="0"/>
              <w:rPr>
                <w:sz w:val="20"/>
                <w:szCs w:val="20"/>
                <w:color w:val="auto"/>
              </w:rPr>
            </w:pPr>
            <w:r>
              <w:rPr>
                <w:rFonts w:ascii="Times New Roman" w:cs="Times New Roman" w:eastAsia="Times New Roman" w:hAnsi="Times New Roman"/>
                <w:sz w:val="15"/>
                <w:szCs w:val="15"/>
                <w:color w:val="auto"/>
              </w:rPr>
              <w:t>(29.5)</w:t>
            </w:r>
          </w:p>
        </w:tc>
      </w:tr>
      <w:tr>
        <w:trPr>
          <w:trHeight w:val="20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Accumulated net gains on derivatives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45.4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left="984"/>
              <w:spacing w:after="0"/>
              <w:rPr>
                <w:sz w:val="20"/>
                <w:szCs w:val="20"/>
                <w:color w:val="auto"/>
              </w:rPr>
            </w:pPr>
            <w:r>
              <w:rPr>
                <w:rFonts w:ascii="Times New Roman" w:cs="Times New Roman" w:eastAsia="Times New Roman" w:hAnsi="Times New Roman"/>
                <w:sz w:val="15"/>
                <w:szCs w:val="15"/>
                <w:color w:val="auto"/>
              </w:rPr>
              <w:t>41.7</w:t>
            </w: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center"/>
              <w:ind w:left="984"/>
              <w:spacing w:after="0"/>
              <w:rPr>
                <w:sz w:val="20"/>
                <w:szCs w:val="20"/>
                <w:color w:val="auto"/>
              </w:rPr>
            </w:pPr>
            <w:r>
              <w:rPr>
                <w:rFonts w:ascii="Times New Roman" w:cs="Times New Roman" w:eastAsia="Times New Roman" w:hAnsi="Times New Roman"/>
                <w:sz w:val="15"/>
                <w:szCs w:val="15"/>
                <w:color w:val="auto"/>
              </w:rPr>
              <w:t>12.2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 - Common and Preferred OP Units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common and preferred OP units included within Noncontrolling interests on our Consolidated Balance Sheets (in millions, except for shares and statistical information):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OP Units Outstanding</w:t>
            </w:r>
          </w:p>
        </w:tc>
        <w:tc>
          <w:tcPr>
            <w:tcW w:w="8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Annual Distribution</w:t>
            </w: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Redemption</w:t>
            </w: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196"/>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(1)</w:t>
            </w:r>
          </w:p>
        </w:tc>
        <w:tc>
          <w:tcPr>
            <w:tcW w:w="15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(2)</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Redemption</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52"/>
        </w:trPr>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Same distribution rate</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0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2,683,654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 common stock</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r>
      <w:tr>
        <w:trPr>
          <w:trHeight w:val="158"/>
        </w:trPr>
        <w:tc>
          <w:tcPr>
            <w:tcW w:w="1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A-1 preferred OP</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62"/>
        </w:trPr>
        <w:tc>
          <w:tcPr>
            <w:tcW w:w="16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Series A-3 preferred OP</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58"/>
        </w:trPr>
        <w:tc>
          <w:tcPr>
            <w:tcW w:w="1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C preferred OP</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305,748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8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r>
      <w:tr>
        <w:trPr>
          <w:trHeight w:val="162"/>
        </w:trPr>
        <w:tc>
          <w:tcPr>
            <w:tcW w:w="16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Series E preferred OP</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0.6897</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58"/>
        </w:trPr>
        <w:tc>
          <w:tcPr>
            <w:tcW w:w="1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L preferred OP</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1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25"/>
        </w:trPr>
        <w:tc>
          <w:tcPr>
            <w:tcW w:w="1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3,321,482</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Conversions to Common Stock and Common OP Units </w:t>
      </w:r>
      <w:r>
        <w:rPr>
          <w:rFonts w:ascii="Times New Roman" w:cs="Times New Roman" w:eastAsia="Times New Roman" w:hAnsi="Times New Roman"/>
          <w:sz w:val="18"/>
          <w:szCs w:val="18"/>
          <w:color w:val="auto"/>
        </w:rPr>
        <w:t>- Subject to certain limitations, holders can convert certain series of OP units to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to common OP units at any time. Below is the activity of conversions during the three months ended March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80" w:type="dxa"/>
            <w:vAlign w:val="bottom"/>
            <w:tcBorders>
              <w:bottom w:val="single" w:sz="8" w:color="auto"/>
            </w:tcBorders>
          </w:tcPr>
          <w:p>
            <w:pPr>
              <w:spacing w:after="0"/>
              <w:rPr>
                <w:sz w:val="17"/>
                <w:szCs w:val="17"/>
                <w:color w:val="auto"/>
              </w:rPr>
            </w:pPr>
          </w:p>
        </w:tc>
      </w:tr>
      <w:tr>
        <w:trPr>
          <w:trHeight w:val="200"/>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4"/>
          </w:tcPr>
          <w:p>
            <w:pPr>
              <w:ind w:left="7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440" w:type="dxa"/>
            <w:vAlign w:val="bottom"/>
            <w:gridSpan w:val="3"/>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42"/>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Conversion</w:t>
            </w:r>
          </w:p>
        </w:tc>
        <w:tc>
          <w:tcPr>
            <w:tcW w:w="126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60"/>
              <w:spacing w:after="0" w:line="142"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180" w:type="dxa"/>
            <w:vAlign w:val="bottom"/>
            <w:tcBorders>
              <w:top w:val="single" w:sz="8" w:color="auto"/>
            </w:tcBorders>
          </w:tcPr>
          <w:p>
            <w:pPr>
              <w:spacing w:after="0"/>
              <w:rPr>
                <w:sz w:val="12"/>
                <w:szCs w:val="12"/>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3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r>
      <w:tr>
        <w:trPr>
          <w:trHeight w:val="19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Aspen preferred OP units</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Various</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270,000</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86,224</w:t>
            </w:r>
          </w:p>
        </w:tc>
      </w:tr>
      <w:tr>
        <w:trPr>
          <w:trHeight w:val="20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55,781</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55,781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2,910</w:t>
            </w: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10,332</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25,195</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4,898</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r>
      <w:tr>
        <w:trPr>
          <w:trHeight w:val="20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r>
    </w:tbl>
    <w:p>
      <w:pPr>
        <w:spacing w:after="0" w:line="55"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declared for the three months ended March 31, 2024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Total Distribution (in</w:t>
            </w: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Common OP units and Restricted Stock Distributions</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Distribution Per Share</w:t>
            </w:r>
          </w:p>
        </w:tc>
        <w:tc>
          <w:tcPr>
            <w:tcW w:w="260" w:type="dxa"/>
            <w:vAlign w:val="bottom"/>
          </w:tcPr>
          <w:p>
            <w:pPr>
              <w:spacing w:after="0"/>
              <w:rPr>
                <w:sz w:val="18"/>
                <w:szCs w:val="18"/>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Millions)</w:t>
            </w:r>
          </w:p>
        </w:tc>
      </w:tr>
      <w:tr>
        <w:trPr>
          <w:trHeight w:val="200"/>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2024</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3/29/2024</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4/15/2024</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shares were granted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Grant Date Fair</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6"/>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Grant Period</w:t>
            </w: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Type</w:t>
            </w:r>
          </w:p>
        </w:tc>
        <w:tc>
          <w:tcPr>
            <w:tcW w:w="340" w:type="dxa"/>
            <w:vAlign w:val="bottom"/>
          </w:tcPr>
          <w:p>
            <w:pPr>
              <w:spacing w:after="0"/>
              <w:rPr>
                <w:sz w:val="17"/>
                <w:szCs w:val="17"/>
                <w:color w:val="auto"/>
              </w:rPr>
            </w:pPr>
          </w:p>
        </w:tc>
        <w:tc>
          <w:tcPr>
            <w:tcW w:w="3080" w:type="dxa"/>
            <w:vAlign w:val="bottom"/>
            <w:gridSpan w:val="2"/>
          </w:tcPr>
          <w:p>
            <w:pPr>
              <w:ind w:left="1180"/>
              <w:spacing w:after="0"/>
              <w:rPr>
                <w:sz w:val="20"/>
                <w:szCs w:val="20"/>
                <w:color w:val="auto"/>
              </w:rPr>
            </w:pPr>
            <w:r>
              <w:rPr>
                <w:rFonts w:ascii="Times New Roman" w:cs="Times New Roman" w:eastAsia="Times New Roman" w:hAnsi="Times New Roman"/>
                <w:sz w:val="15"/>
                <w:szCs w:val="15"/>
                <w:b w:val="1"/>
                <w:bCs w:val="1"/>
                <w:color w:val="auto"/>
              </w:rPr>
              <w:t>Plan</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 Granted</w:t>
            </w:r>
          </w:p>
        </w:tc>
        <w:tc>
          <w:tcPr>
            <w:tcW w:w="120" w:type="dxa"/>
            <w:vAlign w:val="bottom"/>
          </w:tcPr>
          <w:p>
            <w:pPr>
              <w:spacing w:after="0"/>
              <w:rPr>
                <w:sz w:val="17"/>
                <w:szCs w:val="17"/>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Value Per Share</w:t>
            </w:r>
          </w:p>
        </w:tc>
        <w:tc>
          <w:tcPr>
            <w:tcW w:w="34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Vesting Type</w:t>
            </w:r>
          </w:p>
        </w:tc>
        <w:tc>
          <w:tcPr>
            <w:tcW w:w="320" w:type="dxa"/>
            <w:vAlign w:val="bottom"/>
          </w:tcPr>
          <w:p>
            <w:pPr>
              <w:spacing w:after="0"/>
              <w:rPr>
                <w:sz w:val="17"/>
                <w:szCs w:val="17"/>
                <w:color w:val="auto"/>
              </w:rPr>
            </w:pPr>
          </w:p>
        </w:tc>
      </w:tr>
      <w:tr>
        <w:trPr>
          <w:trHeight w:val="200"/>
        </w:trPr>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205,540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132.10</w:t>
            </w:r>
          </w:p>
        </w:tc>
        <w:tc>
          <w:tcPr>
            <w:tcW w:w="340" w:type="dxa"/>
            <w:vAlign w:val="bottom"/>
            <w:tcBorders>
              <w:top w:val="single" w:sz="8" w:color="CCEEFF"/>
            </w:tcBorders>
            <w:shd w:val="clear" w:color="auto" w:fill="CCEEFF"/>
          </w:tcPr>
          <w:p>
            <w:pPr>
              <w:jc w:val="right"/>
              <w:ind w:right="150"/>
              <w:spacing w:after="0" w:line="113" w:lineRule="exact"/>
              <w:rPr>
                <w:sz w:val="20"/>
                <w:szCs w:val="20"/>
                <w:color w:val="auto"/>
              </w:rPr>
            </w:pPr>
            <w:r>
              <w:rPr>
                <w:rFonts w:ascii="Times New Roman" w:cs="Times New Roman" w:eastAsia="Times New Roman" w:hAnsi="Times New Roman"/>
                <w:sz w:val="10"/>
                <w:szCs w:val="10"/>
                <w:color w:val="auto"/>
              </w:rPr>
              <w:t>(1)</w:t>
            </w: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Borders>
              <w:top w:val="single" w:sz="8" w:color="CCEEFF"/>
            </w:tcBorders>
            <w:shd w:val="clear" w:color="auto" w:fill="CCEEFF"/>
          </w:tcPr>
          <w:p>
            <w:pPr>
              <w:spacing w:after="0"/>
              <w:rPr>
                <w:sz w:val="17"/>
                <w:szCs w:val="17"/>
                <w:color w:val="auto"/>
              </w:rPr>
            </w:pPr>
          </w:p>
        </w:tc>
      </w:tr>
      <w:tr>
        <w:trPr>
          <w:trHeight w:val="200"/>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r>
      <w:tr>
        <w:trPr>
          <w:trHeight w:val="205"/>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r>
      <w:tr>
        <w:trPr>
          <w:trHeight w:val="200"/>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(4)</w:t>
            </w:r>
          </w:p>
        </w:tc>
      </w:tr>
      <w:tr>
        <w:trPr>
          <w:trHeight w:val="205"/>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137.16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shd w:val="clear" w:color="auto" w:fill="CCEEFF"/>
          </w:tcPr>
          <w:p>
            <w:pPr>
              <w:spacing w:after="0"/>
              <w:rPr>
                <w:sz w:val="17"/>
                <w:szCs w:val="17"/>
                <w:color w:val="auto"/>
              </w:rPr>
            </w:pPr>
          </w:p>
        </w:tc>
      </w:tr>
      <w:tr>
        <w:trPr>
          <w:trHeight w:val="200"/>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144.88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r>
      <w:tr>
        <w:trPr>
          <w:trHeight w:val="205"/>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r>
      <w:tr>
        <w:trPr>
          <w:trHeight w:val="198"/>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(5)</w:t>
            </w:r>
          </w:p>
        </w:tc>
      </w:tr>
    </w:tbl>
    <w:p>
      <w:pPr>
        <w:spacing w:after="0" w:line="59"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closing price of our common stock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Monte Carlo simulation fair value price of our market condition awards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Share-based compensation for restricted stock awards with market conditions is measured based on shares expected to vest using a Monte Carlo simulation to determine fair value.</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6,000 shares that were deferred under the 2021 Non-Employee Directors Deferred Compensation Plan and are issuable on future dates.</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2,000 shares that were deferred under the 2021 Non-Employee Directors Deferred Compensation Plan and are issuable on future dates.</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vesting requirements for 166,304 and 203,898 restricted shares granted to our executives, directors and employees were satisfied during the three months ended March 31, 2024 and 2023, respectively.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capitalize a portion of share-based compensation costs for employees who work directly on construction and development of our communities. We recognized the following share-based compensation costs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8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3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37"/>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 expensed</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6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Share-based compensation - capitalized</w:t>
            </w:r>
            <w:r>
              <w:rPr>
                <w:rFonts w:ascii="Times New Roman" w:cs="Times New Roman" w:eastAsia="Times New Roman" w:hAnsi="Times New Roman"/>
                <w:sz w:val="19"/>
                <w:szCs w:val="19"/>
                <w:color w:val="auto"/>
                <w:vertAlign w:val="superscript"/>
              </w:rPr>
              <w:t>(2)</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bl>
    <w:p>
      <w:pPr>
        <w:spacing w:after="0" w:line="37"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Recorded within General and administrative expense on the Consolidated Income Statements.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Capitalized to Land improvements and buildings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establishes standards for the way that business enterprises report information about operating segments in its financial statements. As described in Note 1, "Basis of Presentation," effective January 1, 2024, we expanded our organizational structure from three segments, which consisted of (i) manufactured home ("MH") communities, (ii) recreational vehicle ("RV") communities, and (iii) Marinas to add a fourth segment that includes communities in the United Kingdom ("UK"). The new structure reflects how the chief operating decision maker manages the business, makes operating decisions, allocates resources and evaluates operating performance. Beginning with the three months ended March 31, 2024,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stockholders' equity or cash flows for any of the reclassifications.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 reportable segments are: (i) MH, (ii) RV, (iii) Marina and (iv) UK.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Marina segment owns, operates and develops marinas, and is in the business of acquiring and operating marinas in the U.S., with the majority of such marinas concentrated in coastal regions, and others located in various inland regions.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presentation of segment financial information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Pr>
          <w:p>
            <w:pPr>
              <w:spacing w:after="0"/>
              <w:rPr>
                <w:sz w:val="17"/>
                <w:szCs w:val="17"/>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RV</w:t>
            </w:r>
          </w:p>
        </w:tc>
        <w:tc>
          <w:tcPr>
            <w:tcW w:w="80" w:type="dxa"/>
            <w:vAlign w:val="bottom"/>
          </w:tcPr>
          <w:p>
            <w:pPr>
              <w:spacing w:after="0"/>
              <w:rPr>
                <w:sz w:val="17"/>
                <w:szCs w:val="17"/>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40" w:type="dxa"/>
            <w:vAlign w:val="bottom"/>
          </w:tcPr>
          <w:p>
            <w:pPr>
              <w:spacing w:after="0"/>
              <w:rPr>
                <w:sz w:val="17"/>
                <w:szCs w:val="17"/>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Pr>
          <w:p>
            <w:pPr>
              <w:spacing w:after="0"/>
              <w:rPr>
                <w:sz w:val="17"/>
                <w:szCs w:val="17"/>
                <w:color w:val="auto"/>
              </w:rPr>
            </w:pPr>
          </w:p>
        </w:tc>
        <w:tc>
          <w:tcPr>
            <w:tcW w:w="4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RV</w:t>
            </w:r>
          </w:p>
        </w:tc>
        <w:tc>
          <w:tcPr>
            <w:tcW w:w="80" w:type="dxa"/>
            <w:vAlign w:val="bottom"/>
          </w:tcPr>
          <w:p>
            <w:pPr>
              <w:spacing w:after="0"/>
              <w:rPr>
                <w:sz w:val="17"/>
                <w:szCs w:val="17"/>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60" w:type="dxa"/>
            <w:vAlign w:val="bottom"/>
          </w:tcPr>
          <w:p>
            <w:pPr>
              <w:spacing w:after="0"/>
              <w:rPr>
                <w:sz w:val="17"/>
                <w:szCs w:val="17"/>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663.7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267.4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630.3</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55.0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358.8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349.7</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280.6</w:t>
            </w:r>
          </w:p>
        </w:tc>
        <w:tc>
          <w:tcPr>
            <w:tcW w:w="0" w:type="dxa"/>
            <w:vAlign w:val="bottom"/>
          </w:tcPr>
          <w:p>
            <w:pPr>
              <w:spacing w:after="0"/>
              <w:rPr>
                <w:sz w:val="1"/>
                <w:szCs w:val="1"/>
                <w:color w:val="auto"/>
              </w:rPr>
            </w:pPr>
          </w:p>
        </w:tc>
      </w:tr>
      <w:tr>
        <w:trPr>
          <w:trHeight w:val="200"/>
        </w:trPr>
        <w:tc>
          <w:tcPr>
            <w:tcW w:w="3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on mandatorily redeemable preferred OP</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units / equity</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remeasurement of marketable securities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remeasurement of notes receivable</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Income / (loss) from nonconsolidated affiliates (see</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58"/>
        </w:trPr>
        <w:tc>
          <w:tcPr>
            <w:tcW w:w="346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investment in</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Deferred tax benefit</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158"/>
        </w:trPr>
        <w:tc>
          <w:tcPr>
            <w:tcW w:w="346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Preferred return to preferred OP units /</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interests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Less: Loss attributable to noncontrolling interests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134"/>
        </w:trPr>
        <w:tc>
          <w:tcPr>
            <w:tcW w:w="3460" w:type="dxa"/>
            <w:vAlign w:val="bottom"/>
          </w:tcPr>
          <w:p>
            <w:pPr>
              <w:ind w:left="140"/>
              <w:spacing w:after="0" w:line="134" w:lineRule="exact"/>
              <w:rPr>
                <w:sz w:val="20"/>
                <w:szCs w:val="20"/>
                <w:color w:val="auto"/>
              </w:rPr>
            </w:pPr>
            <w:r>
              <w:rPr>
                <w:rFonts w:ascii="Times New Roman" w:cs="Times New Roman" w:eastAsia="Times New Roman" w:hAnsi="Times New Roman"/>
                <w:sz w:val="15"/>
                <w:szCs w:val="15"/>
                <w:b w:val="1"/>
                <w:bCs w:val="1"/>
                <w:color w:val="auto"/>
              </w:rPr>
              <w:t>Net Loss Attributable to SUI Common</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0" w:type="dxa"/>
            <w:vAlign w:val="bottom"/>
          </w:tcPr>
          <w:p>
            <w:pPr>
              <w:spacing w:after="0"/>
              <w:rPr>
                <w:sz w:val="1"/>
                <w:szCs w:val="1"/>
                <w:color w:val="auto"/>
              </w:rPr>
            </w:pPr>
          </w:p>
        </w:tc>
      </w:tr>
      <w:tr>
        <w:trPr>
          <w:trHeight w:val="188"/>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5"/>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5"/>
                <w:szCs w:val="15"/>
                <w:b w:val="1"/>
                <w:bCs w:val="1"/>
                <w:color w:val="auto"/>
              </w:rPr>
              <w:t>December 31, 2023</w:t>
            </w:r>
            <w:r>
              <w:rPr>
                <w:rFonts w:ascii="Times New Roman" w:cs="Times New Roman" w:eastAsia="Times New Roman" w:hAnsi="Times New Roman"/>
                <w:sz w:val="19"/>
                <w:szCs w:val="19"/>
                <w:b w:val="1"/>
                <w:bCs w:val="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196"/>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60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RV</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8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Identifiable Assets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5,267.9</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3,257.6</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2,233.2</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14,457.9</w:t>
            </w:r>
          </w:p>
        </w:tc>
        <w:tc>
          <w:tcPr>
            <w:tcW w:w="14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5,317.4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3,718.8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3,214.5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2,192.9</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14,443.6</w:t>
            </w:r>
          </w:p>
        </w:tc>
      </w:tr>
      <w:tr>
        <w:trPr>
          <w:trHeight w:val="160"/>
        </w:trPr>
        <w:tc>
          <w:tcPr>
            <w:tcW w:w="220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Cash, cash equivalents and</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06"/>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r>
      <w:tr>
        <w:trPr>
          <w:trHeight w:val="158"/>
        </w:trPr>
        <w:tc>
          <w:tcPr>
            <w:tcW w:w="2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Inventory of manufactured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2"/>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homes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205.6</w:t>
            </w:r>
          </w:p>
        </w:tc>
      </w:tr>
      <w:tr>
        <w:trPr>
          <w:trHeight w:val="207"/>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5"/>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733.0</w:t>
            </w: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w:t>
            </w:r>
          </w:p>
        </w:tc>
      </w:tr>
      <w:tr>
        <w:trPr>
          <w:trHeight w:val="205"/>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668.5</w:t>
            </w:r>
          </w:p>
        </w:tc>
      </w:tr>
      <w:tr>
        <w:trPr>
          <w:trHeight w:val="196"/>
        </w:trPr>
        <w:tc>
          <w:tcPr>
            <w:tcW w:w="2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5,983.7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4,007.8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4,374.6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2,747.2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17,113.3</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5,941.2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3,960.7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4,309.6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2,729.2</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16,940.7</w:t>
            </w: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Recast to reflect segment changes.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three months ended March 31, 2024.</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United Kingdom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United Kingdom withholding taxes on distributions from our United Kingdom properties.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interest and basis differences between tax and GAAP. Our deferred tax assets that have a full valuation allowance relate to our taxable REIT subsidiaries. As of March 31, 2024, we had $309.1 million of net deferred tax liabilities, comprised of deferred tax assets, net of valuation allowance of $61.9 million, and deferred tax liabilities of $371.0 million. The deferred tax liability balance is comprised primarily of basis differences in our foreign investment in properties in the United Kingdom and Canada. As of December 31, 2023, we had $277.1 million of net deferred tax liabilities, comprised of deferred tax assets, net of valuation allowance of $58.1 million, and deferred tax liabilities of $335.2 million. The net deferred tax assets and deferred tax liabilities are recorded within Other assets and Other liabilities, respectively, on our Consolidated Balance Sheets as of March 31, 2024 and December 31, 2023.</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unrecognized tax benefits as of March 31, 2024 and 2023. We do not expect significant changes in tax positions that would result in unrecognized tax benefits within one year of March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recorded current tax expense for federal, state, Canadian, Puerto Rican, and United Kingdom income taxes totaling $2.1 million. For the three months ended March 31, 2023, we recorded current tax expense for federal, state, Canadian, Puerto Rican, and United Kingdom income taxes and Australian withholding taxes totaling $3.9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we recorded a deferred tax benefit of $5.7 million and $4.6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Loss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per share ("EPS") is computed by dividing net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enter into forward equity sales agreements, which are discussed in Note 10,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Series L preferred OP units, which, if converted or exercised, may impact dilution.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Computations of basic and diluted EPS were as follows (in millions, except for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0"/>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196"/>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200"/>
        </w:trPr>
        <w:tc>
          <w:tcPr>
            <w:tcW w:w="8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attributable to SUI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0" w:type="dxa"/>
            <w:vAlign w:val="bottom"/>
          </w:tcPr>
          <w:p>
            <w:pPr>
              <w:spacing w:after="0"/>
              <w:rPr>
                <w:sz w:val="1"/>
                <w:szCs w:val="1"/>
                <w:color w:val="auto"/>
              </w:rPr>
            </w:pPr>
          </w:p>
        </w:tc>
      </w:tr>
      <w:tr>
        <w:trPr>
          <w:trHeight w:val="205"/>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allocation to restricted stock awards</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4"/>
        </w:trPr>
        <w:tc>
          <w:tcPr>
            <w:tcW w:w="8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earnings - net loss attributable to common shareholders after allocation to restricted stock awards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0" w:type="dxa"/>
            <w:vAlign w:val="bottom"/>
          </w:tcPr>
          <w:p>
            <w:pPr>
              <w:spacing w:after="0"/>
              <w:rPr>
                <w:sz w:val="1"/>
                <w:szCs w:val="1"/>
                <w:color w:val="auto"/>
              </w:rPr>
            </w:pPr>
          </w:p>
        </w:tc>
      </w:tr>
      <w:tr>
        <w:trPr>
          <w:trHeight w:val="205"/>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allocation to common and preferred OP units dilutive effect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Add: allocation to restricted stock awards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5"/>
                <w:szCs w:val="15"/>
                <w:color w:val="auto"/>
              </w:rPr>
              <w:t>Diluted earnings - net loss attributable to common shareholders after allocation to common and preferred OP units</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0" w:type="dxa"/>
            <w:vAlign w:val="bottom"/>
          </w:tcPr>
          <w:p>
            <w:pPr>
              <w:spacing w:after="0"/>
              <w:rPr>
                <w:sz w:val="1"/>
                <w:szCs w:val="1"/>
                <w:color w:val="auto"/>
              </w:rPr>
            </w:pPr>
          </w:p>
        </w:tc>
      </w:tr>
      <w:tr>
        <w:trPr>
          <w:trHeight w:val="205"/>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dilutive restricted stock</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Add: common and preferred OP units dilutive effect</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5"/>
                <w:szCs w:val="15"/>
                <w:color w:val="auto"/>
              </w:rPr>
              <w:t>Diluted weighted average common shares and securities</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EPS Available to Common Shareholders After Allocation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0" w:type="dxa"/>
            <w:vAlign w:val="bottom"/>
          </w:tcPr>
          <w:p>
            <w:pPr>
              <w:spacing w:after="0"/>
              <w:rPr>
                <w:sz w:val="1"/>
                <w:szCs w:val="1"/>
                <w:color w:val="auto"/>
              </w:rPr>
            </w:pPr>
          </w:p>
        </w:tc>
      </w:tr>
      <w:tr>
        <w:trPr>
          <w:trHeight w:val="235"/>
        </w:trPr>
        <w:tc>
          <w:tcPr>
            <w:tcW w:w="8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loss per share</w:t>
            </w:r>
            <w:r>
              <w:rPr>
                <w:rFonts w:ascii="Times New Roman" w:cs="Times New Roman" w:eastAsia="Times New Roman" w:hAnsi="Times New Roman"/>
                <w:sz w:val="9"/>
                <w:szCs w:val="9"/>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80" w:hanging="172"/>
        <w:spacing w:after="0" w:line="230" w:lineRule="auto"/>
        <w:tabs>
          <w:tab w:leader="none" w:pos="168"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2024 and March 31, 2023, diluted loss per share was calculated using the treasury stock method for restricted common shares as the application of this method resulted in a more diluted loss per share during those periods.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computations of diluted EPS as of March 31, 2024 and 2023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40" w:type="dxa"/>
            <w:vAlign w:val="bottom"/>
          </w:tcPr>
          <w:p>
            <w:pPr>
              <w:spacing w:after="0"/>
              <w:rPr>
                <w:sz w:val="17"/>
                <w:szCs w:val="17"/>
                <w:color w:val="auto"/>
              </w:rPr>
            </w:pPr>
          </w:p>
        </w:tc>
        <w:tc>
          <w:tcPr>
            <w:tcW w:w="172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200"/>
        </w:trPr>
        <w:tc>
          <w:tcPr>
            <w:tcW w:w="8240" w:type="dxa"/>
            <w:vAlign w:val="bottom"/>
          </w:tcPr>
          <w:p>
            <w:pPr>
              <w:spacing w:after="0"/>
              <w:rPr>
                <w:sz w:val="17"/>
                <w:szCs w:val="17"/>
                <w:color w:val="auto"/>
              </w:rPr>
            </w:pP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A-1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r>
      <w:tr>
        <w:trPr>
          <w:trHeight w:val="20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A-3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3"/>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Aspen preferred OP units</w:t>
            </w:r>
            <w:r>
              <w:rPr>
                <w:rFonts w:ascii="Times New Roman" w:cs="Times New Roman" w:eastAsia="Times New Roman" w:hAnsi="Times New Roman"/>
                <w:sz w:val="19"/>
                <w:szCs w:val="19"/>
                <w:color w:val="auto"/>
                <w:vertAlign w:val="superscript"/>
              </w:rPr>
              <w:t>(1)</w:t>
            </w:r>
          </w:p>
        </w:tc>
        <w:tc>
          <w:tcPr>
            <w:tcW w:w="1720" w:type="dxa"/>
            <w:vAlign w:val="bottom"/>
            <w:gridSpan w:val="3"/>
          </w:tcPr>
          <w:p>
            <w:pPr>
              <w:ind w:left="1180"/>
              <w:spacing w:after="0"/>
              <w:rPr>
                <w:sz w:val="20"/>
                <w:szCs w:val="20"/>
                <w:color w:val="auto"/>
              </w:rPr>
            </w:pPr>
            <w:r>
              <w:rPr>
                <w:rFonts w:ascii="Times New Roman" w:cs="Times New Roman" w:eastAsia="Times New Roman" w:hAnsi="Times New Roman"/>
                <w:sz w:val="15"/>
                <w:szCs w:val="15"/>
                <w:color w:val="auto"/>
              </w:rPr>
              <w:t>N/A</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r>
      <w:tr>
        <w:trPr>
          <w:trHeight w:val="20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r>
      <w:tr>
        <w:trPr>
          <w:trHeight w:val="20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K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L preferred OP units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198"/>
        </w:trPr>
        <w:tc>
          <w:tcPr>
            <w:tcW w:w="824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4,262</w:t>
            </w:r>
          </w:p>
        </w:tc>
      </w:tr>
      <w:tr>
        <w:trPr>
          <w:trHeight w:val="20"/>
        </w:trPr>
        <w:tc>
          <w:tcPr>
            <w:tcW w:w="8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38"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of our outstanding Aspen preferred OP units converted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Derivative Financial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typically enter into treasury rate locks, interest rate swaps, and forward swaps to accomplish this objective. We do not enter into derivative instruments for speculative purposes. 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and December 31, 2023, we held 7 and 13 derivative contracts, which have each been designated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risks being hedged are the interest rate risk related to outstanding floating rate debt and forecasted debt issuance transactions, and the benchmark interest rates used are the SOFR and the SONIA Rate. The unrealized gains or losses on the derivative instruments are recorded in AOCI and are reclassified to Interest expense on the Consolidated Statements of Operations during the same period in which the hedged transaction affects earnings. We estimate that $16.3 million will be reclassified as a reduction to Interest expense over the next 12 months for all of our outstanding cash flow hedges. Cash flow from these derivative instruments is classified in the same category as the cash flow items being hedged on the Consolidated Statements of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Contract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we entered into the following derivative contracts (with notional 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Index</w:t>
            </w:r>
          </w:p>
        </w:tc>
        <w:tc>
          <w:tcPr>
            <w:tcW w:w="2440" w:type="dxa"/>
            <w:vAlign w:val="bottom"/>
          </w:tcPr>
          <w:p>
            <w:pPr>
              <w:spacing w:after="0"/>
              <w:rPr>
                <w:sz w:val="15"/>
                <w:szCs w:val="15"/>
                <w:color w:val="auto"/>
              </w:rPr>
            </w:pPr>
          </w:p>
        </w:tc>
      </w:tr>
      <w:tr>
        <w:trPr>
          <w:trHeight w:val="206"/>
        </w:trPr>
        <w:tc>
          <w:tcPr>
            <w:tcW w:w="3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80" w:type="dxa"/>
            <w:vAlign w:val="bottom"/>
          </w:tcPr>
          <w:p>
            <w:pPr>
              <w:spacing w:after="0"/>
              <w:rPr>
                <w:sz w:val="17"/>
                <w:szCs w:val="17"/>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Instrument Type</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20" w:type="dxa"/>
            <w:vAlign w:val="bottom"/>
          </w:tcPr>
          <w:p>
            <w:pPr>
              <w:spacing w:after="0"/>
              <w:rPr>
                <w:sz w:val="17"/>
                <w:szCs w:val="17"/>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244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rPr>
              <w:t>Hedged Item</w:t>
            </w:r>
          </w:p>
        </w:tc>
      </w:tr>
      <w:tr>
        <w:trPr>
          <w:trHeight w:val="200"/>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2024</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Future Debt Offering</w:t>
            </w:r>
          </w:p>
        </w:tc>
      </w:tr>
      <w:tr>
        <w:trPr>
          <w:trHeight w:val="270"/>
        </w:trPr>
        <w:tc>
          <w:tcPr>
            <w:tcW w:w="3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2023</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9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bscript"/>
              </w:rPr>
              <w:t>GBP</w:t>
            </w:r>
            <w:r>
              <w:rPr>
                <w:rFonts w:ascii="Times New Roman" w:cs="Times New Roman" w:eastAsia="Times New Roman" w:hAnsi="Times New Roman"/>
                <w:sz w:val="9"/>
                <w:szCs w:val="9"/>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SONIA</w:t>
            </w: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Loan Senior Credit Facility</w:t>
            </w:r>
          </w:p>
        </w:tc>
      </w:tr>
      <w:tr>
        <w:trPr>
          <w:trHeight w:val="200"/>
        </w:trPr>
        <w:tc>
          <w:tcPr>
            <w:tcW w:w="32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Future Debt Offering</w:t>
            </w:r>
          </w:p>
        </w:tc>
      </w:tr>
      <w:tr>
        <w:trPr>
          <w:trHeight w:val="198"/>
        </w:trPr>
        <w:tc>
          <w:tcPr>
            <w:tcW w:w="3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bl>
    <w:p>
      <w:pPr>
        <w:spacing w:after="0" w:line="55"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notional amount of the swap contract in local currency is £100.0 million. The USD equivalent amount is converted as of December 31,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we terminated the following derivative contracts (amounts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Cash Settlement</w:t>
            </w:r>
          </w:p>
        </w:tc>
        <w:tc>
          <w:tcPr>
            <w:tcW w:w="280" w:type="dxa"/>
            <w:vAlign w:val="bottom"/>
          </w:tcPr>
          <w:p>
            <w:pPr>
              <w:spacing w:after="0"/>
              <w:rPr>
                <w:sz w:val="15"/>
                <w:szCs w:val="15"/>
                <w:color w:val="auto"/>
              </w:rPr>
            </w:pPr>
          </w:p>
        </w:tc>
      </w:tr>
      <w:tr>
        <w:trPr>
          <w:trHeight w:val="212"/>
        </w:trPr>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60" w:type="dxa"/>
            <w:vAlign w:val="bottom"/>
            <w:gridSpan w:val="2"/>
          </w:tcPr>
          <w:p>
            <w:pPr>
              <w:ind w:left="13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Notional Amount</w:t>
            </w:r>
          </w:p>
        </w:tc>
        <w:tc>
          <w:tcPr>
            <w:tcW w:w="240" w:type="dxa"/>
            <w:vAlign w:val="bottom"/>
          </w:tcPr>
          <w:p>
            <w:pPr>
              <w:spacing w:after="0"/>
              <w:rPr>
                <w:sz w:val="18"/>
                <w:szCs w:val="18"/>
                <w:color w:val="auto"/>
              </w:rPr>
            </w:pPr>
          </w:p>
        </w:tc>
        <w:tc>
          <w:tcPr>
            <w:tcW w:w="182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Receipt / (Payment)</w:t>
            </w:r>
          </w:p>
        </w:tc>
        <w:tc>
          <w:tcPr>
            <w:tcW w:w="280" w:type="dxa"/>
            <w:vAlign w:val="bottom"/>
          </w:tcPr>
          <w:p>
            <w:pPr>
              <w:spacing w:after="0"/>
              <w:rPr>
                <w:sz w:val="18"/>
                <w:szCs w:val="18"/>
                <w:color w:val="auto"/>
              </w:rPr>
            </w:pPr>
          </w:p>
        </w:tc>
      </w:tr>
      <w:tr>
        <w:trPr>
          <w:trHeight w:val="200"/>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2024</w:t>
            </w:r>
          </w:p>
        </w:tc>
        <w:tc>
          <w:tcPr>
            <w:tcW w:w="8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Forward Swap</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top w:val="single" w:sz="8" w:color="CCEEFF"/>
            </w:tcBorders>
            <w:shd w:val="clear" w:color="auto" w:fill="CCEEFF"/>
          </w:tcPr>
          <w:p>
            <w:pPr>
              <w:jc w:val="right"/>
              <w:ind w:right="30"/>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2023</w:t>
            </w:r>
          </w:p>
        </w:tc>
        <w:tc>
          <w:tcPr>
            <w:tcW w:w="30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Treasury Rate Locks &amp; Forward Swap</w:t>
            </w:r>
            <w:r>
              <w:rPr>
                <w:rFonts w:ascii="Times New Roman" w:cs="Times New Roman" w:eastAsia="Times New Roman" w:hAnsi="Times New Roman"/>
                <w:sz w:val="19"/>
                <w:szCs w:val="19"/>
                <w:color w:val="auto"/>
                <w:vertAlign w:val="superscript"/>
              </w:rPr>
              <w:t>(2)</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rPr>
              <w:t>(2)</w:t>
            </w:r>
          </w:p>
        </w:tc>
      </w:tr>
    </w:tbl>
    <w:p>
      <w:pPr>
        <w:spacing w:after="0" w:line="55"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seven forward swap contracts which were terminated in connection with the 2029 Notes issuance.</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includes two $100.0 million treasury rate locks and one $50.0 million forward swap which were terminated in connection with the 2033 Notes issuance.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our derivative financial instruments and the associated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46"/>
        </w:trPr>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120" w:type="dxa"/>
            <w:vAlign w:val="bottom"/>
          </w:tcPr>
          <w:p>
            <w:pPr>
              <w:spacing w:after="0"/>
              <w:rPr>
                <w:sz w:val="12"/>
                <w:szCs w:val="12"/>
                <w:color w:val="auto"/>
              </w:rPr>
            </w:pPr>
          </w:p>
        </w:tc>
        <w:tc>
          <w:tcPr>
            <w:tcW w:w="108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120" w:type="dxa"/>
            <w:vAlign w:val="bottom"/>
          </w:tcPr>
          <w:p>
            <w:pPr>
              <w:spacing w:after="0"/>
              <w:rPr>
                <w:sz w:val="12"/>
                <w:szCs w:val="12"/>
                <w:color w:val="auto"/>
              </w:rPr>
            </w:pPr>
          </w:p>
        </w:tc>
        <w:tc>
          <w:tcPr>
            <w:tcW w:w="108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5"/>
                <w:szCs w:val="15"/>
                <w:b w:val="1"/>
                <w:bCs w:val="1"/>
                <w:color w:val="auto"/>
                <w:w w:val="98"/>
              </w:rPr>
              <w:t>Fair Value</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100" w:type="dxa"/>
            <w:vAlign w:val="bottom"/>
          </w:tcPr>
          <w:p>
            <w:pPr>
              <w:spacing w:after="0"/>
              <w:rPr>
                <w:sz w:val="18"/>
                <w:szCs w:val="18"/>
                <w:color w:val="auto"/>
              </w:rPr>
            </w:pPr>
          </w:p>
        </w:tc>
        <w:tc>
          <w:tcPr>
            <w:tcW w:w="1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5"/>
                <w:szCs w:val="15"/>
                <w:b w:val="1"/>
                <w:bCs w:val="1"/>
                <w:color w:val="auto"/>
                <w:w w:val="95"/>
              </w:rPr>
              <w:t>of Assets</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line="216" w:lineRule="exact"/>
              <w:rPr>
                <w:sz w:val="20"/>
                <w:szCs w:val="20"/>
                <w:color w:val="auto"/>
              </w:rPr>
            </w:pPr>
            <w:r>
              <w:rPr>
                <w:rFonts w:ascii="Times New Roman" w:cs="Times New Roman" w:eastAsia="Times New Roman" w:hAnsi="Times New Roman"/>
                <w:sz w:val="15"/>
                <w:szCs w:val="15"/>
                <w:b w:val="1"/>
                <w:bCs w:val="1"/>
                <w:color w:val="auto"/>
                <w:w w:val="98"/>
              </w:rPr>
              <w:t>of Liabilities</w:t>
            </w:r>
            <w:r>
              <w:rPr>
                <w:rFonts w:ascii="Times New Roman" w:cs="Times New Roman" w:eastAsia="Times New Roman" w:hAnsi="Times New Roman"/>
                <w:sz w:val="19"/>
                <w:szCs w:val="19"/>
                <w:b w:val="1"/>
                <w:bCs w:val="1"/>
                <w:color w:val="auto"/>
                <w:w w:val="98"/>
                <w:vertAlign w:val="superscript"/>
              </w:rPr>
              <w:t>(2)</w:t>
            </w:r>
          </w:p>
        </w:tc>
        <w:tc>
          <w:tcPr>
            <w:tcW w:w="200" w:type="dxa"/>
            <w:vAlign w:val="bottom"/>
          </w:tcPr>
          <w:p>
            <w:pPr>
              <w:spacing w:after="0"/>
              <w:rPr>
                <w:sz w:val="18"/>
                <w:szCs w:val="18"/>
                <w:color w:val="auto"/>
              </w:rPr>
            </w:pPr>
          </w:p>
        </w:tc>
        <w:tc>
          <w:tcPr>
            <w:tcW w:w="9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5"/>
                <w:szCs w:val="15"/>
                <w:b w:val="1"/>
                <w:bCs w:val="1"/>
                <w:color w:val="auto"/>
                <w:w w:val="95"/>
              </w:rPr>
              <w:t>of Assets</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8"/>
                <w:szCs w:val="18"/>
                <w:color w:val="auto"/>
              </w:rPr>
            </w:pPr>
          </w:p>
        </w:tc>
        <w:tc>
          <w:tcPr>
            <w:tcW w:w="1080" w:type="dxa"/>
            <w:vAlign w:val="bottom"/>
          </w:tcPr>
          <w:p>
            <w:pPr>
              <w:jc w:val="center"/>
              <w:ind w:right="44"/>
              <w:spacing w:after="0" w:line="216" w:lineRule="exact"/>
              <w:rPr>
                <w:sz w:val="20"/>
                <w:szCs w:val="20"/>
                <w:color w:val="auto"/>
              </w:rPr>
            </w:pPr>
            <w:r>
              <w:rPr>
                <w:rFonts w:ascii="Times New Roman" w:cs="Times New Roman" w:eastAsia="Times New Roman" w:hAnsi="Times New Roman"/>
                <w:sz w:val="15"/>
                <w:szCs w:val="15"/>
                <w:b w:val="1"/>
                <w:bCs w:val="1"/>
                <w:color w:val="auto"/>
                <w:w w:val="96"/>
              </w:rPr>
              <w:t>of Liabilities</w:t>
            </w:r>
            <w:r>
              <w:rPr>
                <w:rFonts w:ascii="Times New Roman" w:cs="Times New Roman" w:eastAsia="Times New Roman" w:hAnsi="Times New Roman"/>
                <w:sz w:val="19"/>
                <w:szCs w:val="19"/>
                <w:b w:val="1"/>
                <w:bCs w:val="1"/>
                <w:color w:val="auto"/>
                <w:w w:val="96"/>
                <w:vertAlign w:val="superscript"/>
              </w:rPr>
              <w:t>(2)</w:t>
            </w:r>
          </w:p>
        </w:tc>
      </w:tr>
      <w:tr>
        <w:trPr>
          <w:trHeight w:val="196"/>
        </w:trPr>
        <w:tc>
          <w:tcPr>
            <w:tcW w:w="3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bl>
    <w:p>
      <w:pPr>
        <w:spacing w:after="0" w:line="55"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within Other assets, net on the Consolidated Balance Sheets.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within Other liabilities on the Consolidated Balance Sheets.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16, "Fair Value Measurements," for additional information related to the fair value methodology used for derivative financial instruments.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gains / (losses) on derivatives in cash flow hedging relationships recognized in OCI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2"/>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3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gains on derivative instruments reclassified from AOCI into earnings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8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200"/>
        </w:trPr>
        <w:tc>
          <w:tcPr>
            <w:tcW w:w="64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primarily of cash, cash equivalents and restricted cash, notes and other receivables, derivative assets, debt, warrants and other liabilities. We utilize fair value measurements to record fair value adjustments to certain assets and liabilities and to determine fair value disclosures, pursuant to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following methods and assumptions were used in order to estimate the fair value of each class of financial instruments for which it is practicable to estimate that value: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by Hierarchy Level</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sets forth our financial assets and liabilities (in millions) that required disclosure of fair value on a recurring basis as of March 31, 2024. The table presents the carrying values and fair values of our financial instruments as of March 31, 2024 and December 31, 2023,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financial instruments are classified as Level 1 in the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ind w:right="4"/>
              <w:spacing w:after="0" w:line="148"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center"/>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b w:val="1"/>
                <w:bCs w:val="1"/>
                <w:color w:val="auto"/>
                <w:w w:val="99"/>
              </w:rPr>
              <w:t>Liabilities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132.5</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360" w:type="dxa"/>
            <w:vAlign w:val="bottom"/>
            <w:tcBorders>
              <w:top w:val="single" w:sz="8" w:color="auto"/>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Mortgage loan payable</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3,465.5</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3,089.3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3,089.3</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borrowings on collateralized receivables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secured debt</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3,521.6</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3,089.3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3,145.4</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2,673.7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2,440.0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2,440.0</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1,676.7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1,676.7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1,676.7</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4,350.4</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4,116.7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4,116.7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360" w:type="dxa"/>
            <w:vAlign w:val="bottom"/>
            <w:tcBorders>
              <w:top w:val="single" w:sz="8" w:color="auto"/>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7,893.1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7,206.9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7,283.2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Mortgage loan payable</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3,478.9</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3,167.0</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borrowings on collateralized receivables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secured debt</w:t>
            </w: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3,167.0</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3,222.8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4,038.3</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4,038.3</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7,289.0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approximate their fair market values due to the short-term nature of the instruments. These are classified as Level 1 in the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is measured by the quoted unadjusted share price which is readily available in active markets (Level 1). We had zero marketable securities as of March 31, 2024. The change in the marketable securities balance was as follows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Change in fair value measurement</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Foreign currency exchange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Dispositions</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6"/>
        </w:trPr>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w:t>
            </w:r>
          </w:p>
        </w:tc>
      </w:tr>
      <w:tr>
        <w:trPr>
          <w:trHeight w:val="199"/>
        </w:trPr>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203"/>
        </w:trPr>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207"/>
        </w:trPr>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(103.5)</w:t>
            </w:r>
          </w:p>
        </w:tc>
      </w:tr>
      <w:tr>
        <w:trPr>
          <w:trHeight w:val="198"/>
        </w:trPr>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8660" w:space="720"/>
            <w:col w:w="1860"/>
          </w:cols>
          <w:pgMar w:left="320" w:top="124" w:right="339" w:bottom="1440" w:gutter="0" w:footer="0" w:header="0"/>
          <w:type w:val="continuous"/>
        </w:sectPr>
      </w:pPr>
    </w:p>
    <w:p>
      <w:pPr>
        <w:ind w:left="180" w:hanging="172"/>
        <w:spacing w:after="0" w:line="230" w:lineRule="auto"/>
        <w:tabs>
          <w:tab w:leader="none" w:pos="167"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year ended December 31, 2023, we sold our 41.8 million share position in Ingenia, generating $102.5 million of proceeds, net of $1.0 million of underwriting and other fees, with a realized loss of $8.0 million. The proceeds were used to pay down amounts drawn under our Senior Credit Facility.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 and Collateralized Receivables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and Note 5, "Collateralized Receivables and Transfers of Financial Assets,"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4, "Notes and Other Receivables,"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Assets and Liabilities - Interest Rate Derivatives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derivatives are recorded at fair value and consist of treasury rate lock contracts, interest rate swaps and forward swaps. The fair value of these financial instruments are measured using observable inputs based on the 10-year Treasury note rate, the SOFR and SONIA Rates, respectively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9, "Debt and Line of Credit," for additional information.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borrowings on collateralized receivables - recorded at fair value and adjusted based on the same interest rates as the related collateralized receivables (Level 3). Refer to Note 5, "Collateralized Receivables and Transfers of Financial Assets," and Note 9, "Debt and Line of Credit," for additional information.</w:t>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Debt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Senior unsecured notes - the fair value of senior unsecured notes is based on the estimates of management and on rates currently quoted, rates currently prevailing for comparable loans and instruments of comparable maturities (Level 2). Refer to Note 9, "Debt and Line of Credit,"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debt as of March 31, 2024 approximated its gross carrying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Liabilities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Reconciliation, Measurements and Transfers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changes to our financial instruments carried at fair value and classified within Level 3 of the fair value hierarchy for the three months ended March 31, 2024 and 2023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w:t>
            </w:r>
          </w:p>
        </w:tc>
        <w:tc>
          <w:tcPr>
            <w:tcW w:w="1480" w:type="dxa"/>
            <w:vAlign w:val="bottom"/>
            <w:gridSpan w:val="3"/>
          </w:tcPr>
          <w:p>
            <w:pPr>
              <w:jc w:val="center"/>
              <w:ind w:right="28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w:t>
            </w:r>
          </w:p>
        </w:tc>
        <w:tc>
          <w:tcPr>
            <w:tcW w:w="120" w:type="dxa"/>
            <w:vAlign w:val="bottom"/>
          </w:tcPr>
          <w:p>
            <w:pPr>
              <w:spacing w:after="0"/>
              <w:rPr>
                <w:sz w:val="12"/>
                <w:szCs w:val="12"/>
                <w:color w:val="auto"/>
              </w:rPr>
            </w:pPr>
          </w:p>
        </w:tc>
        <w:tc>
          <w:tcPr>
            <w:tcW w:w="130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Notes</w:t>
            </w:r>
          </w:p>
        </w:tc>
        <w:tc>
          <w:tcPr>
            <w:tcW w:w="1480" w:type="dxa"/>
            <w:vAlign w:val="bottom"/>
            <w:gridSpan w:val="3"/>
          </w:tcPr>
          <w:p>
            <w:pPr>
              <w:jc w:val="center"/>
              <w:ind w:right="260"/>
              <w:spacing w:after="0" w:line="156"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3"/>
                <w:szCs w:val="13"/>
                <w:color w:val="auto"/>
              </w:rPr>
            </w:pP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Collateralized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Notes</w:t>
            </w:r>
          </w:p>
        </w:tc>
        <w:tc>
          <w:tcPr>
            <w:tcW w:w="120" w:type="dxa"/>
            <w:vAlign w:val="bottom"/>
          </w:tcPr>
          <w:p>
            <w:pPr>
              <w:spacing w:after="0"/>
              <w:rPr>
                <w:sz w:val="13"/>
                <w:szCs w:val="13"/>
                <w:color w:val="auto"/>
              </w:rPr>
            </w:pPr>
          </w:p>
        </w:tc>
        <w:tc>
          <w:tcPr>
            <w:tcW w:w="130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3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w:t>
            </w:r>
          </w:p>
        </w:tc>
        <w:tc>
          <w:tcPr>
            <w:tcW w:w="10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5"/>
                <w:szCs w:val="15"/>
                <w:b w:val="1"/>
                <w:bCs w:val="1"/>
                <w:color w:val="auto"/>
              </w:rPr>
              <w:t>Developers and</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Developers and</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0" w:type="dxa"/>
            <w:vAlign w:val="bottom"/>
          </w:tcPr>
          <w:p>
            <w:pPr>
              <w:spacing w:after="0"/>
              <w:rPr>
                <w:sz w:val="1"/>
                <w:szCs w:val="1"/>
                <w:color w:val="auto"/>
              </w:rPr>
            </w:pPr>
          </w:p>
        </w:tc>
      </w:tr>
      <w:tr>
        <w:trPr>
          <w:trHeight w:val="202"/>
        </w:trPr>
        <w:tc>
          <w:tcPr>
            <w:tcW w:w="3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MH, net</w:t>
            </w:r>
          </w:p>
        </w:tc>
        <w:tc>
          <w:tcPr>
            <w:tcW w:w="10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Receivables, net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MH,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00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Level 3 beginning balance at December 31,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 and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134.5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Realized gains / (losses)</w:t>
            </w:r>
          </w:p>
        </w:tc>
        <w:tc>
          <w:tcPr>
            <w:tcW w:w="120" w:type="dxa"/>
            <w:vAlign w:val="bottom"/>
          </w:tcPr>
          <w:p>
            <w:pPr>
              <w:spacing w:after="0"/>
              <w:rPr>
                <w:sz w:val="17"/>
                <w:szCs w:val="17"/>
                <w:color w:val="auto"/>
              </w:rPr>
            </w:pPr>
          </w:p>
        </w:tc>
        <w:tc>
          <w:tcPr>
            <w:tcW w:w="1200" w:type="dxa"/>
            <w:vAlign w:val="bottom"/>
            <w:gridSpan w:val="2"/>
          </w:tcPr>
          <w:p>
            <w:pPr>
              <w:ind w:left="70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(1)</w:t>
            </w:r>
          </w:p>
        </w:tc>
        <w:tc>
          <w:tcPr>
            <w:tcW w:w="100" w:type="dxa"/>
            <w:vAlign w:val="bottom"/>
          </w:tcPr>
          <w:p>
            <w:pPr>
              <w:spacing w:after="0"/>
              <w:rPr>
                <w:sz w:val="17"/>
                <w:szCs w:val="17"/>
                <w:color w:val="auto"/>
              </w:rPr>
            </w:pPr>
          </w:p>
        </w:tc>
        <w:tc>
          <w:tcPr>
            <w:tcW w:w="138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5"/>
                <w:szCs w:val="15"/>
                <w:color w:val="auto"/>
              </w:rPr>
              <w:t xml:space="preserve">(0.8)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600"/>
              <w:spacing w:after="0" w:line="203" w:lineRule="exact"/>
              <w:rPr>
                <w:sz w:val="20"/>
                <w:szCs w:val="20"/>
                <w:color w:val="auto"/>
              </w:rPr>
            </w:pPr>
            <w:r>
              <w:rPr>
                <w:rFonts w:ascii="Times New Roman" w:cs="Times New Roman" w:eastAsia="Times New Roman" w:hAnsi="Times New Roman"/>
                <w:sz w:val="15"/>
                <w:szCs w:val="15"/>
                <w:color w:val="auto"/>
                <w:w w:val="97"/>
              </w:rPr>
              <w:t xml:space="preserve">(1.7) </w:t>
            </w:r>
            <w:r>
              <w:rPr>
                <w:rFonts w:ascii="Times New Roman" w:cs="Times New Roman" w:eastAsia="Times New Roman" w:hAnsi="Times New Roman"/>
                <w:sz w:val="19"/>
                <w:szCs w:val="19"/>
                <w:color w:val="auto"/>
                <w:w w:val="97"/>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5"/>
                <w:szCs w:val="15"/>
                <w:color w:val="auto"/>
              </w:rPr>
              <w:t xml:space="preserve">(0.4) </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exchange losses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color w:val="auto"/>
              </w:rPr>
              <w:t>Level 3 ending balance at March 31, 2024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2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127.7</w:t>
            </w:r>
          </w:p>
        </w:tc>
        <w:tc>
          <w:tcPr>
            <w:tcW w:w="2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recorded within Loss on remeasurement of notes receivable on the Consolidated Statements of Operations.</w:t>
      </w:r>
    </w:p>
    <w:p>
      <w:pPr>
        <w:spacing w:after="0" w:line="59"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gains recorded within Other income / (expense), net on the Consolidated Statements of Operations.</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recorded within Income / (loss) from nonconsolidated affiliates within on the Consolidated Statements of Operations.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100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5"/>
                <w:szCs w:val="15"/>
                <w:b w:val="1"/>
                <w:bCs w:val="1"/>
                <w:color w:val="auto"/>
              </w:rPr>
              <w:t>Secured Borrowing on</w:t>
            </w:r>
          </w:p>
        </w:tc>
        <w:tc>
          <w:tcPr>
            <w:tcW w:w="20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180" w:type="dxa"/>
            <w:vAlign w:val="bottom"/>
          </w:tcPr>
          <w:p>
            <w:pPr>
              <w:spacing w:after="0"/>
              <w:rPr>
                <w:sz w:val="12"/>
                <w:szCs w:val="12"/>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0" w:type="dxa"/>
            <w:vAlign w:val="bottom"/>
          </w:tcPr>
          <w:p>
            <w:pPr>
              <w:spacing w:after="0"/>
              <w:rPr>
                <w:sz w:val="1"/>
                <w:szCs w:val="1"/>
                <w:color w:val="auto"/>
              </w:rPr>
            </w:pPr>
          </w:p>
        </w:tc>
      </w:tr>
      <w:tr>
        <w:trPr>
          <w:trHeight w:val="156"/>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00" w:type="dxa"/>
            <w:vAlign w:val="bottom"/>
          </w:tcPr>
          <w:p>
            <w:pPr>
              <w:spacing w:after="0"/>
              <w:rPr>
                <w:sz w:val="13"/>
                <w:szCs w:val="13"/>
                <w:color w:val="auto"/>
              </w:rPr>
            </w:pPr>
          </w:p>
        </w:tc>
        <w:tc>
          <w:tcPr>
            <w:tcW w:w="142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Collateralized</w:t>
            </w:r>
          </w:p>
        </w:tc>
        <w:tc>
          <w:tcPr>
            <w:tcW w:w="2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Receivables</w:t>
            </w:r>
          </w:p>
        </w:tc>
        <w:tc>
          <w:tcPr>
            <w:tcW w:w="20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80" w:type="dxa"/>
            <w:vAlign w:val="bottom"/>
          </w:tcPr>
          <w:p>
            <w:pPr>
              <w:spacing w:after="0"/>
              <w:rPr>
                <w:sz w:val="17"/>
                <w:szCs w:val="17"/>
                <w:color w:val="auto"/>
              </w:rPr>
            </w:pPr>
          </w:p>
        </w:tc>
        <w:tc>
          <w:tcPr>
            <w:tcW w:w="136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96"/>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beginning balance December 31, 2023 and 2022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03"/>
        </w:trPr>
        <w:tc>
          <w:tcPr>
            <w:tcW w:w="63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Realized losses</w:t>
            </w:r>
            <w:r>
              <w:rPr>
                <w:rFonts w:ascii="Times New Roman" w:cs="Times New Roman" w:eastAsia="Times New Roman" w:hAnsi="Times New Roman"/>
                <w:sz w:val="19"/>
                <w:szCs w:val="19"/>
                <w:color w:val="auto"/>
                <w:vertAlign w:val="superscript"/>
              </w:rPr>
              <w:t>(1)</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3 ending balance at March 31, 2024 and 2023</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are recorded within Other income / (expense), net on the Consolidated Statements of Operations.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March 31, 2024. As such, our estimates of fair value could differ significantly from the actual carrying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 Class Action 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Since August 31, 2023, several putative class action complaints have been filed in the U.S. District Court for the Northern District of Illinois, Eastern Division, against Datacomp Appraisal Systems, Inc., us, and nine other large MH operators in the U.S. The complaint alleges that the defendants have violated federal antitrust laws by sharing and receiving competitively sensitive non-public information to maintain artificially high site rents. The complaints have been consolidated into the case captioned </w:t>
      </w:r>
      <w:r>
        <w:rPr>
          <w:rFonts w:ascii="Times New Roman" w:cs="Times New Roman" w:eastAsia="Times New Roman" w:hAnsi="Times New Roman"/>
          <w:sz w:val="18"/>
          <w:szCs w:val="18"/>
          <w:i w:val="1"/>
          <w:iCs w:val="1"/>
          <w:color w:val="auto"/>
        </w:rPr>
        <w:t>In re Manufactured Home Lot Rents Antitrust Litigation, No. 1:23-cv-06715.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Proceedings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other legal proceedings arising in the ordinary course of business. All such proceedings, taken together, are not expected to have a material adverse impact on our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Catastrophic Event-Related Charges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Hurricane Ian - </w:t>
      </w:r>
      <w:r>
        <w:rPr>
          <w:rFonts w:ascii="Times New Roman" w:cs="Times New Roman" w:eastAsia="Times New Roman" w:hAnsi="Times New Roman"/>
          <w:sz w:val="18"/>
          <w:szCs w:val="18"/>
          <w:color w:val="auto"/>
        </w:rPr>
        <w:t>When Hurricane Ian made landfall on Florida's western coast in September 2022, the storm primarily affected three properties in the Fort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property, casualty, flood and business interruption insurance for our community portfolio, subject to customary deductibles and limits.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property insurance recoveries, excluding business interruption recoveries, of $52.8 million related to Hurricane Ian were recorded in Notes and other receivables, net on the Consolidated Balance Sheets as of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changes in estimated property insurance recoveries, excluding business interruption recoveries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estimated insurance receivable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Change in estimated property insurance recoveries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Proceeds received from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estimated insurance receivable - March 31, 2024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Borders>
              <w:top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w:t>
            </w:r>
          </w:p>
        </w:tc>
      </w:tr>
      <w:tr>
        <w:trPr>
          <w:trHeight w:val="199"/>
        </w:trPr>
        <w:tc>
          <w:tcPr>
            <w:tcW w:w="8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7"/>
        </w:trPr>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198"/>
        </w:trPr>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52.8</w:t>
            </w:r>
          </w:p>
        </w:tc>
      </w:tr>
      <w:tr>
        <w:trPr>
          <w:trHeight w:val="23"/>
        </w:trPr>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40" w:space="720"/>
            <w:col w:w="1880"/>
          </w:cols>
          <w:pgMar w:left="320" w:top="124" w:right="339" w:bottom="1440" w:gutter="0" w:footer="0" w:header="0"/>
          <w:type w:val="continuous"/>
        </w:sectPr>
      </w:pP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estimated property insurance recoveries related to Hurricane Ian during the three months ended March 31, 2024 were primarily the result of $3.0 million of incremental costs that exceeded the applicable deductible. 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actively working with our insurance providers on claims for business interruption recoveries. During the three months ended March 31, 2024 and 2023, we did not recognize any business interruption recoveries for lost earnings from the hurricane event. The related communities are under redevelopment. As such, we currently cannot estimate a date when operating results will be restored to pre-hurricane levels. Our business interruption insurance policy provides for up to 60 months of coverage from the date of restoration.</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In December 2023, one of our RV properties with approximately 300 sites sustained property damage due to heavy rainfall and flooding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 Conway, New Hampshire area. Based on a preliminary review performed by an insurance adjuster, we recognized asset impairment charges of $7.0 million during the three months ended December 31, 2023, primarily related to site improvements, vacation rental cabins, and equipment. During the three months ended March 31, 2024, we recognized incremental charges of $4.7 million related to the impacted property, comprised of $3.1 million for impaired assets and $1.6 million for debris removal and cleanup. The charges were recorded within Catastrophic event-related charges, net in our Consolidated Statements of Operations. The foregoing estimates are based on current information available after the preliminary review of the damages incurred. Actual charges and insurance recoveries could differ from these estimates. Any changes to these estimates will be recognized in the period(s) in which they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land under non-cancelable operating leases at certain MH, RV, Marina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2024 where we are the lessee include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Liabilities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400" w:type="dxa"/>
            <w:vAlign w:val="bottom"/>
          </w:tcPr>
          <w:p>
            <w:pPr>
              <w:spacing w:after="0"/>
              <w:rPr>
                <w:sz w:val="17"/>
                <w:szCs w:val="17"/>
                <w:color w:val="auto"/>
              </w:rPr>
            </w:pPr>
          </w:p>
        </w:tc>
        <w:tc>
          <w:tcPr>
            <w:tcW w:w="1340" w:type="dxa"/>
            <w:vAlign w:val="bottom"/>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(excluding three months ended March 31, 2024)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0"/>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261.7</w:t>
            </w:r>
          </w:p>
        </w:tc>
      </w:tr>
      <w:tr>
        <w:trPr>
          <w:trHeight w:val="198"/>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325.6</w:t>
            </w:r>
          </w:p>
        </w:tc>
      </w:tr>
      <w:tr>
        <w:trPr>
          <w:trHeight w:val="200"/>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(150.0)</w:t>
            </w:r>
          </w:p>
        </w:tc>
      </w:tr>
      <w:tr>
        <w:trPr>
          <w:trHeight w:val="223"/>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Right-of-use ("ROU") assets and lease liabilities for finance and operating leases as included in our Consolidated Balance Sheets are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196"/>
        </w:trPr>
        <w:tc>
          <w:tcPr>
            <w:tcW w:w="5440" w:type="dxa"/>
            <w:vAlign w:val="bottom"/>
          </w:tcPr>
          <w:p>
            <w:pPr>
              <w:ind w:left="23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tcPr>
          <w:p>
            <w:pPr>
              <w:spacing w:after="0"/>
              <w:rPr>
                <w:sz w:val="17"/>
                <w:szCs w:val="17"/>
                <w:color w:val="auto"/>
              </w:rPr>
            </w:pP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0" w:type="dxa"/>
            <w:vAlign w:val="bottom"/>
          </w:tcPr>
          <w:p>
            <w:pPr>
              <w:spacing w:after="0"/>
              <w:rPr>
                <w:sz w:val="17"/>
                <w:szCs w:val="17"/>
                <w:color w:val="auto"/>
              </w:rPr>
            </w:pP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00"/>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 - ROU asset, net of accumulated amortization</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r>
      <w:tr>
        <w:trPr>
          <w:trHeight w:val="205"/>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 ROU asset, net</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r>
      <w:tr>
        <w:trPr>
          <w:trHeight w:val="200"/>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Below market operating leases, net</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Liabilities</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0"/>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05"/>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for finance and operating leases as included in our Consolidated Statements of Operations are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2"/>
        </w:trPr>
        <w:tc>
          <w:tcPr>
            <w:tcW w:w="2360" w:type="dxa"/>
            <w:vAlign w:val="bottom"/>
            <w:gridSpan w:val="2"/>
          </w:tcPr>
          <w:p>
            <w:pPr>
              <w:ind w:left="7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5420" w:type="dxa"/>
            <w:vAlign w:val="bottom"/>
            <w:gridSpan w:val="2"/>
          </w:tcPr>
          <w:p>
            <w:pPr>
              <w:ind w:left="156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22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0" w:type="dxa"/>
            <w:vAlign w:val="bottom"/>
          </w:tcPr>
          <w:p>
            <w:pPr>
              <w:spacing w:after="0"/>
              <w:rPr>
                <w:sz w:val="17"/>
                <w:szCs w:val="17"/>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Cost</w:t>
            </w:r>
          </w:p>
        </w:tc>
        <w:tc>
          <w:tcPr>
            <w:tcW w:w="8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0"/>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ROU assets</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5"/>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158"/>
        </w:trPr>
        <w:tc>
          <w:tcPr>
            <w:tcW w:w="23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Operating lease cost</w:t>
            </w:r>
          </w:p>
        </w:tc>
        <w:tc>
          <w:tcPr>
            <w:tcW w:w="54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General and administrative expense, Property operating and maintenance,</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2"/>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7"/>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6"/>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Cost</w:t>
            </w: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Pr>
          <w:p>
            <w:pPr>
              <w:spacing w:after="0"/>
              <w:rPr>
                <w:sz w:val="17"/>
                <w:szCs w:val="17"/>
                <w:color w:val="auto"/>
              </w:rPr>
            </w:pPr>
          </w:p>
        </w:tc>
        <w:tc>
          <w:tcPr>
            <w:tcW w:w="2060" w:type="dxa"/>
            <w:vAlign w:val="bottom"/>
            <w:tcBorders>
              <w:bottom w:val="single" w:sz="8" w:color="auto"/>
            </w:tcBorders>
            <w:gridSpan w:val="3"/>
          </w:tcPr>
          <w:p>
            <w:pPr>
              <w:ind w:left="16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80" w:type="dxa"/>
            <w:vAlign w:val="bottom"/>
            <w:tcBorders>
              <w:bottom w:val="single" w:sz="8" w:color="auto"/>
            </w:tcBorders>
          </w:tcPr>
          <w:p>
            <w:pPr>
              <w:spacing w:after="0"/>
              <w:rPr>
                <w:sz w:val="17"/>
                <w:szCs w:val="17"/>
                <w:color w:val="auto"/>
              </w:rPr>
            </w:pPr>
          </w:p>
        </w:tc>
      </w:tr>
      <w:tr>
        <w:trPr>
          <w:trHeight w:val="200"/>
        </w:trPr>
        <w:tc>
          <w:tcPr>
            <w:tcW w:w="7600" w:type="dxa"/>
            <w:vAlign w:val="bottom"/>
          </w:tcPr>
          <w:p>
            <w:pPr>
              <w:spacing w:after="0"/>
              <w:rPr>
                <w:sz w:val="17"/>
                <w:szCs w:val="17"/>
                <w:color w:val="auto"/>
              </w:rPr>
            </w:pPr>
          </w:p>
        </w:tc>
        <w:tc>
          <w:tcPr>
            <w:tcW w:w="2060" w:type="dxa"/>
            <w:vAlign w:val="bottom"/>
            <w:gridSpan w:val="3"/>
          </w:tcPr>
          <w:p>
            <w:pPr>
              <w:ind w:left="3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5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1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202"/>
        </w:trPr>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Remaining Lease Terms (years)</w:t>
            </w: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7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36.86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36.63</w:t>
            </w:r>
          </w:p>
        </w:tc>
      </w:tr>
      <w:tr>
        <w:trPr>
          <w:trHeight w:val="200"/>
        </w:trPr>
        <w:tc>
          <w:tcPr>
            <w:tcW w:w="7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78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34.17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27.71</w:t>
            </w: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Discount Rate</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0"/>
        </w:trPr>
        <w:tc>
          <w:tcPr>
            <w:tcW w:w="7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78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3.60 %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3.59 %</w:t>
            </w:r>
          </w:p>
        </w:tc>
      </w:tr>
      <w:tr>
        <w:trPr>
          <w:trHeight w:val="205"/>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7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3.78 %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3.82 %</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Borders>
              <w:bottom w:val="single" w:sz="8" w:color="auto"/>
            </w:tcBorders>
          </w:tcPr>
          <w:p>
            <w:pPr>
              <w:spacing w:after="0"/>
              <w:rPr>
                <w:sz w:val="17"/>
                <w:szCs w:val="17"/>
                <w:color w:val="auto"/>
              </w:rPr>
            </w:pPr>
          </w:p>
        </w:tc>
      </w:tr>
      <w:tr>
        <w:trPr>
          <w:trHeight w:val="200"/>
        </w:trPr>
        <w:tc>
          <w:tcPr>
            <w:tcW w:w="77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300" w:type="dxa"/>
            <w:vAlign w:val="bottom"/>
            <w:tcBorders>
              <w:bottom w:val="single" w:sz="8" w:color="auto"/>
            </w:tcBorders>
          </w:tcPr>
          <w:p>
            <w:pPr>
              <w:spacing w:after="0"/>
              <w:rPr>
                <w:sz w:val="17"/>
                <w:szCs w:val="17"/>
                <w:color w:val="auto"/>
              </w:rPr>
            </w:pPr>
          </w:p>
        </w:tc>
      </w:tr>
      <w:tr>
        <w:trPr>
          <w:trHeight w:val="18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 (in millions)</w:t>
            </w: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200"/>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5"/>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outflows for operating leases</w:t>
            </w:r>
          </w:p>
        </w:tc>
        <w:tc>
          <w:tcPr>
            <w:tcW w:w="140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Financing cash outflows for finance leases</w:t>
            </w: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23"/>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Cash Paid on Lease Liabilities</w:t>
            </w:r>
          </w:p>
        </w:tc>
        <w:tc>
          <w:tcPr>
            <w:tcW w:w="1400" w:type="dxa"/>
            <w:vAlign w:val="bottom"/>
            <w:tcBorders>
              <w:bottom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the lessor for any finance leases at our MH, RV, Marina or UK properties as of March 31, 2024.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Nearly all of our operating leases with our residents and customers at our MH, RV and UK properties where we are the lessor are either month-to-month or for a time period not to exceed one year. As of March 31, 2024, future minimum lease payments with our residents or customers would not exceed 12 months.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operating leases with real estate operators on our MH or UK properties. At our RV communities and marinas, future minimum lease payments under non-cancellable leases with real estate operators where we are the lessor include the following as of March 31, 2024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Payments</w:t>
            </w:r>
          </w:p>
        </w:tc>
        <w:tc>
          <w:tcPr>
            <w:tcW w:w="200" w:type="dxa"/>
            <w:vAlign w:val="bottom"/>
          </w:tcPr>
          <w:p>
            <w:pPr>
              <w:spacing w:after="0"/>
              <w:rPr>
                <w:sz w:val="17"/>
                <w:szCs w:val="17"/>
                <w:color w:val="auto"/>
              </w:rPr>
            </w:pPr>
          </w:p>
        </w:tc>
        <w:tc>
          <w:tcPr>
            <w:tcW w:w="15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Operating Leases</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(excluding the three months ended March 31, 2024)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81.5</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our operating leases, as included in our Consolidated Statement of Operations are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2"/>
        </w:trPr>
        <w:tc>
          <w:tcPr>
            <w:tcW w:w="256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5680" w:type="dxa"/>
            <w:vAlign w:val="bottom"/>
            <w:gridSpan w:val="2"/>
          </w:tcPr>
          <w:p>
            <w:pPr>
              <w:ind w:left="168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8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Fixed lease income</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from real property; Brokerage commissions and other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205"/>
        </w:trPr>
        <w:tc>
          <w:tcPr>
            <w:tcW w:w="256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Variable lease income</w:t>
            </w:r>
            <w:r>
              <w:rPr>
                <w:rFonts w:ascii="Times New Roman" w:cs="Times New Roman" w:eastAsia="Times New Roman" w:hAnsi="Times New Roman"/>
                <w:sz w:val="19"/>
                <w:szCs w:val="19"/>
                <w:color w:val="auto"/>
                <w:vertAlign w:val="superscript"/>
              </w:rPr>
              <w:t>(1)</w:t>
            </w: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real property; Brokerage commissions and other 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bl>
    <w:p>
      <w:pPr>
        <w:spacing w:after="0" w:line="55"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rent primarily based on a percentage of operating revenues beyond target thresholds.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Failed Sale Leaseback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Park Holidays, we assumed ground lease arrangements for 34 UK properties that we concluded to be failed sale-leaseback transactions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The financial liability was $357.1 million and $359.7 million as of March 31, 2024 and December 31, 2023, respectively. The following table presents the future minimum rental payments for this financial liability as of March 31, 2024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Financial Liability</w:t>
            </w:r>
          </w:p>
        </w:tc>
        <w:tc>
          <w:tcPr>
            <w:tcW w:w="220" w:type="dxa"/>
            <w:vAlign w:val="bottom"/>
          </w:tcPr>
          <w:p>
            <w:pPr>
              <w:spacing w:after="0"/>
              <w:rPr>
                <w:sz w:val="17"/>
                <w:szCs w:val="17"/>
                <w:color w:val="auto"/>
              </w:rPr>
            </w:pPr>
          </w:p>
        </w:tc>
        <w:tc>
          <w:tcPr>
            <w:tcW w:w="152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(excluding three months ended March 31, 2024)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1,742.9</w:t>
            </w:r>
          </w:p>
        </w:tc>
      </w:tr>
      <w:tr>
        <w:trPr>
          <w:trHeight w:val="198"/>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Payments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1,801.5</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(1,444.4)</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Financial Liability</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optional guidance for accounting for contracts, hedging relationships and other transactions affected by the reference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reform, if certain criteria are met. The provisions of this standard were available for election through December 31, 2022. In December 2022, the FASB issued ASU 2022-06, "</w:t>
      </w:r>
      <w:r>
        <w:rPr>
          <w:rFonts w:ascii="Times New Roman" w:cs="Times New Roman" w:eastAsia="Times New Roman" w:hAnsi="Times New Roman"/>
          <w:sz w:val="18"/>
          <w:szCs w:val="18"/>
          <w:i w:val="1"/>
          <w:iCs w:val="1"/>
          <w:color w:val="auto"/>
        </w:rPr>
        <w:t>Reference Rate Reform (Topic 848) - Deferral of the Sunset Date of Topic 848</w:t>
      </w:r>
      <w:r>
        <w:rPr>
          <w:rFonts w:ascii="Times New Roman" w:cs="Times New Roman" w:eastAsia="Times New Roman" w:hAnsi="Times New Roman"/>
          <w:sz w:val="18"/>
          <w:szCs w:val="18"/>
          <w:color w:val="auto"/>
        </w:rPr>
        <w:t>," which defers the sunset date for Topic 848 from December 31, 2022 to December 31, 2024, after which entities will no longer be permitted to apply the relief in Topic 848. As of March 31, 2024, all of our debt and derivative instruments have been converted from LIBOR to alternative reference rates. The adoption of this ASU did not have a material impact on our Consolidated Financial Statements as the majority of our debt has fixed interest rates.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which adds interim and annual disclosure requirements to the US GAAP codification at the request of the SEC.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disclosure of significant segment expenses that are regularly provided to the chief operating decision maker to assess segment performance, including each reported measure of segment profit or loss, an amount and description of the composition for other segment items to reconcile to segment profit or loss, interim disclosures of a reportable segment's profit or loss and assets, and the title and position of our chief operating decision maker. This ASU is effective for fiscal years beginning after December 15, 2023, and interim periods within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disclosure of specific categories in the effective tax rate reconciliation as well as provide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This ASU is effective for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three months ended March 31, 2024, we acquired the following properties: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Sites, Wet Slips and Dry</w:t>
            </w:r>
          </w:p>
        </w:tc>
        <w:tc>
          <w:tcPr>
            <w:tcW w:w="1100" w:type="dxa"/>
            <w:vAlign w:val="bottom"/>
            <w:vMerge w:val="restart"/>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Development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 w:type="dxa"/>
            <w:vAlign w:val="bottom"/>
          </w:tcPr>
          <w:p>
            <w:pPr>
              <w:spacing w:after="0"/>
              <w:rPr>
                <w:sz w:val="15"/>
                <w:szCs w:val="15"/>
                <w:color w:val="auto"/>
              </w:rPr>
            </w:pPr>
          </w:p>
        </w:tc>
        <w:tc>
          <w:tcPr>
            <w:tcW w:w="12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56"/>
        </w:trPr>
        <w:tc>
          <w:tcPr>
            <w:tcW w:w="3740" w:type="dxa"/>
            <w:vAlign w:val="bottom"/>
            <w:vMerge w:val="restart"/>
          </w:tcPr>
          <w:p>
            <w:pPr>
              <w:ind w:left="1380"/>
              <w:spacing w:after="0"/>
              <w:rPr>
                <w:sz w:val="20"/>
                <w:szCs w:val="20"/>
                <w:color w:val="auto"/>
              </w:rPr>
            </w:pPr>
            <w:r>
              <w:rPr>
                <w:rFonts w:ascii="Times New Roman" w:cs="Times New Roman" w:eastAsia="Times New Roman" w:hAnsi="Times New Roman"/>
                <w:sz w:val="15"/>
                <w:szCs w:val="15"/>
                <w:b w:val="1"/>
                <w:bCs w:val="1"/>
                <w:color w:val="auto"/>
              </w:rPr>
              <w:t>Property Name</w:t>
            </w:r>
          </w:p>
        </w:tc>
        <w:tc>
          <w:tcPr>
            <w:tcW w:w="80" w:type="dxa"/>
            <w:vAlign w:val="bottom"/>
            <w:vMerge w:val="restart"/>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Property Type</w:t>
            </w:r>
          </w:p>
        </w:tc>
        <w:tc>
          <w:tcPr>
            <w:tcW w:w="80" w:type="dxa"/>
            <w:vAlign w:val="bottom"/>
            <w:vMerge w:val="restart"/>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104"/>
              <w:spacing w:after="0" w:line="156" w:lineRule="exact"/>
              <w:rPr>
                <w:sz w:val="20"/>
                <w:szCs w:val="20"/>
                <w:color w:val="auto"/>
              </w:rPr>
            </w:pPr>
            <w:r>
              <w:rPr>
                <w:rFonts w:ascii="Times New Roman" w:cs="Times New Roman" w:eastAsia="Times New Roman" w:hAnsi="Times New Roman"/>
                <w:sz w:val="15"/>
                <w:szCs w:val="15"/>
                <w:b w:val="1"/>
                <w:bCs w:val="1"/>
                <w:color w:val="auto"/>
                <w:w w:val="99"/>
              </w:rPr>
              <w:t>Purchase Price</w:t>
            </w:r>
          </w:p>
        </w:tc>
        <w:tc>
          <w:tcPr>
            <w:tcW w:w="0" w:type="dxa"/>
            <w:vAlign w:val="bottom"/>
          </w:tcPr>
          <w:p>
            <w:pPr>
              <w:spacing w:after="0"/>
              <w:rPr>
                <w:sz w:val="1"/>
                <w:szCs w:val="1"/>
                <w:color w:val="auto"/>
              </w:rPr>
            </w:pPr>
          </w:p>
        </w:tc>
      </w:tr>
      <w:tr>
        <w:trPr>
          <w:trHeight w:val="202"/>
        </w:trPr>
        <w:tc>
          <w:tcPr>
            <w:tcW w:w="3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Storage Spaces</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rPr>
              <w:t>Sites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Port Milford</w:t>
            </w:r>
            <w:r>
              <w:rPr>
                <w:rFonts w:ascii="Times New Roman" w:cs="Times New Roman" w:eastAsia="Times New Roman" w:hAnsi="Times New Roman"/>
                <w:sz w:val="19"/>
                <w:szCs w:val="19"/>
                <w:color w:val="auto"/>
                <w:vertAlign w:val="superscript"/>
              </w:rPr>
              <w:t>(1)</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Marina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Oak Leaf</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Marina</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Berth One Palm Beach</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Marina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1"/>
              </w:rPr>
              <w:t>FL</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Subsequent Acquisitions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conjunction with the acquisition, we issued 19,326 common OP units valued at $2.5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the consolidated financial condition and results of operations should be read in conjunction with the Consolidated Financial Statements and the accompanying Notes, along with our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fully integrated REIT. As of March 31, 2024, we owned and operated, directly or indirectly, or had an interest in, a portfolio of 665 developed properties located in the U.S., Canada and the United Kingdom including 296 MH communities, 179 RV communities, and 136 marinas, and 54 UK communities.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in the business of operating, acquiring, developing and expanding MH and RV communities since 1975, marinas since 2020,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The majority of our marinas are concentrated in coastal regions. Our marinas offer wet slip and dry storage space leases, end-to-end service (such as routine maintenance, repair and winterization), fuel sales and other high-end amenities. These services and amenities offer convenience and resort-quality experiences to our members and guests.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Total Portfolio NOI - </w:t>
      </w:r>
      <w:r>
        <w:rPr>
          <w:rFonts w:ascii="Times New Roman" w:cs="Times New Roman" w:eastAsia="Times New Roman" w:hAnsi="Times New Roman"/>
          <w:sz w:val="18"/>
          <w:szCs w:val="18"/>
          <w:color w:val="auto"/>
        </w:rPr>
        <w:t>NOI is derived from property operating revenues minus property operating expenses and real estate taxes. NOI is a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properties' performance and growth over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Same Property NOI </w:t>
      </w:r>
      <w:r>
        <w:rPr>
          <w:rFonts w:ascii="Times New Roman" w:cs="Times New Roman" w:eastAsia="Times New Roman" w:hAnsi="Times New Roman"/>
          <w:sz w:val="18"/>
          <w:szCs w:val="18"/>
          <w:color w:val="auto"/>
        </w:rPr>
        <w:t>- This is a management tool used when evaluating the performance and growth of our Same Property portfolio. We define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as those we have owned and operated continuously since January 1, 2023. Same properties exclude ground-up development properties, acquired properties and properties sold after December 31, 2022. The Same Property data may change from time-to-time depending on acquisitions, dispositions, management discretion, significant transactions or unique situations. Same Property NOI does not include the revenues and expenses related to home sales, and service, retail, dining and entertainment activities at the properties. We believe that Same Property NOI is helpful to investors as a supplemental comparative performance measure of the income generated from the Same Property portfolio from one period to the next.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FFO</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Core FFO - In addition, we use FFO excluding certain gain and loss items that management considers unrelated to the operational and financial performance of our core business ("Core FFO").</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Net loss attributable to SUI common shareholders to NOI and summarize our consolidated financial results for the three months ended March 31, 2024 and 2023 (in millions):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8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2"/>
        </w:trPr>
        <w:tc>
          <w:tcPr>
            <w:tcW w:w="8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Attributable to SUI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w:t>
            </w:r>
          </w:p>
        </w:tc>
      </w:tr>
      <w:tr>
        <w:trPr>
          <w:trHeight w:val="20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 expense</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155.6</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Goodwill impairment</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marketable securities (see Note 16)</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 of properties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notes receivable (see Note 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 loss from nonconsolidated affiliates (see Note 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 Note 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0"/>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tax benefit (see Note 13)</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Preferred return to preferred OP units / equity interests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0"/>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Add: Loss attributable to noncontrolling interests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223"/>
        </w:trPr>
        <w:tc>
          <w:tcPr>
            <w:tcW w:w="8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 property NOI</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254.3</w:t>
            </w:r>
          </w:p>
        </w:tc>
      </w:tr>
      <w:tr>
        <w:trPr>
          <w:trHeight w:val="200"/>
        </w:trPr>
        <w:tc>
          <w:tcPr>
            <w:tcW w:w="8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sales NOI</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23.7</w:t>
            </w:r>
          </w:p>
        </w:tc>
      </w:tr>
      <w:tr>
        <w:trPr>
          <w:trHeight w:val="20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retail, dining and entertainment NOI</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r>
      <w:tr>
        <w:trPr>
          <w:trHeight w:val="196"/>
        </w:trPr>
        <w:tc>
          <w:tcPr>
            <w:tcW w:w="8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304.9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280.6</w:t>
            </w:r>
          </w:p>
        </w:tc>
      </w:tr>
      <w:tr>
        <w:trPr>
          <w:trHeight w:val="21"/>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of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RV and marina industries are seasonal in nature, and the results of operations in any one period may not be indicative of results in future periods.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RV business,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During the three months ended March 31, 2024, we recognized Real property - transient revenue of $37.7 million. During the year ended December 31, 2023, we recognized Real property - transient revenue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Real property -</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During the 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transient revenue</w:t>
            </w: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5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30</w:t>
            </w:r>
          </w:p>
        </w:tc>
        <w:tc>
          <w:tcPr>
            <w:tcW w:w="80" w:type="dxa"/>
            <w:vAlign w:val="bottom"/>
          </w:tcPr>
          <w:p>
            <w:pPr>
              <w:spacing w:after="0"/>
              <w:rPr>
                <w:sz w:val="18"/>
                <w:szCs w:val="18"/>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580" w:type="dxa"/>
            <w:vAlign w:val="bottom"/>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321.4</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27.8 %</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47.3 %</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marina business, the majority of our wet slip and dry storage space leases have annual terms that are billed seasonally. Wet slip storage increases during the summer months for the boating season, whereas dry storage increases during the winter season as weather patterns require boat owners to store their vessels on dry docks or within covered racks. During the three months ended March 31, 2024, we recognized seasonal real property revenue of $78.1 million. During the year ended December 31, 2023, we recognized seasonal real property revenue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Seasonal real</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During the 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property revenue</w:t>
            </w: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5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30</w:t>
            </w:r>
          </w:p>
        </w:tc>
        <w:tc>
          <w:tcPr>
            <w:tcW w:w="80" w:type="dxa"/>
            <w:vAlign w:val="bottom"/>
          </w:tcPr>
          <w:p>
            <w:pPr>
              <w:spacing w:after="0"/>
              <w:rPr>
                <w:sz w:val="17"/>
                <w:szCs w:val="17"/>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580" w:type="dxa"/>
            <w:vAlign w:val="bottom"/>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348.7</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25.9 %</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28.6 %</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24.7 %</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Total Portfolio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real estate operations by segment as of and for the three months ended March 31, 2024 and 2023 (in millions, except for statistical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MH</w:t>
            </w: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RV</w:t>
            </w:r>
          </w:p>
        </w:tc>
        <w:tc>
          <w:tcPr>
            <w:tcW w:w="7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UK</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MH</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RV</w:t>
            </w:r>
          </w:p>
        </w:tc>
        <w:tc>
          <w:tcPr>
            <w:tcW w:w="7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UK</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property (excluding transient)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435.4</w:t>
            </w: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398.2</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property - transient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89"/>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476.9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441.6</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191.0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187.3</w:t>
            </w:r>
          </w:p>
        </w:tc>
        <w:tc>
          <w:tcPr>
            <w:tcW w:w="0" w:type="dxa"/>
            <w:vAlign w:val="bottom"/>
          </w:tcPr>
          <w:p>
            <w:pPr>
              <w:spacing w:after="0"/>
              <w:rPr>
                <w:sz w:val="1"/>
                <w:szCs w:val="1"/>
                <w:color w:val="auto"/>
              </w:rPr>
            </w:pPr>
          </w:p>
        </w:tc>
      </w:tr>
      <w:tr>
        <w:trPr>
          <w:trHeight w:val="228"/>
        </w:trPr>
        <w:tc>
          <w:tcPr>
            <w:tcW w:w="2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Real Property NOI</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8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8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MH</w:t>
            </w:r>
          </w:p>
        </w:tc>
        <w:tc>
          <w:tcPr>
            <w:tcW w:w="8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RV</w:t>
            </w:r>
          </w:p>
        </w:tc>
        <w:tc>
          <w:tcPr>
            <w:tcW w:w="74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8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UK</w:t>
            </w:r>
          </w:p>
        </w:tc>
        <w:tc>
          <w:tcPr>
            <w:tcW w:w="7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MH</w:t>
            </w:r>
          </w:p>
        </w:tc>
        <w:tc>
          <w:tcPr>
            <w:tcW w:w="8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RV</w:t>
            </w:r>
          </w:p>
        </w:tc>
        <w:tc>
          <w:tcPr>
            <w:tcW w:w="7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8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UK</w:t>
            </w:r>
          </w:p>
        </w:tc>
        <w:tc>
          <w:tcPr>
            <w:tcW w:w="7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96"/>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Sites, wet slips and dry storage spaces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Sites, wet slips and dry storage spaces</w:t>
            </w:r>
            <w:r>
              <w:rPr>
                <w:rFonts w:ascii="Times New Roman" w:cs="Times New Roman" w:eastAsia="Times New Roman" w:hAnsi="Times New Roman"/>
                <w:sz w:val="18"/>
                <w:szCs w:val="18"/>
                <w:color w:val="auto"/>
                <w:vertAlign w:val="superscript"/>
              </w:rPr>
              <w:t>(a)</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99,930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33,290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48,040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18,110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199,370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100,120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30,860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47,990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17,850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196,820</w:t>
            </w:r>
          </w:p>
        </w:tc>
        <w:tc>
          <w:tcPr>
            <w:tcW w:w="0" w:type="dxa"/>
            <w:vAlign w:val="bottom"/>
          </w:tcPr>
          <w:p>
            <w:pPr>
              <w:spacing w:after="0"/>
              <w:rPr>
                <w:sz w:val="1"/>
                <w:szCs w:val="1"/>
                <w:color w:val="auto"/>
              </w:rPr>
            </w:pPr>
          </w:p>
        </w:tc>
      </w:tr>
      <w:tr>
        <w:trPr>
          <w:trHeight w:val="196"/>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Transient sites</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25,560</w:t>
            </w:r>
          </w:p>
        </w:tc>
        <w:tc>
          <w:tcPr>
            <w:tcW w:w="8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3,220</w:t>
            </w:r>
          </w:p>
        </w:tc>
        <w:tc>
          <w:tcPr>
            <w:tcW w:w="8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28,780</w:t>
            </w:r>
          </w:p>
        </w:tc>
        <w:tc>
          <w:tcPr>
            <w:tcW w:w="1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27,610</w:t>
            </w:r>
          </w:p>
        </w:tc>
        <w:tc>
          <w:tcPr>
            <w:tcW w:w="80" w:type="dxa"/>
            <w:vAlign w:val="bottom"/>
          </w:tcPr>
          <w:p>
            <w:pPr>
              <w:spacing w:after="0"/>
              <w:rPr>
                <w:sz w:val="17"/>
                <w:szCs w:val="17"/>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3,260</w:t>
            </w:r>
          </w:p>
        </w:tc>
        <w:tc>
          <w:tcPr>
            <w:tcW w:w="8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30,870</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99,930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58,850</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48,040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21,330</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228,150</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100,120</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58,470</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47,990</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21,110</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227,690</w:t>
            </w:r>
          </w:p>
        </w:tc>
        <w:tc>
          <w:tcPr>
            <w:tcW w:w="0" w:type="dxa"/>
            <w:vAlign w:val="bottom"/>
          </w:tcPr>
          <w:p>
            <w:pPr>
              <w:spacing w:after="0"/>
              <w:rPr>
                <w:sz w:val="1"/>
                <w:szCs w:val="1"/>
                <w:color w:val="auto"/>
              </w:rPr>
            </w:pPr>
          </w:p>
        </w:tc>
      </w:tr>
      <w:tr>
        <w:trPr>
          <w:trHeight w:val="94"/>
        </w:trPr>
        <w:tc>
          <w:tcPr>
            <w:tcW w:w="2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MH and Annual RV Occupancy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96.5 %</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96.1 %</w:t>
            </w: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 N/A = Not applicable.</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80" w:hanging="172"/>
        <w:spacing w:after="0" w:line="230" w:lineRule="auto"/>
        <w:tabs>
          <w:tab w:leader="none" w:pos="159"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MH annual sites included 10,300 and 9,520 rental homes in our rental program during the three months ended March 31, 2024 and 2023, respectively. Our investment in occupied rental homes at March 31, 2024 was $696.3 million, an increase of 15.7% from $601.8 million at March 31, 2023.</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$31.6 million, or 12.4% increase in Real Property NOI as compared to the same period in 2023, consists of $12.1 million from Same Property MH, $3.8 million from Same Property RV, $3.6 million from Same Property Marina, $3.3 million from Same Property UK and $8.8 million, net from other recently acquired or developed properties and other items.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North America Same Property Portfolio</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2024 average exchange rates for constant currency comparability.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MH, RV and Marina portfolios as of and for the three months ended March 31, 2024 and 2023 (in millions, except for statistical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0" w:hanging="107"/>
        <w:spacing w:after="0" w:line="284" w:lineRule="auto"/>
        <w:rPr>
          <w:sz w:val="20"/>
          <w:szCs w:val="20"/>
          <w:color w:val="auto"/>
        </w:rPr>
      </w:pPr>
      <w:r>
        <w:rPr>
          <w:rFonts w:ascii="Times New Roman" w:cs="Times New Roman" w:eastAsia="Times New Roman" w:hAnsi="Times New Roman"/>
          <w:sz w:val="15"/>
          <w:szCs w:val="15"/>
          <w:b w:val="1"/>
          <w:bCs w:val="1"/>
          <w:color w:val="auto"/>
        </w:rPr>
        <w:t>Financial information Same Property Revenues</w:t>
      </w:r>
    </w:p>
    <w:p>
      <w:pPr>
        <w:spacing w:after="0" w:line="1" w:lineRule="exact"/>
        <w:rPr>
          <w:sz w:val="20"/>
          <w:szCs w:val="20"/>
          <w:color w:val="auto"/>
        </w:rPr>
      </w:pPr>
    </w:p>
    <w:p>
      <w:pPr>
        <w:ind w:left="240"/>
        <w:spacing w:after="0" w:line="242" w:lineRule="auto"/>
        <w:rPr>
          <w:sz w:val="20"/>
          <w:szCs w:val="20"/>
          <w:color w:val="auto"/>
        </w:rPr>
      </w:pPr>
      <w:r>
        <w:rPr>
          <w:rFonts w:ascii="Times New Roman" w:cs="Times New Roman" w:eastAsia="Times New Roman" w:hAnsi="Times New Roman"/>
          <w:sz w:val="15"/>
          <w:szCs w:val="15"/>
          <w:color w:val="auto"/>
        </w:rPr>
        <w:t>Real property (excluding transient)</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p>
      <w:pPr>
        <w:spacing w:after="0" w:line="30" w:lineRule="exact"/>
        <w:rPr>
          <w:sz w:val="20"/>
          <w:szCs w:val="20"/>
          <w:color w:val="auto"/>
        </w:rPr>
      </w:pPr>
    </w:p>
    <w:p>
      <w:pPr>
        <w:ind w:left="240" w:right="280"/>
        <w:spacing w:after="0" w:line="242" w:lineRule="auto"/>
        <w:rPr>
          <w:sz w:val="20"/>
          <w:szCs w:val="20"/>
          <w:color w:val="auto"/>
        </w:rPr>
      </w:pPr>
      <w:r>
        <w:rPr>
          <w:rFonts w:ascii="Times New Roman" w:cs="Times New Roman" w:eastAsia="Times New Roman" w:hAnsi="Times New Roman"/>
          <w:sz w:val="15"/>
          <w:szCs w:val="15"/>
          <w:color w:val="auto"/>
        </w:rPr>
        <w:t>Total Same Property operating revenues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Expenses</w:t>
      </w:r>
    </w:p>
    <w:p>
      <w:pPr>
        <w:spacing w:after="0" w:line="34" w:lineRule="exact"/>
        <w:rPr>
          <w:sz w:val="20"/>
          <w:szCs w:val="20"/>
          <w:color w:val="auto"/>
        </w:rPr>
      </w:pPr>
    </w:p>
    <w:p>
      <w:pPr>
        <w:ind w:left="240" w:right="20"/>
        <w:spacing w:after="0" w:line="251" w:lineRule="auto"/>
        <w:rPr>
          <w:sz w:val="20"/>
          <w:szCs w:val="20"/>
          <w:color w:val="auto"/>
        </w:rPr>
      </w:pPr>
      <w:r>
        <w:rPr>
          <w:rFonts w:ascii="Times New Roman" w:cs="Times New Roman" w:eastAsia="Times New Roman" w:hAnsi="Times New Roman"/>
          <w:sz w:val="15"/>
          <w:szCs w:val="15"/>
          <w:color w:val="auto"/>
        </w:rPr>
        <w:t>Same Property operating expenses</w:t>
      </w:r>
      <w:r>
        <w:rPr>
          <w:rFonts w:ascii="Times New Roman" w:cs="Times New Roman" w:eastAsia="Times New Roman" w:hAnsi="Times New Roman"/>
          <w:sz w:val="19"/>
          <w:szCs w:val="19"/>
          <w:color w:val="auto"/>
          <w:vertAlign w:val="superscript"/>
        </w:rPr>
        <w:t>(b)(d)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Real Property NOI</w:t>
      </w:r>
      <w:r>
        <w:rPr>
          <w:rFonts w:ascii="Times New Roman" w:cs="Times New Roman" w:eastAsia="Times New Roman" w:hAnsi="Times New Roman"/>
          <w:sz w:val="19"/>
          <w:szCs w:val="19"/>
          <w:b w:val="1"/>
          <w:bCs w:val="1"/>
          <w:color w:val="auto"/>
          <w:vertAlign w:val="superscript"/>
        </w:rPr>
        <w:t>(d)</w:t>
      </w:r>
    </w:p>
    <w:p>
      <w:pPr>
        <w:spacing w:after="0" w:line="83" w:lineRule="exact"/>
        <w:rPr>
          <w:sz w:val="20"/>
          <w:szCs w:val="20"/>
          <w:color w:val="auto"/>
        </w:rPr>
      </w:pPr>
    </w:p>
    <w:p>
      <w:pPr>
        <w:ind w:left="240" w:right="220" w:hanging="215"/>
        <w:spacing w:after="0" w:line="284" w:lineRule="auto"/>
        <w:rPr>
          <w:sz w:val="20"/>
          <w:szCs w:val="20"/>
          <w:color w:val="auto"/>
        </w:rPr>
      </w:pPr>
      <w:r>
        <w:rPr>
          <w:rFonts w:ascii="Times New Roman" w:cs="Times New Roman" w:eastAsia="Times New Roman" w:hAnsi="Times New Roman"/>
          <w:sz w:val="15"/>
          <w:szCs w:val="15"/>
          <w:b w:val="1"/>
          <w:bCs w:val="1"/>
          <w:color w:val="auto"/>
        </w:rPr>
        <w:t xml:space="preserve">Other information </w:t>
      </w:r>
      <w:r>
        <w:rPr>
          <w:rFonts w:ascii="Times New Roman" w:cs="Times New Roman" w:eastAsia="Times New Roman" w:hAnsi="Times New Roman"/>
          <w:sz w:val="15"/>
          <w:szCs w:val="15"/>
          <w:color w:val="auto"/>
        </w:rPr>
        <w:t>Number of properties</w:t>
      </w:r>
    </w:p>
    <w:p>
      <w:pPr>
        <w:spacing w:after="0" w:line="1" w:lineRule="exact"/>
        <w:rPr>
          <w:sz w:val="20"/>
          <w:szCs w:val="20"/>
          <w:color w:val="auto"/>
        </w:rPr>
      </w:pPr>
    </w:p>
    <w:p>
      <w:pPr>
        <w:ind w:left="240" w:right="120"/>
        <w:spacing w:after="0" w:line="242" w:lineRule="auto"/>
        <w:rPr>
          <w:sz w:val="20"/>
          <w:szCs w:val="20"/>
          <w:color w:val="auto"/>
        </w:rPr>
      </w:pPr>
      <w:r>
        <w:rPr>
          <w:rFonts w:ascii="Times New Roman" w:cs="Times New Roman" w:eastAsia="Times New Roman" w:hAnsi="Times New Roman"/>
          <w:sz w:val="15"/>
          <w:szCs w:val="15"/>
          <w:color w:val="auto"/>
        </w:rPr>
        <w:t>Sites, wet slips and dry storage spaces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4"/>
          </w:tcPr>
          <w:p>
            <w:pPr>
              <w:ind w:left="320"/>
              <w:spacing w:after="0" w:line="204"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(c)</w:t>
            </w:r>
          </w:p>
        </w:tc>
        <w:tc>
          <w:tcPr>
            <w:tcW w:w="640" w:type="dxa"/>
            <w:vAlign w:val="bottom"/>
            <w:tcBorders>
              <w:top w:val="single" w:sz="8" w:color="auto"/>
              <w:bottom w:val="single" w:sz="8" w:color="auto"/>
            </w:tcBorders>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MH</w:t>
            </w:r>
            <w:r>
              <w:rPr>
                <w:rFonts w:ascii="Times New Roman" w:cs="Times New Roman" w:eastAsia="Times New Roman" w:hAnsi="Times New Roman"/>
                <w:sz w:val="8"/>
                <w:szCs w:val="8"/>
                <w:b w:val="1"/>
                <w:bCs w:val="1"/>
                <w:color w:val="auto"/>
              </w:rPr>
              <w:t>(a)</w:t>
            </w:r>
          </w:p>
        </w:tc>
        <w:tc>
          <w:tcPr>
            <w:tcW w:w="120" w:type="dxa"/>
            <w:vAlign w:val="bottom"/>
          </w:tcPr>
          <w:p>
            <w:pPr>
              <w:spacing w:after="0"/>
              <w:rPr>
                <w:sz w:val="17"/>
                <w:szCs w:val="17"/>
                <w:color w:val="auto"/>
              </w:rPr>
            </w:pPr>
          </w:p>
        </w:tc>
        <w:tc>
          <w:tcPr>
            <w:tcW w:w="58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RV</w:t>
            </w:r>
            <w:r>
              <w:rPr>
                <w:rFonts w:ascii="Times New Roman" w:cs="Times New Roman" w:eastAsia="Times New Roman" w:hAnsi="Times New Roman"/>
                <w:sz w:val="8"/>
                <w:szCs w:val="8"/>
                <w:b w:val="1"/>
                <w:bCs w:val="1"/>
                <w:color w:val="auto"/>
              </w:rPr>
              <w:t>(a)</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MH</w:t>
            </w:r>
            <w:r>
              <w:rPr>
                <w:rFonts w:ascii="Times New Roman" w:cs="Times New Roman" w:eastAsia="Times New Roman" w:hAnsi="Times New Roman"/>
                <w:sz w:val="8"/>
                <w:szCs w:val="8"/>
                <w:b w:val="1"/>
                <w:bCs w:val="1"/>
                <w:color w:val="auto"/>
              </w:rPr>
              <w:t>(a)</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RV</w:t>
            </w:r>
            <w:r>
              <w:rPr>
                <w:rFonts w:ascii="Times New Roman" w:cs="Times New Roman" w:eastAsia="Times New Roman" w:hAnsi="Times New Roman"/>
                <w:sz w:val="8"/>
                <w:szCs w:val="8"/>
                <w:b w:val="1"/>
                <w:bCs w:val="1"/>
                <w:color w:val="auto"/>
              </w:rPr>
              <w:t>(a)</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4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7"/>
                <w:szCs w:val="17"/>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MH</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RV</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9"/>
                <w:szCs w:val="19"/>
                <w:b w:val="1"/>
                <w:bCs w:val="1"/>
                <w:color w:val="auto"/>
                <w:vertAlign w:val="superscript"/>
              </w:rPr>
              <w:t>(d)</w:t>
            </w:r>
          </w:p>
        </w:tc>
      </w:tr>
      <w:tr>
        <w:trPr>
          <w:trHeight w:val="741"/>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218.0</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362.0</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204.1</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57.4</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335.0</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8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13.4 %</w:t>
            </w:r>
          </w:p>
        </w:tc>
        <w:tc>
          <w:tcPr>
            <w:tcW w:w="8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7.3 %</w:t>
            </w:r>
          </w:p>
        </w:tc>
        <w:tc>
          <w:tcPr>
            <w:tcW w:w="8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207"/>
        </w:trPr>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19.0 %</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340"/>
        </w:trPr>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r>
      <w:tr>
        <w:trPr>
          <w:trHeight w:val="571"/>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47.0</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130.8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2.2 %</w:t>
            </w:r>
          </w:p>
        </w:tc>
      </w:tr>
      <w:tr>
        <w:trPr>
          <w:trHeight w:val="198"/>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46.4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244.3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7.5 %</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7.9 %</w:t>
            </w:r>
          </w:p>
        </w:tc>
      </w:tr>
      <w:tr>
        <w:trPr>
          <w:trHeight w:val="23"/>
        </w:trPr>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72"/>
        </w:trPr>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43,450</w:t>
            </w: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198,300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99,280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55,430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43,460</w:t>
            </w:r>
          </w:p>
        </w:tc>
        <w:tc>
          <w:tcPr>
            <w:tcW w:w="80" w:type="dxa"/>
            <w:vAlign w:val="bottom"/>
          </w:tcPr>
          <w:p>
            <w:pPr>
              <w:spacing w:after="0"/>
              <w:rPr>
                <w:sz w:val="24"/>
                <w:szCs w:val="24"/>
                <w:color w:val="auto"/>
              </w:rPr>
            </w:pP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198,170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-1914525</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-1657350</wp:posOffset>
            </wp:positionV>
            <wp:extent cx="7132320"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-1297305</wp:posOffset>
            </wp:positionV>
            <wp:extent cx="7132320"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-937260</wp:posOffset>
            </wp:positionV>
            <wp:extent cx="713232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-551815</wp:posOffset>
            </wp:positionV>
            <wp:extent cx="713232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-354330</wp:posOffset>
            </wp:positionV>
            <wp:extent cx="713232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1780" w:space="180"/>
            <w:col w:w="9280"/>
          </w:cols>
          <w:pgMar w:left="320" w:top="117" w:right="339" w:bottom="1440" w:gutter="0" w:footer="0" w:header="0"/>
          <w:type w:val="continuous"/>
        </w:sectPr>
      </w:pPr>
    </w:p>
    <w:p>
      <w:pPr>
        <w:ind w:left="180" w:hanging="172"/>
        <w:spacing w:after="0" w:line="230" w:lineRule="auto"/>
        <w:tabs>
          <w:tab w:leader="none" w:pos="162"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Same property results for our MH and RV properties reflect constant currency for comparative purposes. Canadian currency figures in the prior comparative period have been translated at the average exchange rate during the three months ended March 31, 2024 of $0.7418 USD per Canadian dollar.</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net certain utilities revenues (which include utility reimbursement revenues from residents) against related utility expenses in property operating expenses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 2023</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MH</w:t>
            </w:r>
          </w:p>
        </w:tc>
        <w:tc>
          <w:tcPr>
            <w:tcW w:w="22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6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MH</w:t>
            </w:r>
          </w:p>
        </w:tc>
        <w:tc>
          <w:tcPr>
            <w:tcW w:w="22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4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38"/>
        </w:trPr>
        <w:tc>
          <w:tcPr>
            <w:tcW w:w="314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Utility  revenue  netted  against  related  utility</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expense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6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 w:hanging="132"/>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are calculated based on unrounded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North America Same Property Portfolio (Continued)</w:t>
      </w:r>
    </w:p>
    <w:p>
      <w:pPr>
        <w:spacing w:after="0" w:line="250" w:lineRule="exact"/>
        <w:rPr>
          <w:sz w:val="20"/>
          <w:szCs w:val="20"/>
          <w:color w:val="auto"/>
        </w:rPr>
      </w:pPr>
    </w:p>
    <w:p>
      <w:pPr>
        <w:ind w:left="180" w:hanging="172"/>
        <w:spacing w:after="0" w:line="230" w:lineRule="auto"/>
        <w:tabs>
          <w:tab w:leader="none" w:pos="166"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Same Property operating expenses consist of the following components for the periods shown (in millions), and exclude amounts invested into recently acquired properties to bring them up to our standards.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60" w:type="dxa"/>
            <w:vAlign w:val="bottom"/>
            <w:tcBorders>
              <w:bottom w:val="single" w:sz="8" w:color="auto"/>
            </w:tcBorders>
          </w:tcPr>
          <w:p>
            <w:pPr>
              <w:spacing w:after="0"/>
              <w:rPr>
                <w:sz w:val="17"/>
                <w:szCs w:val="17"/>
                <w:color w:val="auto"/>
              </w:rPr>
            </w:pPr>
          </w:p>
        </w:tc>
      </w:tr>
      <w:tr>
        <w:trPr>
          <w:trHeight w:val="146"/>
        </w:trPr>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2"/>
                <w:szCs w:val="12"/>
                <w:color w:val="auto"/>
              </w:rPr>
            </w:pPr>
          </w:p>
        </w:tc>
        <w:tc>
          <w:tcPr>
            <w:tcW w:w="9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2"/>
        </w:trPr>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5"/>
                <w:szCs w:val="15"/>
                <w:color w:val="auto"/>
                <w:w w:val="97"/>
              </w:rPr>
              <w:t>(0.7)</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0"/>
        </w:trPr>
        <w:tc>
          <w:tcPr>
            <w:tcW w:w="7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 estate taxes</w:t>
            </w: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left="384"/>
              <w:spacing w:after="0"/>
              <w:rPr>
                <w:sz w:val="20"/>
                <w:szCs w:val="20"/>
                <w:color w:val="auto"/>
              </w:rPr>
            </w:pPr>
            <w:r>
              <w:rPr>
                <w:rFonts w:ascii="Times New Roman" w:cs="Times New Roman" w:eastAsia="Times New Roman" w:hAnsi="Times New Roman"/>
                <w:sz w:val="15"/>
                <w:szCs w:val="15"/>
                <w:color w:val="auto"/>
                <w:w w:val="95"/>
              </w:rPr>
              <w:t>0.8</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0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and repairs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384"/>
              <w:spacing w:after="0"/>
              <w:rPr>
                <w:sz w:val="20"/>
                <w:szCs w:val="20"/>
                <w:color w:val="auto"/>
              </w:rPr>
            </w:pPr>
            <w:r>
              <w:rPr>
                <w:rFonts w:ascii="Times New Roman" w:cs="Times New Roman" w:eastAsia="Times New Roman" w:hAnsi="Times New Roman"/>
                <w:sz w:val="15"/>
                <w:szCs w:val="15"/>
                <w:color w:val="auto"/>
                <w:w w:val="95"/>
              </w:rPr>
              <w:t>1.1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7.6 %</w:t>
            </w:r>
          </w:p>
        </w:tc>
      </w:tr>
      <w:tr>
        <w:trPr>
          <w:trHeight w:val="200"/>
        </w:trPr>
        <w:tc>
          <w:tcPr>
            <w:tcW w:w="7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Utilities</w:t>
            </w: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left="364"/>
              <w:spacing w:after="0"/>
              <w:rPr>
                <w:sz w:val="20"/>
                <w:szCs w:val="20"/>
                <w:color w:val="auto"/>
              </w:rPr>
            </w:pPr>
            <w:r>
              <w:rPr>
                <w:rFonts w:ascii="Times New Roman" w:cs="Times New Roman" w:eastAsia="Times New Roman" w:hAnsi="Times New Roman"/>
                <w:sz w:val="15"/>
                <w:szCs w:val="15"/>
                <w:color w:val="auto"/>
                <w:w w:val="97"/>
              </w:rPr>
              <w:t>(0.6)</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20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Legal, state / local taxes, and insurance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364"/>
              <w:spacing w:after="0"/>
              <w:rPr>
                <w:sz w:val="20"/>
                <w:szCs w:val="20"/>
                <w:color w:val="auto"/>
              </w:rPr>
            </w:pPr>
            <w:r>
              <w:rPr>
                <w:rFonts w:ascii="Times New Roman" w:cs="Times New Roman" w:eastAsia="Times New Roman" w:hAnsi="Times New Roman"/>
                <w:sz w:val="15"/>
                <w:szCs w:val="15"/>
                <w:color w:val="auto"/>
                <w:w w:val="97"/>
              </w:rPr>
              <w:t>(0.2)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384"/>
              <w:spacing w:after="0"/>
              <w:rPr>
                <w:sz w:val="20"/>
                <w:szCs w:val="20"/>
                <w:color w:val="auto"/>
              </w:rPr>
            </w:pPr>
            <w:r>
              <w:rPr>
                <w:rFonts w:ascii="Times New Roman" w:cs="Times New Roman" w:eastAsia="Times New Roman" w:hAnsi="Times New Roman"/>
                <w:sz w:val="15"/>
                <w:szCs w:val="15"/>
                <w:color w:val="auto"/>
                <w:w w:val="95"/>
              </w:rPr>
              <w:t>2.6</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16.9 %</w:t>
            </w:r>
          </w:p>
        </w:tc>
      </w:tr>
      <w:tr>
        <w:trPr>
          <w:trHeight w:val="22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Same Property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center"/>
              <w:ind w:left="384"/>
              <w:spacing w:after="0"/>
              <w:rPr>
                <w:sz w:val="20"/>
                <w:szCs w:val="20"/>
                <w:color w:val="auto"/>
              </w:rPr>
            </w:pPr>
            <w:r>
              <w:rPr>
                <w:rFonts w:ascii="Times New Roman" w:cs="Times New Roman" w:eastAsia="Times New Roman" w:hAnsi="Times New Roman"/>
                <w:sz w:val="15"/>
                <w:szCs w:val="15"/>
                <w:color w:val="auto"/>
                <w:w w:val="95"/>
              </w:rPr>
              <w:t>3.0</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 Same Property Summary (in whole units)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00"/>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40" w:type="dxa"/>
            <w:vAlign w:val="bottom"/>
          </w:tcPr>
          <w:p>
            <w:pPr>
              <w:spacing w:after="0"/>
              <w:rPr>
                <w:sz w:val="17"/>
                <w:szCs w:val="17"/>
                <w:color w:val="auto"/>
              </w:rPr>
            </w:pPr>
          </w:p>
        </w:tc>
        <w:tc>
          <w:tcPr>
            <w:tcW w:w="1920" w:type="dxa"/>
            <w:vAlign w:val="bottom"/>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6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RV</w:t>
            </w:r>
          </w:p>
        </w:tc>
      </w:tr>
      <w:tr>
        <w:trPr>
          <w:trHeight w:val="18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165</w:t>
            </w:r>
          </w:p>
        </w:tc>
      </w:tr>
      <w:tr>
        <w:trPr>
          <w:trHeight w:val="162"/>
        </w:trPr>
        <w:tc>
          <w:tcPr>
            <w:tcW w:w="6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MH and Annual RV sites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99,130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32,440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99,280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30,700</w:t>
            </w:r>
          </w:p>
        </w:tc>
      </w:tr>
      <w:tr>
        <w:trPr>
          <w:trHeight w:val="200"/>
        </w:trPr>
        <w:tc>
          <w:tcPr>
            <w:tcW w:w="6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Transient RV sites</w:t>
            </w:r>
          </w:p>
        </w:tc>
        <w:tc>
          <w:tcPr>
            <w:tcW w:w="240" w:type="dxa"/>
            <w:vAlign w:val="bottom"/>
          </w:tcPr>
          <w:p>
            <w:pPr>
              <w:spacing w:after="0"/>
              <w:rPr>
                <w:sz w:val="17"/>
                <w:szCs w:val="17"/>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23,280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24,730</w:t>
            </w:r>
          </w:p>
        </w:tc>
      </w:tr>
      <w:tr>
        <w:trPr>
          <w:trHeight w:val="198"/>
        </w:trPr>
        <w:tc>
          <w:tcPr>
            <w:tcW w:w="67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99,130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55,720</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99,280</w:t>
            </w: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55,430</w:t>
            </w:r>
          </w:p>
        </w:tc>
      </w:tr>
      <w:tr>
        <w:trPr>
          <w:trHeight w:val="203"/>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MH and Annual RV Occupancy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8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Occupancy</w:t>
            </w:r>
            <w:r>
              <w:rPr>
                <w:rFonts w:ascii="Times New Roman" w:cs="Times New Roman" w:eastAsia="Times New Roman" w:hAnsi="Times New Roman"/>
                <w:sz w:val="19"/>
                <w:szCs w:val="19"/>
                <w:color w:val="auto"/>
                <w:vertAlign w:val="superscript"/>
              </w:rPr>
              <w:t>(a)</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96.6 %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Monthly base rent per site</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608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567</w:t>
            </w:r>
          </w:p>
        </w:tc>
      </w:tr>
      <w:tr>
        <w:trPr>
          <w:trHeight w:val="203"/>
        </w:trPr>
        <w:tc>
          <w:tcPr>
            <w:tcW w:w="678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 change in monthly base rent</w:t>
            </w:r>
            <w:r>
              <w:rPr>
                <w:rFonts w:ascii="Times New Roman" w:cs="Times New Roman" w:eastAsia="Times New Roman" w:hAnsi="Times New Roman"/>
                <w:sz w:val="19"/>
                <w:szCs w:val="19"/>
                <w:color w:val="auto"/>
                <w:vertAlign w:val="superscript"/>
              </w:rPr>
              <w:t>(b)</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162"/>
        </w:trPr>
        <w:tc>
          <w:tcPr>
            <w:tcW w:w="6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Rental Program Statistics included in MH:</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8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5"/>
                <w:szCs w:val="15"/>
                <w:color w:val="auto"/>
              </w:rPr>
              <w:t>Number of occupied sites, end of period</w:t>
            </w:r>
            <w:r>
              <w:rPr>
                <w:rFonts w:ascii="Times New Roman" w:cs="Times New Roman" w:eastAsia="Times New Roman" w:hAnsi="Times New Roman"/>
                <w:sz w:val="19"/>
                <w:szCs w:val="19"/>
                <w:color w:val="auto"/>
                <w:vertAlign w:val="superscript"/>
              </w:rPr>
              <w:t>(c)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10,120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9,500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6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Monthly rent per site - MH Rental Program</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1,247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5"/>
        </w:trPr>
        <w:tc>
          <w:tcPr>
            <w:tcW w:w="6780" w:type="dxa"/>
            <w:vAlign w:val="bottom"/>
            <w:shd w:val="clear" w:color="auto" w:fill="CCEEFF"/>
          </w:tcPr>
          <w:p>
            <w:pPr>
              <w:ind w:left="240"/>
              <w:spacing w:after="0" w:line="204" w:lineRule="exact"/>
              <w:rPr>
                <w:sz w:val="20"/>
                <w:szCs w:val="20"/>
                <w:color w:val="auto"/>
              </w:rPr>
            </w:pPr>
            <w:r>
              <w:rPr>
                <w:rFonts w:ascii="Times New Roman" w:cs="Times New Roman" w:eastAsia="Times New Roman" w:hAnsi="Times New Roman"/>
                <w:sz w:val="15"/>
                <w:szCs w:val="15"/>
                <w:color w:val="auto"/>
              </w:rPr>
              <w:t>% change</w:t>
            </w:r>
            <w:r>
              <w:rPr>
                <w:rFonts w:ascii="Times New Roman" w:cs="Times New Roman" w:eastAsia="Times New Roman" w:hAnsi="Times New Roman"/>
                <w:sz w:val="19"/>
                <w:szCs w:val="19"/>
                <w:color w:val="auto"/>
                <w:vertAlign w:val="superscript"/>
              </w:rPr>
              <w:t>(c)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69" w:lineRule="exact"/>
        <w:rPr>
          <w:sz w:val="20"/>
          <w:szCs w:val="20"/>
          <w:color w:val="auto"/>
        </w:rPr>
      </w:pPr>
    </w:p>
    <w:p>
      <w:pPr>
        <w:jc w:val="both"/>
        <w:ind w:left="180" w:right="20" w:hanging="172"/>
        <w:spacing w:after="0" w:line="233" w:lineRule="auto"/>
        <w:tabs>
          <w:tab w:leader="none" w:pos="162"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Same Property adjusted blended occupancy for MH and RV combined increased to 98.9% at March 31, 2024, from 97.1% at March 31, 2023. The 180 basis point increase was driven by MH expansion fills and the conversion of transient RV sites to annual sites. Same Property blended occupancy for MH and RV was 97.9% at March 31, 2024, up 50 basis points from 97.4% at March 31, 2023. The 50 basis point increase was driven by MH expansion fills and the conversion of transient RV sites to annual sites.</w:t>
      </w:r>
    </w:p>
    <w:p>
      <w:pPr>
        <w:spacing w:after="0" w:line="1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Calculated using actual results without rounding.</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14" w:lineRule="auto"/>
        <w:tabs>
          <w:tab w:leader="none" w:pos="14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Occupied rental program sites in Same Property are included in total sites.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UK Same Property Portfolio</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UK portfolio as of and for the three months ended March 31, 2024 and 2023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90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46"/>
        </w:trPr>
        <w:tc>
          <w:tcPr>
            <w:tcW w:w="7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4"/>
              <w:spacing w:after="0" w:line="146"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140" w:type="dxa"/>
            <w:vAlign w:val="bottom"/>
          </w:tcPr>
          <w:p>
            <w:pPr>
              <w:spacing w:after="0"/>
              <w:rPr>
                <w:sz w:val="12"/>
                <w:szCs w:val="12"/>
                <w:color w:val="auto"/>
              </w:rPr>
            </w:pPr>
          </w:p>
        </w:tc>
      </w:tr>
      <w:tr>
        <w:trPr>
          <w:trHeight w:val="216"/>
        </w:trPr>
        <w:tc>
          <w:tcPr>
            <w:tcW w:w="7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4"/>
              <w:spacing w:after="0" w:line="216"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(b)</w:t>
            </w:r>
          </w:p>
        </w:tc>
      </w:tr>
      <w:tr>
        <w:trPr>
          <w:trHeight w:val="183"/>
        </w:trPr>
        <w:tc>
          <w:tcPr>
            <w:tcW w:w="77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5"/>
                <w:szCs w:val="15"/>
                <w:b w:val="1"/>
                <w:bCs w:val="1"/>
                <w:color w:val="auto"/>
              </w:rPr>
              <w:t>Financial Information</w:t>
            </w:r>
            <w:r>
              <w:rPr>
                <w:rFonts w:ascii="Times New Roman" w:cs="Times New Roman" w:eastAsia="Times New Roman" w:hAnsi="Times New Roman"/>
                <w:sz w:val="19"/>
                <w:szCs w:val="19"/>
                <w:b w:val="1"/>
                <w:bCs w:val="1"/>
                <w:color w:val="auto"/>
                <w:vertAlign w:val="superscript"/>
              </w:rPr>
              <w:t>(a)</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Revenues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8.3 %</w:t>
            </w:r>
          </w:p>
        </w:tc>
      </w:tr>
      <w:tr>
        <w:trPr>
          <w:trHeight w:val="200"/>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75.9 %</w:t>
            </w:r>
          </w:p>
        </w:tc>
      </w:tr>
      <w:tr>
        <w:trPr>
          <w:trHeight w:val="198"/>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Same Property operating revenues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12.3 %</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Expenses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74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5"/>
                <w:szCs w:val="15"/>
                <w:color w:val="auto"/>
              </w:rPr>
              <w:t>Same Property operating expenses</w:t>
            </w:r>
            <w:r>
              <w:rPr>
                <w:rFonts w:ascii="Times New Roman" w:cs="Times New Roman" w:eastAsia="Times New Roman" w:hAnsi="Times New Roman"/>
                <w:sz w:val="19"/>
                <w:szCs w:val="19"/>
                <w:color w:val="auto"/>
                <w:vertAlign w:val="superscript"/>
              </w:rPr>
              <w:t>(c)</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Real Property NOI</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44.5 %</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77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Other Information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98"/>
        </w:trPr>
        <w:tc>
          <w:tcPr>
            <w:tcW w:w="7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89" w:lineRule="exact"/>
        <w:rPr>
          <w:sz w:val="20"/>
          <w:szCs w:val="20"/>
          <w:color w:val="auto"/>
        </w:rPr>
      </w:pPr>
    </w:p>
    <w:p>
      <w:pPr>
        <w:ind w:left="180" w:hanging="172"/>
        <w:spacing w:after="0" w:line="237" w:lineRule="auto"/>
        <w:tabs>
          <w:tab w:leader="none" w:pos="145"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Same Property results for the Company's properties reflect constant currency for comparative purposes. United Kingdom currency figures in the prior comparative period have been translated at the average exchange rate of $1.2681 USD per Pound sterling, during the three months ended March 31, 2024.</w:t>
      </w:r>
    </w:p>
    <w:p>
      <w:pPr>
        <w:spacing w:after="0" w:line="11"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Percentages are calculated based on unrounded numbers.</w:t>
      </w:r>
    </w:p>
    <w:p>
      <w:pPr>
        <w:spacing w:after="0" w:line="43"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net certain utilities revenues (which include utility reimbursement revenues from residents) against related utility expenses in property operating expenses as follows (in millions):</w:t>
      </w:r>
    </w:p>
    <w:p>
      <w:pPr>
        <w:spacing w:after="0" w:line="94"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0" w:type="dxa"/>
            <w:vAlign w:val="bottom"/>
          </w:tcPr>
          <w:p>
            <w:pPr>
              <w:spacing w:after="0"/>
              <w:rPr>
                <w:sz w:val="1"/>
                <w:szCs w:val="1"/>
                <w:color w:val="auto"/>
              </w:rPr>
            </w:pPr>
          </w:p>
        </w:tc>
      </w:tr>
      <w:tr>
        <w:trPr>
          <w:trHeight w:val="206"/>
        </w:trPr>
        <w:tc>
          <w:tcPr>
            <w:tcW w:w="8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33"/>
        </w:trPr>
        <w:tc>
          <w:tcPr>
            <w:tcW w:w="89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Utility revenue netted against related utility expense</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03"/>
        </w:trPr>
        <w:tc>
          <w:tcPr>
            <w:tcW w:w="9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Same Property Summary (in whole units)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0"/>
        </w:trPr>
        <w:tc>
          <w:tcPr>
            <w:tcW w:w="754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80" w:type="dxa"/>
            <w:vAlign w:val="bottom"/>
          </w:tcPr>
          <w:p>
            <w:pPr>
              <w:spacing w:after="0"/>
              <w:rPr>
                <w:sz w:val="17"/>
                <w:szCs w:val="17"/>
                <w:color w:val="auto"/>
              </w:rPr>
            </w:pPr>
          </w:p>
        </w:tc>
        <w:tc>
          <w:tcPr>
            <w:tcW w:w="960" w:type="dxa"/>
            <w:vAlign w:val="bottom"/>
          </w:tcPr>
          <w:p>
            <w:pPr>
              <w:jc w:val="right"/>
              <w:ind w:right="184"/>
              <w:spacing w:after="0" w:line="200"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b w:val="1"/>
                <w:bCs w:val="1"/>
                <w:color w:val="auto"/>
                <w:vertAlign w:val="superscript"/>
              </w:rPr>
              <w:t>(a)</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3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2"/>
        </w:trPr>
        <w:tc>
          <w:tcPr>
            <w:tcW w:w="75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300" w:type="dxa"/>
            <w:vAlign w:val="bottom"/>
          </w:tcPr>
          <w:p>
            <w:pPr>
              <w:spacing w:after="0"/>
              <w:rPr>
                <w:sz w:val="17"/>
                <w:szCs w:val="17"/>
                <w:color w:val="auto"/>
              </w:rPr>
            </w:pP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7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2"/>
        </w:trPr>
        <w:tc>
          <w:tcPr>
            <w:tcW w:w="75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UK</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16,690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16,440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250</w:t>
            </w:r>
          </w:p>
        </w:tc>
      </w:tr>
      <w:tr>
        <w:trPr>
          <w:trHeight w:val="200"/>
        </w:trPr>
        <w:tc>
          <w:tcPr>
            <w:tcW w:w="7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UK Transient</w:t>
            </w:r>
          </w:p>
        </w:tc>
        <w:tc>
          <w:tcPr>
            <w:tcW w:w="300" w:type="dxa"/>
            <w:vAlign w:val="bottom"/>
          </w:tcPr>
          <w:p>
            <w:pPr>
              <w:spacing w:after="0"/>
              <w:rPr>
                <w:sz w:val="17"/>
                <w:szCs w:val="17"/>
                <w:color w:val="auto"/>
              </w:rPr>
            </w:pP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3,130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(70)</w:t>
            </w:r>
          </w:p>
        </w:tc>
      </w:tr>
      <w:tr>
        <w:trPr>
          <w:trHeight w:val="218"/>
        </w:trPr>
        <w:tc>
          <w:tcPr>
            <w:tcW w:w="7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754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Occupancy</w:t>
            </w:r>
            <w:r>
              <w:rPr>
                <w:rFonts w:ascii="Times New Roman" w:cs="Times New Roman" w:eastAsia="Times New Roman" w:hAnsi="Times New Roman"/>
                <w:sz w:val="19"/>
                <w:szCs w:val="19"/>
                <w:color w:val="auto"/>
                <w:vertAlign w:val="superscript"/>
              </w:rPr>
              <w:t>(b)</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Monthly base rent per site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w:t>
            </w:r>
          </w:p>
        </w:tc>
      </w:tr>
    </w:tbl>
    <w:p>
      <w:pPr>
        <w:spacing w:after="0" w:line="78"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Calculated using actual results without rounding.</w:t>
      </w:r>
    </w:p>
    <w:p>
      <w:pPr>
        <w:spacing w:after="0" w:line="55" w:lineRule="exact"/>
        <w:rPr>
          <w:rFonts w:ascii="Times New Roman" w:cs="Times New Roman" w:eastAsia="Times New Roman" w:hAnsi="Times New Roman"/>
          <w:sz w:val="17"/>
          <w:szCs w:val="17"/>
          <w:color w:val="auto"/>
          <w:vertAlign w:val="superscript"/>
        </w:rPr>
      </w:pPr>
    </w:p>
    <w:p>
      <w:pPr>
        <w:ind w:left="180" w:hanging="172"/>
        <w:spacing w:after="0" w:line="219" w:lineRule="auto"/>
        <w:tabs>
          <w:tab w:leader="none" w:pos="15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Adjusting for recently delivered and vacant expansion sites, Same Property adjusted occupancy decreased by 40 basis points year over year, to 90.4% at March 31, 2024, from 90.8% at March 31, 2023.</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w:t>
      </w:r>
    </w:p>
    <w:p>
      <w:pPr>
        <w:spacing w:after="0" w:line="252" w:lineRule="exact"/>
        <w:rPr>
          <w:sz w:val="20"/>
          <w:szCs w:val="20"/>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$12.1 million, or 8.0%, when compared to the same period in 2023 is primarily due to an increase in Real property (excluding transient) revenue of $13.9 million, or 6.8%. Real property (excluding transient) revenue increased primarily due to a 6.0%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$3.8 million, or 8.1%, when compared to the same period in 2023 is primarily due to an increase in Real property (excluding transient) revenue of $7.7 million, or 13.4%, partially offset by a decrease in Real property-transient revenue of $4.7 million, or 13.2%. The increase in Real property - (excluding transient) revenue was primarily due to a 7.2% increase in monthly base rent and conversions of transient RV sites to annual RV sites.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 segment increase in NOI of $3.6 million, or 7.5%, when compared to the same period in 2023 is primarily due to the $5.4 million, or 7.3%, increase in Real property (excluding transient) revenue.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segment increase in NOI of $3.3 million, or 44.5%, when compared to the same period in 2023 is primarily due to the $1.9 million, or 8.3%, increase in Real property (excluding transient) revenue.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Sales Summary</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sell new and pre-owned homes to current and prospective residents and customers in our communities. This inventory is purchased from manufacturers, lenders, dealers, former residents or customers.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statistical information for our home sales program for the three months ended March 31, 2024 and 2023 (in millions, except for average selling price and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0"/>
        </w:trPr>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20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6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00"/>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47.2</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 and selling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26.2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r>
      <w:tr>
        <w:trPr>
          <w:trHeight w:val="198"/>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48"/>
        </w:trPr>
        <w:tc>
          <w:tcPr>
            <w:tcW w:w="6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UK</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0"/>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36.1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 and selling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25.7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98"/>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48"/>
        </w:trPr>
        <w:tc>
          <w:tcPr>
            <w:tcW w:w="6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0"/>
        </w:trPr>
        <w:tc>
          <w:tcPr>
            <w:tcW w:w="62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Home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68.9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86.3</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 and selling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51.9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62.6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198"/>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49"/>
        </w:trPr>
        <w:tc>
          <w:tcPr>
            <w:tcW w:w="6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Units Sold:</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0"/>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MH</w:t>
            </w:r>
          </w:p>
        </w:tc>
        <w:tc>
          <w:tcPr>
            <w:tcW w:w="160" w:type="dxa"/>
            <w:vAlign w:val="bottom"/>
          </w:tcPr>
          <w:p>
            <w:pPr>
              <w:spacing w:after="0"/>
              <w:rPr>
                <w:sz w:val="17"/>
                <w:szCs w:val="17"/>
                <w:color w:val="auto"/>
              </w:rPr>
            </w:pP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(262)</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UK</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621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589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198"/>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home sales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1,178</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2"/>
        </w:trPr>
        <w:tc>
          <w:tcPr>
            <w:tcW w:w="62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Average Selling Price: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MH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100,306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80,136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20,170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25.2 %</w:t>
            </w:r>
          </w:p>
        </w:tc>
      </w:tr>
      <w:tr>
        <w:trPr>
          <w:trHeight w:val="198"/>
        </w:trPr>
        <w:tc>
          <w:tcPr>
            <w:tcW w:w="6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UK homes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58,132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66,384</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(8,252)</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 - MH</w:t>
      </w:r>
    </w:p>
    <w:p>
      <w:pPr>
        <w:spacing w:after="0" w:line="2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2024, the 41.1% decrease in NOI is primarily driven by a 44.5% decrease in total home sales volume as compared to the same period in 2023, partially offset by a 25.2% increase in average selling price.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 - UK</w:t>
      </w:r>
    </w:p>
    <w:p>
      <w:pPr>
        <w:spacing w:after="0" w:line="2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2024, the 16.8% decrease in NOI is primarily driven by a 12.4% decrease in average selling price as compared to the same period in 2023, partially offset by a 5.4% increase in total home sales volume.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 - Statements of Operations</w:t>
      </w:r>
      <w:r>
        <w:rPr>
          <w:rFonts w:ascii="Times New Roman" w:cs="Times New Roman" w:eastAsia="Times New Roman" w:hAnsi="Times New Roman"/>
          <w:sz w:val="23"/>
          <w:szCs w:val="23"/>
          <w:color w:val="auto"/>
          <w:vertAlign w:val="superscript"/>
        </w:rPr>
        <w:t>(1)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and expenses for the three months ended March 31, 2024 and 2023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20" w:type="dxa"/>
            <w:vAlign w:val="bottom"/>
            <w:tcBorders>
              <w:bottom w:val="single" w:sz="8" w:color="auto"/>
            </w:tcBorders>
          </w:tcPr>
          <w:p>
            <w:pPr>
              <w:spacing w:after="0"/>
              <w:rPr>
                <w:sz w:val="17"/>
                <w:szCs w:val="17"/>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96"/>
        </w:trPr>
        <w:tc>
          <w:tcPr>
            <w:tcW w:w="6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Service, retail, dining and entertainment,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22.5 %</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Business combinations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6.2 %</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17.1 %</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remeasurement of marketable securities (see Note 16)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remeasurement of notes receivable (see Note 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58.8 %</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 (loss) from nonconsolidated affiliates (see Note 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 (loss) on remeasurement of investment in nonconsolidated affiliates (see Note 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tax expense (see Note 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benefit (see Note 13)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23.9 %</w:t>
            </w: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Preferred return to preferred OP units / equity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33.3 %</w:t>
            </w:r>
          </w:p>
        </w:tc>
      </w:tr>
      <w:tr>
        <w:trPr>
          <w:trHeight w:val="198"/>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attributable to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w:t>
            </w:r>
          </w:p>
        </w:tc>
      </w:tr>
    </w:tbl>
    <w:p>
      <w:pPr>
        <w:spacing w:after="0" w:line="89" w:lineRule="exact"/>
        <w:rPr>
          <w:sz w:val="20"/>
          <w:szCs w:val="20"/>
          <w:color w:val="auto"/>
        </w:rPr>
      </w:pPr>
    </w:p>
    <w:p>
      <w:pPr>
        <w:ind w:right="3720" w:firstLine="8"/>
        <w:spacing w:after="0" w:line="314" w:lineRule="auto"/>
        <w:tabs>
          <w:tab w:leader="none" w:pos="149"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Only items determined by management to be material, of interest, or unique to the periods disclosed above are explained below. N/M = Percentage change is not meaningful.</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 for the three months ended March 31, 2024, decreased primarily due to having fewer loans outstanding to real estate operators than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Refer to Note 4, "Notes and Other Receivables," in our accompanying Consolidated Financial Statements for additional information.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Brokerage commissions and other, net </w:t>
      </w:r>
      <w:r>
        <w:rPr>
          <w:rFonts w:ascii="Times New Roman" w:cs="Times New Roman" w:eastAsia="Times New Roman" w:hAnsi="Times New Roman"/>
          <w:sz w:val="18"/>
          <w:szCs w:val="18"/>
          <w:color w:val="auto"/>
        </w:rPr>
        <w:t>- for the three months ended March 31, 2024, decreased primarily due to a decrease in the number of brokered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reducing total brokerage commissions as compared to the same period in 2023, and a decrease in dividend income as a result of the sale of our stake in the common shares of Ingenia in 2023. Refer to Note 16, "Fair Value Measurements," in our accompanying Consolidated Financial Statements for additional information.</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 for the three months ended March 31, 2024, increased primarily due to non-recurring transaction costs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a loan provided to a real estate operator, other costs associated with potential acquisitions that will not close, and an increase in payroll costs at our UK segment, as compared to the same periods in 2023.</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Catastrophic event-related charges, net </w:t>
      </w:r>
      <w:r>
        <w:rPr>
          <w:rFonts w:ascii="Times New Roman" w:cs="Times New Roman" w:eastAsia="Times New Roman" w:hAnsi="Times New Roman"/>
          <w:sz w:val="18"/>
          <w:szCs w:val="18"/>
          <w:color w:val="auto"/>
        </w:rPr>
        <w:t>- for the three months ended March 31, 2024, increased primarily due to incremental asset impairment and debris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charges of $4.7 million driven by flooding at an RV community in New Hampshire.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for the three months ended March 31, 2024, decreased primarily as a result of no new acquisitions accounted for as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 during 2024 as compared to such acquisitions in the same period in 2023. Refer to Note 3, "Real Estate Acquisitions and Dispositions," in our accompanying Consolidated Financial Statements for additional information.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 for the three months ended March 31, 2024, includes charges related to non-continuing expansion and development projects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write off of other financial assets.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 for the three months ended March 31, 2024, was zero as compared to goodwill impairment charges of $15.4 million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reporting segment during the same period in 2023. Refer to Note 6, "Goodwill and Other Intangible Assets," in our accompanying Consolidated Financial Statements for additional information.</w:t>
      </w:r>
    </w:p>
    <w:p>
      <w:pPr>
        <w:spacing w:after="0" w:line="200"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Interest expense </w:t>
      </w:r>
      <w:r>
        <w:rPr>
          <w:rFonts w:ascii="Times New Roman" w:cs="Times New Roman" w:eastAsia="Times New Roman" w:hAnsi="Times New Roman"/>
          <w:sz w:val="17"/>
          <w:szCs w:val="17"/>
          <w:color w:val="auto"/>
        </w:rPr>
        <w:t>- for the three months ended March 31, 2024, increased due to a higher debt balance and higher weighted average interest rate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2023. Refer to Note 9, "Debt and Line of Credit," of our accompanying Consolidated Financial Statements for additional information.</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remeasurement of marketable securities </w:t>
      </w:r>
      <w:r>
        <w:rPr>
          <w:rFonts w:ascii="Times New Roman" w:cs="Times New Roman" w:eastAsia="Times New Roman" w:hAnsi="Times New Roman"/>
          <w:sz w:val="18"/>
          <w:szCs w:val="18"/>
          <w:color w:val="auto"/>
        </w:rPr>
        <w:t>- for the three months ended March 31, 2024, was zero due to the sale of our publicly traded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 Ingenia in 2023, as compared to a loss of $19.9 million during the same period in 2023. Refer to Note 16, "Fair Value Measurements"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 (loss) on foreign currency exchanges </w:t>
      </w:r>
      <w:r>
        <w:rPr>
          <w:rFonts w:ascii="Times New Roman" w:cs="Times New Roman" w:eastAsia="Times New Roman" w:hAnsi="Times New Roman"/>
          <w:sz w:val="18"/>
          <w:szCs w:val="18"/>
          <w:color w:val="auto"/>
        </w:rPr>
        <w:t>- for the three months ended March 31, 2024, was a gain of $1.1 million, as compared to a loss of $2.7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same period in 2023 primarily due to the termination of the Pound sterling denominated term loan under our Senior Credit Facility in the current period. Refer to Note 9, "Debt and Line of Credit" in our accompanying Consolidated Financial Statements for additional information.</w:t>
      </w:r>
    </w:p>
    <w:p>
      <w:pPr>
        <w:spacing w:after="0" w:line="20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 (loss) on dispositions of properties </w:t>
      </w:r>
      <w:r>
        <w:rPr>
          <w:rFonts w:ascii="Times New Roman" w:cs="Times New Roman" w:eastAsia="Times New Roman" w:hAnsi="Times New Roman"/>
          <w:sz w:val="18"/>
          <w:szCs w:val="18"/>
          <w:color w:val="auto"/>
        </w:rPr>
        <w:t>- for the three months ended March 31, 2024 was a gain of $5.4 million on the sale of two properties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loss of $1.6 million on the sale of two land parcels during the same period in 2023. Refer to Note 3, "Real Estate Acquisitions and Dispositions,"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 for the three months ended March 31, 2024, was a gain of $8.0 million primarily due to a litigation settlement gain of $10.3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related to our Marina segment, as compared to a loss of $1.0 million related to long-term lease termination expenses during the same period in 2023.</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 (loss) on remeasurement of investment in nonconsolidated affiliates </w:t>
      </w:r>
      <w:r>
        <w:rPr>
          <w:rFonts w:ascii="Times New Roman" w:cs="Times New Roman" w:eastAsia="Times New Roman" w:hAnsi="Times New Roman"/>
          <w:sz w:val="18"/>
          <w:szCs w:val="18"/>
          <w:color w:val="auto"/>
        </w:rPr>
        <w:t>- for the three months ended March 31, 2024, was a gain of $5.2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loss of $4.5 million during the same period in 2023 due to the fluctuation of the fair value of our nonconsolidated affiliates. Refer to Note 7, "Investments in Nonconsolidated Affiliates,"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SUI COMMON SHAREHOLDERS TO FFO</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loss attributable to SUI common shareholders to FFO for the three months ended March 31, 2024 and 2023 (in millions, except for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8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Attributable to SUI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w:t>
            </w: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w:t>
            </w:r>
          </w:p>
        </w:tc>
      </w:tr>
      <w:tr>
        <w:trPr>
          <w:trHeight w:val="205"/>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on nonconsolidated affiliates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5"/>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 impairment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marketable securities</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05"/>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notes receivable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5"/>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 including tax effect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 Returns on preferred OP units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Loss attributable to noncontrolling interests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Gain on dispositions of assets, net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198"/>
        </w:trPr>
        <w:tc>
          <w:tcPr>
            <w:tcW w:w="8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145.9</w:t>
            </w: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Business combination expense</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5"/>
        </w:trPr>
        <w:tc>
          <w:tcPr>
            <w:tcW w:w="844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Acquisition and other transaction costs</w:t>
            </w:r>
            <w:r>
              <w:rPr>
                <w:rFonts w:ascii="Times New Roman" w:cs="Times New Roman" w:eastAsia="Times New Roman" w:hAnsi="Times New Roman"/>
                <w:sz w:val="19"/>
                <w:szCs w:val="19"/>
                <w:color w:val="auto"/>
                <w:vertAlign w:val="superscript"/>
              </w:rPr>
              <w:t>(2)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00"/>
        </w:trPr>
        <w:tc>
          <w:tcPr>
            <w:tcW w:w="8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844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Loss of earnings - catastrophic event-related charges, net</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3"/>
        </w:trPr>
        <w:tc>
          <w:tcPr>
            <w:tcW w:w="844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adjustments, net</w:t>
            </w:r>
            <w:r>
              <w:rPr>
                <w:rFonts w:ascii="Times New Roman" w:cs="Times New Roman" w:eastAsia="Times New Roman" w:hAnsi="Times New Roman"/>
                <w:sz w:val="19"/>
                <w:szCs w:val="19"/>
                <w:color w:val="auto"/>
                <w:vertAlign w:val="superscript"/>
              </w:rPr>
              <w:t>(4)</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21"/>
        </w:trPr>
        <w:tc>
          <w:tcPr>
            <w:tcW w:w="84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Dilutive Convertible Securities</w:t>
            </w:r>
            <w:r>
              <w:rPr>
                <w:rFonts w:ascii="Times New Roman" w:cs="Times New Roman" w:eastAsia="Times New Roman" w:hAnsi="Times New Roman"/>
                <w:sz w:val="19"/>
                <w:szCs w:val="19"/>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w:t>
            </w:r>
          </w:p>
        </w:tc>
      </w:tr>
      <w:tr>
        <w:trPr>
          <w:trHeight w:val="108"/>
        </w:trPr>
        <w:tc>
          <w:tcPr>
            <w:tcW w:w="8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08"/>
        </w:trPr>
        <w:tc>
          <w:tcPr>
            <w:tcW w:w="8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Dilutive Convertible Securities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r>
    </w:tbl>
    <w:p>
      <w:pPr>
        <w:spacing w:after="0" w:line="55"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the effect of certain anti-dilutive convertible securities.</w:t>
      </w:r>
    </w:p>
    <w:p>
      <w:pPr>
        <w:spacing w:after="0" w:line="55" w:lineRule="exact"/>
        <w:rPr>
          <w:rFonts w:ascii="Times New Roman" w:cs="Times New Roman" w:eastAsia="Times New Roman" w:hAnsi="Times New Roman"/>
          <w:sz w:val="19"/>
          <w:szCs w:val="19"/>
          <w:color w:val="auto"/>
          <w:vertAlign w:val="superscript"/>
        </w:rPr>
      </w:pPr>
    </w:p>
    <w:p>
      <w:pPr>
        <w:jc w:val="both"/>
        <w:ind w:left="180" w:hanging="172"/>
        <w:spacing w:after="0" w:line="227" w:lineRule="auto"/>
        <w:tabs>
          <w:tab w:leader="none" w:pos="167"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costs represent (i) nonrecurring integration expenses associated with acquisitions during the three months ended March 31, 2024, and 2023, (ii) costs associated with potential acquisitions that will not close, (iii) expenses incurred to bring recently acquired properties up to our operating standards, including items such as tree trimming and painting costs that do not meet our capitalization policy.</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Loss of earnings - catastrophic event-related charges, net include the following:</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74"/>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Hurricane Ian - Three Fort Myers, Florida RV communities impaired</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8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Estimated loss of earnings in excess of the applicable business interruption deductible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45"/>
        </w:trPr>
        <w:tc>
          <w:tcPr>
            <w:tcW w:w="81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Hurricane Irma - Three Florida Keys communities impaired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Estimated loss of earnings in excess of the applicable business interruption deductible</w:t>
            </w:r>
          </w:p>
        </w:tc>
        <w:tc>
          <w:tcPr>
            <w:tcW w:w="160" w:type="dxa"/>
            <w:vAlign w:val="bottom"/>
          </w:tcPr>
          <w:p>
            <w:pPr>
              <w:spacing w:after="0"/>
              <w:rPr>
                <w:sz w:val="16"/>
                <w:szCs w:val="16"/>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45"/>
        </w:trPr>
        <w:tc>
          <w:tcPr>
            <w:tcW w:w="8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of earnings - catastrophic event-related charges,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80" w:hanging="172"/>
        <w:spacing w:after="0" w:line="221" w:lineRule="auto"/>
        <w:tabs>
          <w:tab w:leader="none" w:pos="167"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adjustments, net relates primarily to (i) litigation settlement gain during the three months ended March 31, 2024, and (ii) deferred tax benefit during the three months ended March 31, 2024 and 2023.</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Liquidity</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 generated from operations, draws on our Senior Credit Facility, and the use of debt and equity offerings under our shelf registration statement. Refer to Note 9, "Debt and Line of Credit," and Note 10, "Equity and Temporary Equity," in our accompanying Consolidated Financial Statements for 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Our investment grade credit ratings remain unchanged from the initial rating. We plan to continue to capitalize on our unsecured bond market access to optimize our cost of capital and increase our financial flexibility.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market and economic conditions, including relating to, among other things, interest rates, currency fluctuations, equity valuations and inflation, may adversely affect our ability to obtain debt and equity capital in the short term on attractive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initial public offering in 1993,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occupancy gains and expense management. In 2024, we expect rental rate growth that exceeds headline inflation with ongoing focus on expense management to continue generating strong organic cash flow growth.</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a macroeconomic backdrop of sustained higher interest rates, we intend to prioritize debt reduction as our primary use of free cash flow from our operations and of proceeds from selective capital recycling. In addition, we are reducing our development activity considering the more challenging macroeconomic and capital market environment. Capital spending besides projects that are underway will be solely focused on the most strategic opportunities. We also attempt to manage interest rate risks by using interest rate hedging instruments and by monitoring our overall leverage levels. We engage in certain hedging transactions to limit our exposure from the adverse effects of changes in interest rates on borrowing costs of our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development and expansion activities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market conditions, we intend to selectively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The current higher interest rate environment makes it more expensive to finance acquisitions and fund developments and expansion. We will continue to very selectively pursue acquisition and development opportunities that meet our underwriting criteria.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did not acquire any new operating properties. During the same period, we entered into a ground lease to support one marina with eight wet slips and dry storage spaces. Subsequent to the three months ended March 31, 2024, we acquired three marinas with an aggregate 185 wet slips and dry storage spaces for an aggregate purchase price of approximately $12.0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acquired two land parcels located in the U.S. for $12.9 million. The parcels can accommodate the potential development of over 1,100 sites. We also expanded one of our existing communities by nearly 30 sites and delivered 70 sites at one ground-up development property.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selectively expand our properties utilizing our inventory of owned and entitled land. We have 18,510 MH and RV sites suitable for future development.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"Real Estate Acquisitions and Dispositions," in our accompanying Consolidated Financial Statements for additional detail on acquisitions completed to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(excluding Acquisition costs)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include lot modifications, growth projects, rebranding, acquisition-related capital expenditures, expansion and development construction costs, rental home purchases and recurring capital expenditures.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 activity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88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Recurring Capital Expenditures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r>
      <w:tr>
        <w:trPr>
          <w:trHeight w:val="216"/>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Non-Recurring Capital Expenditures and Related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Lot Modifications</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Growth Projects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Rebranding</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improvements to recent acquisitions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Expansion and Development</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Rental Program</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r>
      <w:tr>
        <w:trPr>
          <w:trHeight w:val="20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Non-Recurring Capital Expenditure and Related Activities</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281.0</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Capital Expenditure and Related Activities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160.6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301.8</w:t>
            </w:r>
          </w:p>
        </w:tc>
      </w:tr>
      <w:tr>
        <w:trPr>
          <w:trHeight w:val="21"/>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capital expenditures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recurring capital expenditures are necessary to maintain asset quality, including purchasing and replacing items used to operate the communities and marinas. Recurring capital expenditures at our MH, RV and UK properties include major road, driveway and pool improvements; clubhouse renovations; adding or replacing streetlights; playground equipment; signage; maintenance facilities; manager housing and property vehicles. Recurring capital expenditures at our marinas include dredging, dock repairs and improvements, and equipment maintenance and upgrades. The minimum capitalized amount is five hundred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Capital Expenditures and Related Activities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Lot modifications </w:t>
      </w:r>
      <w:r>
        <w:rPr>
          <w:rFonts w:ascii="Times New Roman" w:cs="Times New Roman" w:eastAsia="Times New Roman" w:hAnsi="Times New Roman"/>
          <w:sz w:val="18"/>
          <w:szCs w:val="18"/>
          <w:color w:val="auto"/>
        </w:rPr>
        <w:t>- lot modification capital expenditures are incurred to modify the foundational structures required to set a new home after a previous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projects </w:t>
      </w:r>
      <w:r>
        <w:rPr>
          <w:rFonts w:ascii="Times New Roman" w:cs="Times New Roman" w:eastAsia="Times New Roman" w:hAnsi="Times New Roman"/>
          <w:sz w:val="18"/>
          <w:szCs w:val="18"/>
          <w:color w:val="auto"/>
        </w:rPr>
        <w:t>- growth projects consist of revenue generating or expense reducing activities at the properties. These include, but are not limited to, utility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and renewable energy projects, site, slip or amenity upgrades such as the addition of a garage, shed or boat lift, and other special capital projects that substantiate an incremental rental increase.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Rebranding </w:t>
      </w:r>
      <w:r>
        <w:rPr>
          <w:rFonts w:ascii="Times New Roman" w:cs="Times New Roman" w:eastAsia="Times New Roman" w:hAnsi="Times New Roman"/>
          <w:sz w:val="18"/>
          <w:szCs w:val="18"/>
          <w:color w:val="auto"/>
        </w:rPr>
        <w:t>- rebranding includes new signage at our RV communities and the costs of building an RV mobile application and updated website.</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improvements subsequent to acquisition </w:t>
      </w:r>
      <w:r>
        <w:rPr>
          <w:rFonts w:ascii="Times New Roman" w:cs="Times New Roman" w:eastAsia="Times New Roman" w:hAnsi="Times New Roman"/>
          <w:sz w:val="18"/>
          <w:szCs w:val="18"/>
          <w:color w:val="auto"/>
        </w:rPr>
        <w:t>- often require 24 to 36 months to complete after closing and include upgrading clubhouses; landscaping;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street light systems; new mail delivery systems; pool renovations including larger decks, heaters and furniture; new maintenance facilities; lot modifications; and new signage including main signs and internal road signs.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Expansion and development expenditures </w:t>
      </w:r>
      <w:r>
        <w:rPr>
          <w:rFonts w:ascii="Times New Roman" w:cs="Times New Roman" w:eastAsia="Times New Roman" w:hAnsi="Times New Roman"/>
          <w:sz w:val="18"/>
          <w:szCs w:val="18"/>
          <w:color w:val="auto"/>
        </w:rPr>
        <w:t>- consist primarily of construction costs such as roads, activities, and amenities, and costs necessary to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 improvements, such as driveways, sidewalks and landscaping at our MH, RV and UK communities. Expenditures also include costs to rebuild after damage has been incurred at MH, RV, marina or UK properties, and research and development.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Rental program </w:t>
      </w:r>
      <w:r>
        <w:rPr>
          <w:rFonts w:ascii="Times New Roman" w:cs="Times New Roman" w:eastAsia="Times New Roman" w:hAnsi="Times New Roman"/>
          <w:sz w:val="18"/>
          <w:szCs w:val="18"/>
          <w:color w:val="auto"/>
        </w:rPr>
        <w:t>- consists of investment in the acquisition of homes intended for the Rental Program and the purchase of vacation rental homes at our RV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Expenditures for these investments depend upon the condition of the markets for repossessions and new home sales, rental homes and vacation rental homes.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are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88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9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242.5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w:t>
            </w: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For Investing Activities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(321.9)</w:t>
            </w:r>
          </w:p>
        </w:tc>
      </w:tr>
      <w:tr>
        <w:trPr>
          <w:trHeight w:val="20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 (Used For) Financing Activities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increased by $89.8 million from $42.7 million as of December 31, 2023, to $132.5 million as of March 31, 2024.</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provided by operating activities increased by $48.0 million to $242.5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$194.5 million for the three months ended March 31, 2023. The increase in operating cash flow was primarily due to improved Same Property operating performance at our MH and RV communities, marinas, and UK communities, partially offset by an increase in interest expense during the three months ended March 31, 2024 as compared to the corresponding period in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flows provided by operating activities from continuing operations may be adversely impacted by, among other things:</w:t>
      </w:r>
    </w:p>
    <w:p>
      <w:pPr>
        <w:spacing w:after="0" w:line="25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and economic conditions in our current markets generally, and specifically in the metropolitan areas of our current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occupancy and rental rates of our properties;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increases in insurance premiums;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operating costs, such as wage and benefit costs, real estate taxes and utilities;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manufactured homes;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volatility in economic conditions and the financial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outbreaks of disease and related restrictions on business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in Part I, Item 1A of our 2023 Annual Report.</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used for investing activities decreased by $194.8 million to $127.1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$321.9 million for the three months ended March 31, 2023. The decrease in Net cash used for investing activities was primarily driven by a decrease in cash deployed to invest in existing properties and acquire new properties, and proceeds received from the disposition of two MH properties during the three months ended March 31, 2024 as compared to the corresponding period in 2023. Refer to the Consolidated Statements of Cash Flows for detail on the net cash used for investing activities during the three months ended March 31, 2024 and 2023. Refer to Note 3, "Real Estate Acquisitions and Dispositions," and Note 20, "Subsequent Events," in our accompanying Consolidated Financial Statements for additional information on acquisitions and investment activity subsequent to March 31, 2024.</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used for financing activities was $25.4 million for the three months ended March 31, 2024, compared to net cash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financing activities of $111.6 million for the three months ended March 31, 2023. The change in Net cash provided by / (used for) financing activities was primarily driven by a decrease in net new borrowings during the three months ended March 31, 2024 as compared to the corresponding period in 2023 as part of our strategy to optimize the strength of our balance sheet. Refer to the Consolidated Statements of Cash Flows for detail on the net cash provided by financing activities during the three months ended March 31, 2024 and 2023. Refer to Note 9, "Debt and Line of Credit," in our accompanying Consolidated Financial Statements for additional information.</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variability associated with our outstanding floating rate debt and any maturing debt that has to be refinanced. Interest rate movements impact our borrowing costs and, while as of March 31, 2024, approximately 89% of our total debt was fixed rate financing, including the impact of hedge activity, increases in interest costs are likely to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and Debt Activity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At the Market Offering Sales Agreement (the "ATM")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Through March 31, 2024, we had entered into forward sales agreements under the ATM for an aggregate gross sales price of $160.6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sold our 41.8 million share position in Ingenia, generating $102.5 million of proceeds, net of underwriting and other fees, with a realized loss of $8.0 million. The proceeds were used to pay down amounts drawn under our Senior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2023, we entered into new mortgage term loans for $252.8 million that mature in November 1, 2030 and bear interest at a fixed rate of 6.49%. As a result of the new mortgage term loans, two additional properties were encumbered. We used the proceeds to repay $117.8 million of mortgage term loans that matured on November 30, 2023 and pay down amounts drawn under our Senior Credit Facility. The effective interest rate on the new secured loans is 6.251% inclusive of the impact of the aforementioned terminated swap of $50.0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we entered into mortgage term loans totaling $184.1 million related to 27 properties which mature between February 13, 2026 and April 1, 2033, and have a weighted average fixed interest rate of 5.39%. We used the net proceeds to repay borrowings outstanding under our Senior Credit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outstanding senior unsecured notes (in millions). All senior unsecured notes include interest payments on a semi-annual basis in arrears.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0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02"/>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5.5% notes, issued in January 2024 and due in January 2029</w:t>
            </w:r>
            <w:r>
              <w:rPr>
                <w:rFonts w:ascii="Times New Roman" w:cs="Times New Roman" w:eastAsia="Times New Roman" w:hAnsi="Times New Roman"/>
                <w:sz w:val="19"/>
                <w:szCs w:val="19"/>
                <w:color w:val="auto"/>
                <w:vertAlign w:val="superscript"/>
              </w:rPr>
              <w:t>(1)</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5.7% notes, issued in January 2023 and due in January 2033</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4.2% notes, issued in April 2022 and due in April 2032</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592.6</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notes, issued in October 2021 and due in November 2028</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446.8</w:t>
            </w: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2.7% notes, issued in June 2021 and October 2021, and due in July 2031</w:t>
            </w: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w:t>
            </w:r>
          </w:p>
        </w:tc>
      </w:tr>
      <w:tr>
        <w:trPr>
          <w:trHeight w:val="198"/>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2,700.0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2,177.5</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46" w:lineRule="auto"/>
        <w:tabs>
          <w:tab w:leader="none" w:pos="15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January 2024, the Operating Partnership issued $500.0 million of senior unsecured notes with an interest rate of 5.5% and a five-year term, due January 15, 2029. Interest on the notes is payable semi-annually in arrears on January 15 and July 15 of each year, beginning on July 15, 2024. The net proceeds from the offering were $495.4 million, after deducting underwriters' discounts and estimated offering expenses. We used the majority of the net proceeds to repay borrowings outstanding under our Senior Credit Facility.</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Partnership (as borrower), SUI (as guarantor), and certain lenders are parties to a credit agreement which governs our Senior Credit Facility.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March 2024, the aggregate amount of our Senior Credit Facility was $4.2 billion with the ability to upsize the total borrowings by an additional $800.0 million, subject to certain conditions. The aggregate amount under the Senior Credit Facility consisted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maturity date of the revolving term loan facility is April 7, 2026. At our option that maturity date may be extended two additional six-month periods. The maturity date of the term loan facility was April 7, 2025.</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we terminated the term loan facility and settled the associated $1.1 billion of borrowings outstanding under the term loan by increasing our borrowings under the revolving loan of the Senior Credit Facility. Subsequent to the termination of the term loan, our aggregate borrowing capacity under the Senior Credit Facility was reduced to the original capacity under the revolving loan of $3.05 billion. During the three months ended March 31, 2024, we recognized a Loss on extinguishment of debt in our Consolidated Statements of Operations of $0.6 million related to the termination of the term loan facility.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the Adjusted Term SOFR, the Adjusted Eurocurrency Rate, the Australian BBSY, the Daily SONIA Rate or the Canadian Dollar Offered Rate, as applicable, plus a margin, in all cases, which can range from 0.725% to 1.6%, subject to certain adjustments. As of March 31, 2024, the margins based on our credit ratings were 0.85% on the revolving loan facility.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Agreement. We had $1.7 billion and $944.1 million of borrowings outstanding under the revolving loan as of March 31, 2024 and December 31, 2023, respectively. We also had zero and $1.1 billion of borrowings outstanding under the term loan on the Senior Credit Facility as of March 31, 2024 and December 31, 2023, respectively. These balances are recorded in Unsecured debt on the Consolidated Balance Sheets.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$11.2 million and $26.2 million of outstanding letters of credit at March 31, 2024 and December 31,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Senior Credit Facility, we are subject to various financial and other covenants. The most restrictive financial covenants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Credit Facility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As of March 31, 2024</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leverage ratio</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&lt;65.0%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34.2%</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Minimum fixed charge coverage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&gt;1.40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3.08</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secured leverage ratio</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&lt;40.0%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As of March 31, 2024</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to total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41.5%</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Secured debt to total assets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18.5%</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available for debt service to debt service</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3.84</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Unencumbered total asset value to total unsecured debt</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≥150.0%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334.6%</w:t>
            </w:r>
          </w:p>
        </w:tc>
      </w:tr>
    </w:tbl>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were in compliance with the above covenants and do not anticipate that we will be unable to meet these covenants in the near term.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treasury rate lock contracts, interest rate swaps, and forward swaps for interest rate risk management purposes. We do not enter into derivative instruments for speculative purposes. The risks being hedged are the interest rate risk related to outstanding floating rate debt and forecasted debt issuance transactions, and the benchmark interest rates used are the SOFR and the SONIA Rate.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entered into one interest rate swap contract with a notional value of $25.0 million to hedge interest rate risk associated with a future debt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in connection with the issuance of $500.0 million of senior unsecured notes with an interest rate of 5.5% and a five-year term, due January 15, 2029, we settled seven forward swap contracts totaling $255.0 million and paid a net settlement payment of $2.3 million to several counterparties. Refer to Note 15, "Derivative Financial Instruments," in our accompanying Consolidated Financial Statements for additional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entered into derivative contracts with aggregate notional amounts of $582.3 million and terminated derivative contracts with aggregate notional amounts of $300.0 million and received an aggregate cash settlement of $13.4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 and Capital Requirements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unrestricted cash on hand of $118.9 million, $1.3 billion of remaining capacity on the Senior Credit Facility, and a total of 509 unencumbered MH, RV, marina and UK properties.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2023 Annual Report. If we are unable to obtain additional debt or equity financing on acceptable terms, our business, results of operations and financial condition would be adversely impacted.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our net debt to enterprise value was 31.7% (assuming conversion of all common and preferred OP units to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has a weighted average interest rate of 4.21% and a weighted average years to maturity of 6.8.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7, "Investments in Nonconsolidated Affiliates," in the accompanying Consolidated Financial Statements for additional information about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GTSC </w:t>
      </w:r>
      <w:r>
        <w:rPr>
          <w:rFonts w:ascii="Times New Roman" w:cs="Times New Roman" w:eastAsia="Times New Roman" w:hAnsi="Times New Roman"/>
          <w:sz w:val="18"/>
          <w:szCs w:val="18"/>
          <w:color w:val="auto"/>
        </w:rPr>
        <w:t>- During September 2019, GTSC entered into a warehouse line of credit with a maximum loan amount of $125.0 million. The line of credit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amended, with the maximum amount increased to $325.0 million as of December 31, 2022, with an option to increase to $375.0 million subject to the lender's consent. As of March 31, 2024 and December 31, 2023, the aggregate carrying amount of debt, including both our and our partner's share, incurred by GTSC was $267.5 million (of which our proportionate share is $107.0 million), and $261.3 million (of which our proportionate share is $104.5 million), respectively. The debt bears interest at a variable rate based on a Commercial Paper or adjusted SOFR plus a margin ranging from 1.65% to 2.5% per annum and matures on December 15, 2026.</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Sungenia JV </w:t>
      </w:r>
      <w:r>
        <w:rPr>
          <w:rFonts w:ascii="Times New Roman" w:cs="Times New Roman" w:eastAsia="Times New Roman" w:hAnsi="Times New Roman"/>
          <w:sz w:val="18"/>
          <w:szCs w:val="18"/>
          <w:color w:val="auto"/>
        </w:rPr>
        <w:t>- During May 2020, Sungenia JV, entered into a debt facility agreement with a maximum loan amount of $27.0 million Australian dollars,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$17.6 million converted at the March 31, 2024 exchange rate. During July 2022, the maximum amount was increased to $50.0 million Australian dollars, or $32.6 million converted at the March 31, 2024 exchange rate. As of March 31, 2024 and December 31, 2023, the aggregate carrying amount of the debt, including both our and our partners' share, incurred by Sungenia JV was $26.3 million (of which our proportionate share is approximately $13.1 million), and $25.2 million (of which our proportionate share is $12.6 million), respectively. The debt bears interest at a variable rate based on the BBSY rate plus a margin ranging from 1.35% to 1.4%, subject to adjustment for additional future commitments, per annum and matures on June 30,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and uncertainties and other factors may cause our actual results to be materially different from any future results expressed or implied by such forward-looking statements. In addition to the risks disclosed under "Risk Factors" in our 2023 Annual Report, and in our other filings with the SEC, from time to time, such risks, uncertainties and other factors include, but are not limited to:</w:t>
      </w:r>
    </w:p>
    <w:p>
      <w:pPr>
        <w:sectPr>
          <w:pgSz w:w="11900" w:h="16838" w:orient="portrait"/>
          <w:cols w:equalWidth="0" w:num="1">
            <w:col w:w="11240"/>
          </w:cols>
          <w:pgMar w:left="320" w:top="117" w:right="339" w:bottom="947" w:gutter="0" w:footer="0" w:header="0"/>
        </w:sect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18"/>
          <w:szCs w:val="18"/>
          <w:color w:val="auto"/>
        </w:rPr>
        <w:t>Changes in general economic conditions, including inflation, deflation, energy costs, the real estate industry and the markets within which we operate;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Difficulties in our ability to evaluate, finance, complete and integrate acquisitions, developments and expansions successfully;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and refinancing demands;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obtain or refinance maturing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compliance with covenants contained in our debt facilities and our unsecured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of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Outbreaks of disease and related restrictions on business operations;</w:t>
      </w:r>
    </w:p>
    <w:p>
      <w:pPr>
        <w:spacing w:after="0" w:line="104" w:lineRule="exact"/>
        <w:rPr>
          <w:sz w:val="20"/>
          <w:szCs w:val="20"/>
          <w:color w:val="auto"/>
        </w:rPr>
      </w:pPr>
    </w:p>
    <w:p>
      <w:pPr>
        <w:ind w:right="620"/>
        <w:spacing w:after="0" w:line="234" w:lineRule="auto"/>
        <w:rPr>
          <w:sz w:val="20"/>
          <w:szCs w:val="20"/>
          <w:color w:val="auto"/>
        </w:rPr>
      </w:pPr>
      <w:r>
        <w:rPr>
          <w:rFonts w:ascii="Times New Roman" w:cs="Times New Roman" w:eastAsia="Times New Roman" w:hAnsi="Times New Roman"/>
          <w:sz w:val="18"/>
          <w:szCs w:val="18"/>
          <w:color w:val="auto"/>
        </w:rPr>
        <w:t>Changes in foreign currency exchange rates, including between the U.S. dollar and each of the Canadian dollar, Australian dollar and Pound sterling;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rental rates and occupancy levels;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remediation plan and our ability to remediate the material weaknesses in our internal control over financial reporting;</w:t>
      </w:r>
    </w:p>
    <w:p>
      <w:pPr>
        <w:spacing w:after="0" w:line="104" w:lineRule="exact"/>
        <w:rPr>
          <w:sz w:val="20"/>
          <w:szCs w:val="20"/>
          <w:color w:val="auto"/>
        </w:rPr>
      </w:pPr>
    </w:p>
    <w:p>
      <w:pPr>
        <w:ind w:right="640"/>
        <w:spacing w:after="0" w:line="234" w:lineRule="auto"/>
        <w:rPr>
          <w:sz w:val="20"/>
          <w:szCs w:val="20"/>
          <w:color w:val="auto"/>
        </w:rPr>
      </w:pPr>
      <w:r>
        <w:rPr>
          <w:rFonts w:ascii="Times New Roman" w:cs="Times New Roman" w:eastAsia="Times New Roman" w:hAnsi="Times New Roman"/>
          <w:sz w:val="18"/>
          <w:szCs w:val="18"/>
          <w:color w:val="auto"/>
        </w:rPr>
        <w:t>Expectations regarding the amount or frequency of impairment losses, including as a result of the write-down of intangible assets, including goodwill;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interest rates and operating costs, including insurance premiums and real estate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natural disasters such as hurricanes, earthquakes, floods, droughts and wildfires;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volatility of the capital markets and the market price of shares of our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our status as a REIT;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real estate and zoning laws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Legislative or regulatory changes, including changes to laws governing the taxation of REITs;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judgments or settlements, including costs associated with prosecuting or defending claims and any adverse outcomes;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market forces;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of purchasers of manufactured homes and boats to obtain financing;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repossessions by manufactured home and boat lenders.</w:t>
      </w:r>
    </w:p>
    <w:p>
      <w:pPr>
        <w:spacing w:after="0" w:line="243" w:lineRule="exact"/>
        <w:rPr>
          <w:sz w:val="20"/>
          <w:szCs w:val="20"/>
          <w:color w:val="auto"/>
        </w:rPr>
      </w:pPr>
    </w:p>
    <w:p>
      <w:pPr>
        <w:sectPr>
          <w:pgSz w:w="11900" w:h="16838" w:orient="portrait"/>
          <w:cols w:equalWidth="0" w:num="2">
            <w:col w:w="380" w:space="380"/>
            <w:col w:w="10480"/>
          </w:cols>
          <w:pgMar w:left="320" w:top="117" w:right="339" w:bottom="947" w:gutter="0" w:footer="0" w:header="0"/>
          <w:type w:val="continuous"/>
        </w:sectPr>
      </w:pP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17" w:right="339" w:bottom="947"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947"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variable rate debt totaled $895.5 million and $1.2 billion as of March 31, 2024 and 2023 respectively, after adjusting for the impact of hedging in place through the use of interest rate swaps. As of March 31, 2024 and 2023, our variable debt bore interest at the Adjusted Term SOFR, the Adjusted Eurocurrency Rate, the Australian BBSY rate, the Daily SONIA Rate or the Canadian Dollar Offered Rate, and the Eurodollar rate or Prime rate plus a margin. If the above rates increased or decreased by 1.0%, our interest expense would have increased or decreased by $2.4 million and $3.5 million for the three months ended March 31, 2024 and 2023, respectively, based on the $968.9 million and $1.4 billion average balance outstanding under our variable rate debt facilities, respectively. Our variable rate debt, interest expense and average balance outstanding under our variable rate debt facility includes the impact of hedge activity.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and December 31, 2023, our shareholder's equity included $836.3 million and $893.9 million from our investments and operations in the United Kingdom, Canada and Australia which collectively represented 11.9% and 12.5% of total shareholder's equity, respectively. Based on our sensitivity analysis, a 10.0% strengthening of the U.S. dollar against the Pound sterling, Canadian dollar and Australian dollar would have caused a reduction of $83.6 million and $89.4 million to our total shareholder's equity at March 31, 2024 and December 31,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Rules 13a-15(e) or 15d-15(e) of the Exchange Act) at March 31, 2024. Based upon this evaluation, our Chief Executive Officer and Chief Financial Officer concluded that our disclosure controls and procedures were not effective because of the material weaknesses in internal control over financial reporting described below. These material weaknesses have not been remediated as of March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Weaknesses in Internal Control Over Financial Reporting</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Part II, Item 9A "Controls and Procedures" of our 2023 Annual Report, as of December 31, 2023, management identified a material weakness relating to the design of management's review controls of potential triggering events related to the evaluation for impairment of goodwill relating to our Park Holidays business within the UK reporting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quarter ended March 31, 2024, management identified a material weakness relating to the design of management's review controls of the testing for long-lived asset impairments as of March 31, 2024, relating to certain other properties within the UK reporting segment. Management has concluded that this material weakness did not create any material misstatement to previously issued financial statements for any prior periods or the current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Remediation of Material Weaknesses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Board of Directors are committed to maintaining a strong internal control environment. Management, with oversight from the Audit Committee of the Board of Directors, has developed, and is implementing, a comprehensive plan to remediate the material weaknesses. Remediation efforts are focused on more rigorous policies and procedures and sufficiency of reviews for the Company's evaluation of impairment for goodwill and long-lived assets. These efforts will include enhanced education and training from third party specialists, development of a continuous process for monitoring, assessment and communication, as well as involvement of additional key stakeholders in reviews.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measures described above will remediate the material weaknesses that we have identified. As management continues to evaluate and improve our disclosure controls and procedures and internal control over financial reporting, we may decide to take additional measures to address control deficiencies or determine to modify certain of the remediation measures identified.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be able to conclude whether these efforts will fully remediate the material weaknesses until the updated controls have operated for a sufficient period of time and management has concluded, through testing, that such controls are operating effectively.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we launched and adopted a new integrated ERP system, which replaced many of our existing core financial systems. The system enhances efficiencies and simplifies our accounting and reporting processes. In conjunction with the implementation of the ERP system, our internal processes, procedures and controls have been updated accordingly.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discussed in the preceding paragraph and above under "Remediation of Material Weaknesses," there were no changes in internal control over financial reporting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proceedings. Refer to "Legal Proceedings" in Part 1 - Item 1 - Note 17, "Commitments and Contingencies," in our accompanying Notes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described in Part 1, Item 1A., "Risk Factors," in our 2023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OP units have converted the following units during the three months ended March 31,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142"/>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260" w:type="dxa"/>
            <w:vAlign w:val="bottom"/>
          </w:tcPr>
          <w:p>
            <w:pPr>
              <w:spacing w:after="0"/>
              <w:rPr>
                <w:sz w:val="12"/>
                <w:szCs w:val="12"/>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r>
      <w:tr>
        <w:trPr>
          <w:trHeight w:val="196"/>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55,781</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55,781</w:t>
            </w:r>
          </w:p>
        </w:tc>
      </w:tr>
      <w:tr>
        <w:trPr>
          <w:trHeight w:val="20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10,332</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25,195</w:t>
            </w:r>
          </w:p>
        </w:tc>
      </w:tr>
      <w:tr>
        <w:trPr>
          <w:trHeight w:val="20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20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4,898</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3,160</w:t>
            </w:r>
          </w:p>
        </w:tc>
      </w:tr>
      <w:tr>
        <w:trPr>
          <w:trHeight w:val="20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bl>
    <w:p>
      <w:pPr>
        <w:spacing w:after="0" w:line="55" w:lineRule="exact"/>
        <w:rPr>
          <w:sz w:val="20"/>
          <w:szCs w:val="20"/>
          <w:color w:val="auto"/>
        </w:rPr>
      </w:pPr>
    </w:p>
    <w:p>
      <w:pPr>
        <w:ind w:left="160" w:hanging="152"/>
        <w:spacing w:after="0"/>
        <w:tabs>
          <w:tab w:leader="none" w:pos="1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securities described above were issued in private placements in reliance on Section 4(a)(2) of the Securities Act, including Regulation D promulgated thereunder. No underwriters were used in connection with any of such issuances.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repurchases during the three months ended March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Maximum number (or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8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approximate dollar value)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20" w:type="dxa"/>
            <w:vAlign w:val="bottom"/>
          </w:tcPr>
          <w:p>
            <w:pPr>
              <w:spacing w:after="0"/>
              <w:rPr>
                <w:sz w:val="12"/>
                <w:szCs w:val="12"/>
                <w:color w:val="auto"/>
              </w:rPr>
            </w:pPr>
          </w:p>
        </w:tc>
        <w:tc>
          <w:tcPr>
            <w:tcW w:w="1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shares that 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purchased under the plans</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140" w:type="dxa"/>
            <w:vAlign w:val="bottom"/>
          </w:tcPr>
          <w:p>
            <w:pPr>
              <w:spacing w:after="0"/>
              <w:rPr>
                <w:sz w:val="18"/>
                <w:szCs w:val="18"/>
                <w:color w:val="auto"/>
              </w:rPr>
            </w:pPr>
          </w:p>
        </w:tc>
        <w:tc>
          <w:tcPr>
            <w:tcW w:w="16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0" w:type="dxa"/>
            <w:vAlign w:val="bottom"/>
          </w:tcPr>
          <w:p>
            <w:pPr>
              <w:spacing w:after="0"/>
              <w:rPr>
                <w:sz w:val="1"/>
                <w:szCs w:val="1"/>
                <w:color w:val="auto"/>
              </w:rPr>
            </w:pPr>
          </w:p>
        </w:tc>
      </w:tr>
      <w:tr>
        <w:trPr>
          <w:trHeight w:val="207"/>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w:t>
            </w:r>
          </w:p>
        </w:tc>
        <w:tc>
          <w:tcPr>
            <w:tcW w:w="140" w:type="dxa"/>
            <w:vAlign w:val="bottom"/>
          </w:tcPr>
          <w:p>
            <w:pPr>
              <w:spacing w:after="0"/>
              <w:rPr>
                <w:sz w:val="17"/>
                <w:szCs w:val="17"/>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w:t>
            </w:r>
          </w:p>
        </w:tc>
        <w:tc>
          <w:tcPr>
            <w:tcW w:w="0" w:type="dxa"/>
            <w:vAlign w:val="bottom"/>
          </w:tcPr>
          <w:p>
            <w:pPr>
              <w:spacing w:after="0"/>
              <w:rPr>
                <w:sz w:val="1"/>
                <w:szCs w:val="1"/>
                <w:color w:val="auto"/>
              </w:rPr>
            </w:pPr>
          </w:p>
        </w:tc>
      </w:tr>
      <w:tr>
        <w:trPr>
          <w:trHeight w:val="20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 1, 2024 - January 31, 2024</w:t>
            </w: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131.24</w:t>
            </w:r>
          </w:p>
        </w:tc>
        <w:tc>
          <w:tcPr>
            <w:tcW w:w="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February 1, 2024 - February 29,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130.19</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1, 2024 - March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131.28</w:t>
            </w:r>
          </w:p>
        </w:tc>
        <w:tc>
          <w:tcPr>
            <w:tcW w:w="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58,214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130.87</w:t>
            </w:r>
          </w:p>
        </w:tc>
        <w:tc>
          <w:tcPr>
            <w:tcW w:w="8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withheld 58,214 shares from employees to satisfy estimated statutory income tax obligations related to vesting of restricted stock awards. The value of the common stock withheld was based on the closing price of our common stock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4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right w:val="single" w:sz="8" w:color="auto"/>
            </w:tcBorders>
          </w:tcPr>
          <w:p>
            <w:pPr>
              <w:spacing w:after="0"/>
              <w:rPr>
                <w:sz w:val="21"/>
                <w:szCs w:val="21"/>
                <w:color w:val="auto"/>
              </w:rPr>
            </w:pPr>
          </w:p>
        </w:tc>
        <w:tc>
          <w:tcPr>
            <w:tcW w:w="280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Method of Filing</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220" w:type="dxa"/>
            <w:vAlign w:val="bottom"/>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Sun Communities, Inc. Articles of Restatement</w:t>
              </w:r>
            </w:hyperlink>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4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auto"/>
            </w:tcBorders>
            <w:shd w:val="clear" w:color="auto" w:fill="CCEEFF"/>
          </w:tcPr>
          <w:p>
            <w:pPr>
              <w:spacing w:after="0"/>
              <w:rPr>
                <w:sz w:val="13"/>
                <w:szCs w:val="13"/>
                <w:color w:val="auto"/>
              </w:rPr>
            </w:pPr>
          </w:p>
        </w:tc>
        <w:tc>
          <w:tcPr>
            <w:tcW w:w="2800" w:type="dxa"/>
            <w:vAlign w:val="bottom"/>
            <w:tcBorders>
              <w:top w:val="single" w:sz="8" w:color="CCEEFF"/>
              <w:right w:val="single" w:sz="8" w:color="auto"/>
            </w:tcBorders>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3.1 to Sun Communities, Inc.'s</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Annual Report on Form 10-K filed on</w:t>
            </w: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22, 2018</w:t>
            </w:r>
          </w:p>
        </w:tc>
        <w:tc>
          <w:tcPr>
            <w:tcW w:w="0" w:type="dxa"/>
            <w:vAlign w:val="bottom"/>
          </w:tcPr>
          <w:p>
            <w:pPr>
              <w:spacing w:after="0"/>
              <w:rPr>
                <w:sz w:val="1"/>
                <w:szCs w:val="1"/>
                <w:color w:val="auto"/>
              </w:rPr>
            </w:pPr>
          </w:p>
        </w:tc>
      </w:tr>
      <w:tr>
        <w:trPr>
          <w:trHeight w:val="182"/>
        </w:trPr>
        <w:tc>
          <w:tcPr>
            <w:tcW w:w="184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6220" w:type="dxa"/>
            <w:vAlign w:val="bottom"/>
            <w:gridSpan w:val="13"/>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Fourth Amended and Restated Bylaws</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40" w:type="dxa"/>
            <w:vAlign w:val="bottom"/>
            <w:tcBorders>
              <w:left w:val="single" w:sz="8" w:color="auto"/>
              <w:right w:val="single" w:sz="8" w:color="auto"/>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3.1 to Sun Communities, Inc.'s</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0" w:type="dxa"/>
            <w:vAlign w:val="bottom"/>
          </w:tcPr>
          <w:p>
            <w:pPr>
              <w:spacing w:after="0"/>
              <w:rPr>
                <w:sz w:val="1"/>
                <w:szCs w:val="1"/>
                <w:color w:val="auto"/>
              </w:rPr>
            </w:pPr>
          </w:p>
        </w:tc>
      </w:tr>
      <w:tr>
        <w:trPr>
          <w:trHeight w:val="182"/>
        </w:trPr>
        <w:tc>
          <w:tcPr>
            <w:tcW w:w="184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6220" w:type="dxa"/>
            <w:vAlign w:val="bottom"/>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Sun Communities, Inc. Articles of Amendment effective May 18, 2023</w:t>
              </w:r>
            </w:hyperlink>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4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260" w:type="dxa"/>
            <w:vAlign w:val="bottom"/>
            <w:tcBorders>
              <w:top w:val="single" w:sz="8" w:color="0000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auto"/>
            </w:tcBorders>
            <w:shd w:val="clear" w:color="auto" w:fill="CCEEFF"/>
          </w:tcPr>
          <w:p>
            <w:pPr>
              <w:spacing w:after="0"/>
              <w:rPr>
                <w:sz w:val="13"/>
                <w:szCs w:val="13"/>
                <w:color w:val="auto"/>
              </w:rPr>
            </w:pPr>
          </w:p>
        </w:tc>
        <w:tc>
          <w:tcPr>
            <w:tcW w:w="2800" w:type="dxa"/>
            <w:vAlign w:val="bottom"/>
            <w:tcBorders>
              <w:top w:val="single" w:sz="8" w:color="CCEEFF"/>
              <w:right w:val="single" w:sz="8" w:color="auto"/>
            </w:tcBorders>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3.1 to Sun Communities, Inc.'s</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19, 2023</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6620" w:type="dxa"/>
            <w:vAlign w:val="bottom"/>
            <w:tcBorders>
              <w:right w:val="single" w:sz="8" w:color="auto"/>
            </w:tcBorders>
            <w:gridSpan w:val="19"/>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Indenture, dated as of June 28, 2021 by and between Sun Communities Operating Limited</w:t>
              </w:r>
            </w:hyperlink>
          </w:p>
        </w:tc>
        <w:tc>
          <w:tcPr>
            <w:tcW w:w="2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62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Partnership and UMB Bank, N.A. as trustee.</w:t>
              </w:r>
            </w:hyperlink>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 to Sun Communities, Inc.'s</w:t>
            </w:r>
          </w:p>
        </w:tc>
        <w:tc>
          <w:tcPr>
            <w:tcW w:w="0" w:type="dxa"/>
            <w:vAlign w:val="bottom"/>
          </w:tcPr>
          <w:p>
            <w:pPr>
              <w:spacing w:after="0"/>
              <w:rPr>
                <w:sz w:val="1"/>
                <w:szCs w:val="1"/>
                <w:color w:val="auto"/>
              </w:rPr>
            </w:pPr>
          </w:p>
        </w:tc>
      </w:tr>
      <w:tr>
        <w:trPr>
          <w:trHeight w:val="135"/>
        </w:trPr>
        <w:tc>
          <w:tcPr>
            <w:tcW w:w="1840" w:type="dxa"/>
            <w:vAlign w:val="bottom"/>
            <w:tcBorders>
              <w:left w:val="single" w:sz="8" w:color="auto"/>
              <w:right w:val="single" w:sz="8" w:color="auto"/>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5"/>
                <w:szCs w:val="15"/>
                <w:color w:val="auto"/>
              </w:rPr>
              <w:t>Current Report on Form 8-K filed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28, 2021</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6220" w:type="dxa"/>
            <w:vAlign w:val="bottom"/>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Fifth  Supplemental  Indenture,  dated  as  of  January  11,  2024  by  and  among</w:t>
              </w:r>
            </w:hyperlink>
          </w:p>
        </w:tc>
        <w:tc>
          <w:tcPr>
            <w:tcW w:w="400" w:type="dxa"/>
            <w:vAlign w:val="bottom"/>
            <w:tcBorders>
              <w:right w:val="single" w:sz="8" w:color="auto"/>
            </w:tcBorders>
            <w:gridSpan w:val="6"/>
            <w:shd w:val="clear" w:color="auto" w:fill="CCEEFF"/>
          </w:tcPr>
          <w:p>
            <w:pPr>
              <w:ind w:left="40"/>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Sun</w:t>
              </w:r>
            </w:hyperlink>
          </w:p>
        </w:tc>
        <w:tc>
          <w:tcPr>
            <w:tcW w:w="280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76"/>
        </w:trPr>
        <w:tc>
          <w:tcPr>
            <w:tcW w:w="184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6540" w:type="dxa"/>
            <w:vAlign w:val="bottom"/>
            <w:tcBorders>
              <w:top w:val="single" w:sz="8" w:color="0000FF"/>
              <w:bottom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Communities Operating Limited Partnership, Sun Communities, Inc., and UMB Bank,</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2800" w:type="dxa"/>
            <w:vAlign w:val="bottom"/>
            <w:tcBorders>
              <w:top w:val="single" w:sz="8" w:color="CCEEFF"/>
              <w:bottom w:val="single" w:sz="8" w:color="CCEEFF"/>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4.2 of Sun Communities, Inc.'s</w:t>
            </w:r>
          </w:p>
        </w:tc>
        <w:tc>
          <w:tcPr>
            <w:tcW w:w="0" w:type="dxa"/>
            <w:vAlign w:val="bottom"/>
          </w:tcPr>
          <w:p>
            <w:pPr>
              <w:spacing w:after="0"/>
              <w:rPr>
                <w:sz w:val="1"/>
                <w:szCs w:val="1"/>
                <w:color w:val="auto"/>
              </w:rPr>
            </w:pPr>
          </w:p>
        </w:tc>
      </w:tr>
      <w:tr>
        <w:trPr>
          <w:trHeight w:val="182"/>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62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N.A. as trustee.</w:t>
              </w:r>
            </w:hyperlink>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left w:val="single" w:sz="8" w:color="auto"/>
              <w:bottom w:val="single" w:sz="8" w:color="auto"/>
              <w:right w:val="single" w:sz="8" w:color="auto"/>
            </w:tcBorders>
            <w:shd w:val="clear" w:color="auto" w:fill="CCEEFF"/>
          </w:tcPr>
          <w:p>
            <w:pPr>
              <w:spacing w:after="0"/>
              <w:rPr>
                <w:sz w:val="14"/>
                <w:szCs w:val="14"/>
                <w:color w:val="auto"/>
              </w:rPr>
            </w:pPr>
          </w:p>
        </w:tc>
        <w:tc>
          <w:tcPr>
            <w:tcW w:w="620" w:type="dxa"/>
            <w:vAlign w:val="bottom"/>
            <w:tcBorders>
              <w:top w:val="single" w:sz="8" w:color="0000FF"/>
              <w:bottom w:val="single" w:sz="8" w:color="auto"/>
            </w:tcBorders>
            <w:shd w:val="clear" w:color="auto" w:fill="CCEEFF"/>
          </w:tcPr>
          <w:p>
            <w:pPr>
              <w:spacing w:after="0"/>
              <w:rPr>
                <w:sz w:val="14"/>
                <w:szCs w:val="14"/>
                <w:color w:val="auto"/>
              </w:rPr>
            </w:pPr>
          </w:p>
        </w:tc>
        <w:tc>
          <w:tcPr>
            <w:tcW w:w="480" w:type="dxa"/>
            <w:vAlign w:val="bottom"/>
            <w:tcBorders>
              <w:top w:val="single" w:sz="8" w:color="0000FF"/>
              <w:bottom w:val="single" w:sz="8" w:color="auto"/>
            </w:tcBorders>
            <w:shd w:val="clear" w:color="auto" w:fill="CCEEFF"/>
          </w:tcPr>
          <w:p>
            <w:pPr>
              <w:spacing w:after="0"/>
              <w:rPr>
                <w:sz w:val="14"/>
                <w:szCs w:val="14"/>
                <w:color w:val="auto"/>
              </w:rPr>
            </w:pPr>
          </w:p>
        </w:tc>
        <w:tc>
          <w:tcPr>
            <w:tcW w:w="1240" w:type="dxa"/>
            <w:vAlign w:val="bottom"/>
            <w:tcBorders>
              <w:top w:val="single" w:sz="8" w:color="CCEEFF"/>
              <w:bottom w:val="single" w:sz="8" w:color="auto"/>
            </w:tcBorders>
            <w:shd w:val="clear" w:color="auto" w:fill="CCEEFF"/>
          </w:tcPr>
          <w:p>
            <w:pPr>
              <w:spacing w:after="0"/>
              <w:rPr>
                <w:sz w:val="14"/>
                <w:szCs w:val="14"/>
                <w:color w:val="auto"/>
              </w:rPr>
            </w:pPr>
          </w:p>
        </w:tc>
        <w:tc>
          <w:tcPr>
            <w:tcW w:w="40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420" w:type="dxa"/>
            <w:vAlign w:val="bottom"/>
            <w:tcBorders>
              <w:top w:val="single" w:sz="8" w:color="CCEEFF"/>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spacing w:after="0"/>
              <w:rPr>
                <w:sz w:val="14"/>
                <w:szCs w:val="14"/>
                <w:color w:val="auto"/>
              </w:rPr>
            </w:pPr>
          </w:p>
        </w:tc>
        <w:tc>
          <w:tcPr>
            <w:tcW w:w="1260" w:type="dxa"/>
            <w:vAlign w:val="bottom"/>
            <w:tcBorders>
              <w:top w:val="single" w:sz="8" w:color="CCEEFF"/>
              <w:bottom w:val="single" w:sz="8" w:color="auto"/>
            </w:tcBorders>
            <w:shd w:val="clear" w:color="auto" w:fill="CCEEFF"/>
          </w:tcPr>
          <w:p>
            <w:pPr>
              <w:spacing w:after="0"/>
              <w:rPr>
                <w:sz w:val="14"/>
                <w:szCs w:val="14"/>
                <w:color w:val="auto"/>
              </w:rPr>
            </w:pPr>
          </w:p>
        </w:tc>
        <w:tc>
          <w:tcPr>
            <w:tcW w:w="104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4"/>
                <w:szCs w:val="14"/>
                <w:color w:val="auto"/>
              </w:rPr>
            </w:pPr>
          </w:p>
        </w:tc>
        <w:tc>
          <w:tcPr>
            <w:tcW w:w="2800" w:type="dxa"/>
            <w:vAlign w:val="bottom"/>
            <w:tcBorders>
              <w:top w:val="single" w:sz="8" w:color="CCEEFF"/>
              <w:bottom w:val="single" w:sz="8" w:color="auto"/>
              <w:right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January 11, 2024</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6220" w:type="dxa"/>
            <w:vAlign w:val="bottom"/>
            <w:gridSpan w:val="13"/>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Global Note for 5.500% Notes due 2029</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40" w:type="dxa"/>
            <w:vAlign w:val="bottom"/>
            <w:tcBorders>
              <w:left w:val="single" w:sz="8" w:color="auto"/>
              <w:right w:val="single" w:sz="8" w:color="auto"/>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4.3 of Sun Communities, Inc.'s</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11, 2024</w:t>
            </w: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6620" w:type="dxa"/>
            <w:vAlign w:val="bottom"/>
            <w:tcBorders>
              <w:right w:val="single" w:sz="8" w:color="auto"/>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Cooperation Agreement, dated February 15, 2024, by and between Sun Communities, Inc.</w:t>
              </w:r>
            </w:hyperlink>
          </w:p>
        </w:tc>
        <w:tc>
          <w:tcPr>
            <w:tcW w:w="2800" w:type="dxa"/>
            <w:vAlign w:val="bottom"/>
            <w:tcBorders>
              <w:right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42"/>
        </w:trPr>
        <w:tc>
          <w:tcPr>
            <w:tcW w:w="1840" w:type="dxa"/>
            <w:vAlign w:val="bottom"/>
            <w:tcBorders>
              <w:top w:val="single" w:sz="8" w:color="CCEEFF"/>
              <w:left w:val="single" w:sz="8" w:color="auto"/>
              <w:bottom w:val="single" w:sz="8" w:color="CCEEFF"/>
              <w:right w:val="single" w:sz="8" w:color="auto"/>
            </w:tcBorders>
            <w:shd w:val="clear" w:color="auto" w:fill="CCEEFF"/>
          </w:tcPr>
          <w:p>
            <w:pPr>
              <w:spacing w:after="0"/>
              <w:rPr>
                <w:sz w:val="12"/>
                <w:szCs w:val="12"/>
                <w:color w:val="auto"/>
              </w:rPr>
            </w:pPr>
          </w:p>
        </w:tc>
        <w:tc>
          <w:tcPr>
            <w:tcW w:w="3840" w:type="dxa"/>
            <w:vAlign w:val="bottom"/>
            <w:tcBorders>
              <w:top w:val="single" w:sz="8" w:color="0000FF"/>
              <w:bottom w:val="single" w:sz="8" w:color="0000FF"/>
            </w:tcBorders>
            <w:gridSpan w:val="9"/>
            <w:shd w:val="clear" w:color="auto" w:fill="CCEEFF"/>
          </w:tcPr>
          <w:p>
            <w:pPr>
              <w:spacing w:after="0" w:line="129" w:lineRule="exact"/>
              <w:rPr>
                <w:rFonts w:ascii="Times New Roman" w:cs="Times New Roman" w:eastAsia="Times New Roman" w:hAnsi="Times New Roman"/>
                <w:sz w:val="13"/>
                <w:szCs w:val="13"/>
                <w:color w:val="0000FF"/>
              </w:rPr>
            </w:pPr>
            <w:hyperlink r:id="rId92">
              <w:r>
                <w:rPr>
                  <w:rFonts w:ascii="Times New Roman" w:cs="Times New Roman" w:eastAsia="Times New Roman" w:hAnsi="Times New Roman"/>
                  <w:sz w:val="13"/>
                  <w:szCs w:val="13"/>
                  <w:color w:val="0000FF"/>
                </w:rPr>
                <w:t>and Land &amp; Buildings Investment Management LLC.</w:t>
              </w:r>
            </w:hyperlink>
          </w:p>
        </w:tc>
        <w:tc>
          <w:tcPr>
            <w:tcW w:w="2300" w:type="dxa"/>
            <w:vAlign w:val="bottom"/>
            <w:tcBorders>
              <w:top w:val="single" w:sz="8" w:color="0000FF"/>
              <w:bottom w:val="single" w:sz="8" w:color="0000FF"/>
            </w:tcBorders>
            <w:gridSpan w:val="2"/>
            <w:shd w:val="clear" w:color="auto" w:fill="CCEEFF"/>
          </w:tcPr>
          <w:p>
            <w:pPr>
              <w:spacing w:after="0"/>
              <w:rPr>
                <w:sz w:val="12"/>
                <w:szCs w:val="12"/>
                <w:color w:val="auto"/>
              </w:rPr>
            </w:pPr>
          </w:p>
        </w:tc>
        <w:tc>
          <w:tcPr>
            <w:tcW w:w="60" w:type="dxa"/>
            <w:vAlign w:val="bottom"/>
            <w:tcBorders>
              <w:top w:val="single" w:sz="8" w:color="0000FF"/>
              <w:bottom w:val="single" w:sz="8" w:color="0000FF"/>
            </w:tcBorders>
            <w:shd w:val="clear" w:color="auto" w:fill="CCEEFF"/>
          </w:tcPr>
          <w:p>
            <w:pPr>
              <w:spacing w:after="0"/>
              <w:rPr>
                <w:sz w:val="12"/>
                <w:szCs w:val="12"/>
                <w:color w:val="auto"/>
              </w:rPr>
            </w:pPr>
          </w:p>
        </w:tc>
        <w:tc>
          <w:tcPr>
            <w:tcW w:w="20" w:type="dxa"/>
            <w:vAlign w:val="bottom"/>
            <w:tcBorders>
              <w:top w:val="single" w:sz="8" w:color="0000FF"/>
              <w:bottom w:val="single" w:sz="8" w:color="0000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2800" w:type="dxa"/>
            <w:vAlign w:val="bottom"/>
            <w:tcBorders>
              <w:top w:val="single" w:sz="8" w:color="CCEEFF"/>
              <w:bottom w:val="single" w:sz="8" w:color="CCEEFF"/>
              <w:right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10.1 of Sun Communities, Inc.'s</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2024</w:t>
            </w: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10.2#</w:t>
            </w:r>
          </w:p>
        </w:tc>
        <w:tc>
          <w:tcPr>
            <w:tcW w:w="6220" w:type="dxa"/>
            <w:vAlign w:val="bottom"/>
            <w:gridSpan w:val="13"/>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First  Amendment  to  Employment  Agreement  among  Sun  Communities,  Inc.,</w:t>
              </w:r>
            </w:hyperlink>
          </w:p>
        </w:tc>
        <w:tc>
          <w:tcPr>
            <w:tcW w:w="400" w:type="dxa"/>
            <w:vAlign w:val="bottom"/>
            <w:tcBorders>
              <w:right w:val="single" w:sz="8" w:color="auto"/>
            </w:tcBorders>
            <w:gridSpan w:val="6"/>
          </w:tcPr>
          <w:p>
            <w:pPr>
              <w:ind w:left="40"/>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Sun</w:t>
              </w:r>
            </w:hyperlink>
          </w:p>
        </w:tc>
        <w:tc>
          <w:tcPr>
            <w:tcW w:w="280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42"/>
        </w:trPr>
        <w:tc>
          <w:tcPr>
            <w:tcW w:w="1840" w:type="dxa"/>
            <w:vAlign w:val="bottom"/>
            <w:tcBorders>
              <w:left w:val="single" w:sz="8" w:color="auto"/>
              <w:right w:val="single" w:sz="8" w:color="auto"/>
            </w:tcBorders>
          </w:tcPr>
          <w:p>
            <w:pPr>
              <w:spacing w:after="0"/>
              <w:rPr>
                <w:sz w:val="12"/>
                <w:szCs w:val="12"/>
                <w:color w:val="auto"/>
              </w:rPr>
            </w:pPr>
          </w:p>
        </w:tc>
        <w:tc>
          <w:tcPr>
            <w:tcW w:w="656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Communities Operating Limited Partnership and Fernando Castro-Caratini dated March</w:t>
              </w:r>
            </w:hyperlink>
          </w:p>
        </w:tc>
        <w:tc>
          <w:tcPr>
            <w:tcW w:w="60" w:type="dxa"/>
            <w:vAlign w:val="bottom"/>
            <w:tcBorders>
              <w:top w:val="single" w:sz="8" w:color="0000FF"/>
              <w:bottom w:val="single" w:sz="8" w:color="0000FF"/>
              <w:right w:val="single" w:sz="8" w:color="auto"/>
            </w:tcBorders>
          </w:tcPr>
          <w:p>
            <w:pPr>
              <w:spacing w:after="0"/>
              <w:rPr>
                <w:sz w:val="12"/>
                <w:szCs w:val="12"/>
                <w:color w:val="auto"/>
              </w:rPr>
            </w:pPr>
          </w:p>
        </w:tc>
        <w:tc>
          <w:tcPr>
            <w:tcW w:w="2800" w:type="dxa"/>
            <w:vAlign w:val="bottom"/>
            <w:tcBorders>
              <w:right w:val="single" w:sz="8" w:color="auto"/>
            </w:tcBorders>
          </w:tcPr>
          <w:p>
            <w:pPr>
              <w:spacing w:after="0" w:line="136" w:lineRule="exact"/>
              <w:rPr>
                <w:sz w:val="20"/>
                <w:szCs w:val="20"/>
                <w:color w:val="auto"/>
              </w:rPr>
            </w:pPr>
            <w:r>
              <w:rPr>
                <w:rFonts w:ascii="Times New Roman" w:cs="Times New Roman" w:eastAsia="Times New Roman" w:hAnsi="Times New Roman"/>
                <w:sz w:val="15"/>
                <w:szCs w:val="15"/>
                <w:color w:val="auto"/>
              </w:rPr>
              <w:t>10.1 of Sun Communities, Inc.'s</w:t>
            </w:r>
          </w:p>
        </w:tc>
        <w:tc>
          <w:tcPr>
            <w:tcW w:w="0" w:type="dxa"/>
            <w:vAlign w:val="bottom"/>
          </w:tcPr>
          <w:p>
            <w:pPr>
              <w:spacing w:after="0"/>
              <w:rPr>
                <w:sz w:val="1"/>
                <w:szCs w:val="1"/>
                <w:color w:val="auto"/>
              </w:rPr>
            </w:pPr>
          </w:p>
        </w:tc>
      </w:tr>
      <w:tr>
        <w:trPr>
          <w:trHeight w:val="142"/>
        </w:trPr>
        <w:tc>
          <w:tcPr>
            <w:tcW w:w="1840" w:type="dxa"/>
            <w:vAlign w:val="bottom"/>
            <w:tcBorders>
              <w:left w:val="single" w:sz="8" w:color="auto"/>
              <w:right w:val="single" w:sz="8" w:color="auto"/>
            </w:tcBorders>
          </w:tcPr>
          <w:p>
            <w:pPr>
              <w:spacing w:after="0"/>
              <w:rPr>
                <w:sz w:val="12"/>
                <w:szCs w:val="12"/>
                <w:color w:val="auto"/>
              </w:rPr>
            </w:pPr>
          </w:p>
        </w:tc>
        <w:tc>
          <w:tcPr>
            <w:tcW w:w="620" w:type="dxa"/>
            <w:vAlign w:val="bottom"/>
            <w:tcBorders>
              <w:bottom w:val="single" w:sz="8" w:color="0000FF"/>
            </w:tcBorders>
          </w:tcPr>
          <w:p>
            <w:pPr>
              <w:spacing w:after="0" w:line="129"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20, 2024</w:t>
              </w:r>
            </w:hyperlink>
          </w:p>
        </w:tc>
        <w:tc>
          <w:tcPr>
            <w:tcW w:w="48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bottom w:val="single" w:sz="8" w:color="CCEEFF"/>
              <w:right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6220" w:type="dxa"/>
            <w:vAlign w:val="bottom"/>
            <w:tcBorders>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Third Amendment to Employment Agreement among Sun Communities, Inc.,</w:t>
              </w:r>
            </w:hyperlink>
          </w:p>
        </w:tc>
        <w:tc>
          <w:tcPr>
            <w:tcW w:w="320" w:type="dxa"/>
            <w:vAlign w:val="bottom"/>
            <w:tcBorders>
              <w:bottom w:val="single" w:sz="8" w:color="0000FF"/>
            </w:tcBorders>
            <w:gridSpan w:val="4"/>
            <w:shd w:val="clear" w:color="auto" w:fill="CCEEFF"/>
          </w:tcPr>
          <w:p>
            <w:pPr>
              <w:ind w:left="40"/>
              <w:spacing w:after="0" w:line="156" w:lineRule="exact"/>
              <w:rPr>
                <w:rFonts w:ascii="Times New Roman" w:cs="Times New Roman" w:eastAsia="Times New Roman" w:hAnsi="Times New Roman"/>
                <w:sz w:val="18"/>
                <w:szCs w:val="18"/>
                <w:color w:val="0000FF"/>
                <w:w w:val="92"/>
              </w:rPr>
            </w:pPr>
            <w:hyperlink r:id="rId94">
              <w:r>
                <w:rPr>
                  <w:rFonts w:ascii="Times New Roman" w:cs="Times New Roman" w:eastAsia="Times New Roman" w:hAnsi="Times New Roman"/>
                  <w:sz w:val="18"/>
                  <w:szCs w:val="18"/>
                  <w:color w:val="0000FF"/>
                  <w:w w:val="92"/>
                </w:rPr>
                <w:t>Sun</w:t>
              </w:r>
            </w:hyperlink>
          </w:p>
        </w:tc>
        <w:tc>
          <w:tcPr>
            <w:tcW w:w="8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2800" w:type="dxa"/>
            <w:vAlign w:val="bottom"/>
            <w:tcBorders>
              <w:bottom w:val="single" w:sz="8" w:color="CCEEFF"/>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42"/>
        </w:trPr>
        <w:tc>
          <w:tcPr>
            <w:tcW w:w="184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140" w:type="dxa"/>
            <w:vAlign w:val="bottom"/>
            <w:tcBorders>
              <w:bottom w:val="single" w:sz="8" w:color="0000FF"/>
            </w:tcBorders>
            <w:gridSpan w:val="11"/>
            <w:shd w:val="clear" w:color="auto" w:fill="CCEEFF"/>
          </w:tcPr>
          <w:p>
            <w:pPr>
              <w:spacing w:after="0" w:line="129"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Communities Operating Limited Partnership and Bruce Thelen dated March 20, 2024</w:t>
              </w:r>
            </w:hyperlink>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right w:val="single" w:sz="8" w:color="auto"/>
            </w:tcBorders>
            <w:shd w:val="clear" w:color="auto" w:fill="CCEEFF"/>
          </w:tcPr>
          <w:p>
            <w:pPr>
              <w:spacing w:after="0"/>
              <w:rPr>
                <w:sz w:val="12"/>
                <w:szCs w:val="12"/>
                <w:color w:val="auto"/>
              </w:rPr>
            </w:pPr>
          </w:p>
        </w:tc>
        <w:tc>
          <w:tcPr>
            <w:tcW w:w="2800" w:type="dxa"/>
            <w:vAlign w:val="bottom"/>
            <w:tcBorders>
              <w:bottom w:val="single" w:sz="8" w:color="CCEEFF"/>
              <w:right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10.2 of Sun Communities, Inc.'s</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10.4#</w:t>
            </w:r>
          </w:p>
        </w:tc>
        <w:tc>
          <w:tcPr>
            <w:tcW w:w="6220" w:type="dxa"/>
            <w:vAlign w:val="bottom"/>
            <w:gridSpan w:val="13"/>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First  Amendment  to  Employment  Agreement  among  Sun  Communities,  Inc.,</w:t>
              </w:r>
            </w:hyperlink>
          </w:p>
        </w:tc>
        <w:tc>
          <w:tcPr>
            <w:tcW w:w="400" w:type="dxa"/>
            <w:vAlign w:val="bottom"/>
            <w:tcBorders>
              <w:right w:val="single" w:sz="8" w:color="auto"/>
            </w:tcBorders>
            <w:gridSpan w:val="6"/>
          </w:tcPr>
          <w:p>
            <w:pPr>
              <w:ind w:left="40"/>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Sun</w:t>
              </w:r>
            </w:hyperlink>
          </w:p>
        </w:tc>
        <w:tc>
          <w:tcPr>
            <w:tcW w:w="280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42"/>
        </w:trPr>
        <w:tc>
          <w:tcPr>
            <w:tcW w:w="1840" w:type="dxa"/>
            <w:vAlign w:val="bottom"/>
            <w:tcBorders>
              <w:left w:val="single" w:sz="8" w:color="auto"/>
              <w:right w:val="single" w:sz="8" w:color="auto"/>
            </w:tcBorders>
          </w:tcPr>
          <w:p>
            <w:pPr>
              <w:spacing w:after="0"/>
              <w:rPr>
                <w:sz w:val="12"/>
                <w:szCs w:val="12"/>
                <w:color w:val="auto"/>
              </w:rPr>
            </w:pPr>
          </w:p>
        </w:tc>
        <w:tc>
          <w:tcPr>
            <w:tcW w:w="620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Communities Operating Limited Partnership and Marc Farrugia dated March 20, 2024</w:t>
              </w:r>
            </w:hyperlink>
          </w:p>
        </w:tc>
        <w:tc>
          <w:tcPr>
            <w:tcW w:w="20" w:type="dxa"/>
            <w:vAlign w:val="bottom"/>
            <w:tcBorders>
              <w:top w:val="single" w:sz="8" w:color="0000FF"/>
              <w:bottom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right w:val="single" w:sz="8" w:color="auto"/>
            </w:tcBorders>
          </w:tcPr>
          <w:p>
            <w:pPr>
              <w:spacing w:after="0"/>
              <w:rPr>
                <w:sz w:val="12"/>
                <w:szCs w:val="12"/>
                <w:color w:val="auto"/>
              </w:rPr>
            </w:pPr>
          </w:p>
        </w:tc>
        <w:tc>
          <w:tcPr>
            <w:tcW w:w="2800" w:type="dxa"/>
            <w:vAlign w:val="bottom"/>
            <w:tcBorders>
              <w:right w:val="single" w:sz="8" w:color="auto"/>
            </w:tcBorders>
          </w:tcPr>
          <w:p>
            <w:pPr>
              <w:spacing w:after="0" w:line="136" w:lineRule="exact"/>
              <w:rPr>
                <w:sz w:val="20"/>
                <w:szCs w:val="20"/>
                <w:color w:val="auto"/>
              </w:rPr>
            </w:pPr>
            <w:r>
              <w:rPr>
                <w:rFonts w:ascii="Times New Roman" w:cs="Times New Roman" w:eastAsia="Times New Roman" w:hAnsi="Times New Roman"/>
                <w:sz w:val="15"/>
                <w:szCs w:val="15"/>
                <w:color w:val="auto"/>
              </w:rPr>
              <w:t>10.3 of Sun Communities, Inc.'s</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22.1</w:t>
            </w:r>
          </w:p>
        </w:tc>
        <w:tc>
          <w:tcPr>
            <w:tcW w:w="6220" w:type="dxa"/>
            <w:vAlign w:val="bottom"/>
            <w:tcBorders>
              <w:bottom w:val="single" w:sz="8" w:color="auto"/>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List of issuers of guaranteed securities</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6340" w:type="dxa"/>
            <w:vAlign w:val="bottom"/>
            <w:tcBorders>
              <w:bottom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Rules 13a-</w:t>
            </w:r>
          </w:p>
        </w:tc>
        <w:tc>
          <w:tcPr>
            <w:tcW w:w="280" w:type="dxa"/>
            <w:vAlign w:val="bottom"/>
            <w:tcBorders>
              <w:right w:val="single" w:sz="8" w:color="auto"/>
            </w:tcBorders>
            <w:gridSpan w:val="4"/>
          </w:tcPr>
          <w:p>
            <w:pPr>
              <w:spacing w:after="0"/>
              <w:rPr>
                <w:sz w:val="15"/>
                <w:szCs w:val="15"/>
                <w:color w:val="auto"/>
              </w:rPr>
            </w:pPr>
          </w:p>
        </w:tc>
        <w:tc>
          <w:tcPr>
            <w:tcW w:w="2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tcPr>
          <w:p>
            <w:pPr>
              <w:spacing w:after="0"/>
              <w:rPr>
                <w:sz w:val="13"/>
                <w:szCs w:val="13"/>
                <w:color w:val="auto"/>
              </w:rPr>
            </w:pPr>
          </w:p>
        </w:tc>
        <w:tc>
          <w:tcPr>
            <w:tcW w:w="6620" w:type="dxa"/>
            <w:vAlign w:val="bottom"/>
            <w:tcBorders>
              <w:right w:val="single" w:sz="8" w:color="auto"/>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26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6620" w:type="dxa"/>
            <w:vAlign w:val="bottom"/>
            <w:tcBorders>
              <w:right w:val="single" w:sz="8" w:color="auto"/>
            </w:tcBorders>
            <w:gridSpan w:val="1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w:t>
            </w:r>
          </w:p>
        </w:tc>
        <w:tc>
          <w:tcPr>
            <w:tcW w:w="280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940" w:type="dxa"/>
            <w:vAlign w:val="bottom"/>
            <w:gridSpan w:val="11"/>
            <w:shd w:val="clear" w:color="auto" w:fill="0000FF"/>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280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20" w:type="dxa"/>
            <w:vAlign w:val="bottom"/>
            <w:tcBorders>
              <w:bottom w:val="single" w:sz="8" w:color="auto"/>
              <w:right w:val="single" w:sz="8" w:color="auto"/>
            </w:tcBorders>
            <w:gridSpan w:val="1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6620" w:type="dxa"/>
            <w:vAlign w:val="bottom"/>
            <w:tcBorders>
              <w:right w:val="single" w:sz="8" w:color="auto"/>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w:t>
            </w:r>
          </w:p>
        </w:tc>
        <w:tc>
          <w:tcPr>
            <w:tcW w:w="2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tcPr>
          <w:p>
            <w:pPr>
              <w:spacing w:after="0"/>
              <w:rPr>
                <w:sz w:val="13"/>
                <w:szCs w:val="13"/>
                <w:color w:val="auto"/>
              </w:rPr>
            </w:pPr>
          </w:p>
        </w:tc>
        <w:tc>
          <w:tcPr>
            <w:tcW w:w="62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1840" w:type="dxa"/>
            <w:vAlign w:val="bottom"/>
          </w:tcPr>
          <w:p>
            <w:pPr>
              <w:spacing w:after="0"/>
              <w:rPr>
                <w:sz w:val="24"/>
                <w:szCs w:val="24"/>
                <w:color w:val="auto"/>
              </w:rPr>
            </w:pPr>
          </w:p>
        </w:tc>
        <w:tc>
          <w:tcPr>
            <w:tcW w:w="5100" w:type="dxa"/>
            <w:vAlign w:val="bottom"/>
            <w:gridSpan w:val="10"/>
          </w:tcPr>
          <w:p>
            <w:pPr>
              <w:jc w:val="right"/>
              <w:ind w:right="122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600" w:type="dxa"/>
            <w:vAlign w:val="bottom"/>
            <w:tcBorders>
              <w:top w:val="single" w:sz="8" w:color="auto"/>
              <w:bottom w:val="single" w:sz="8" w:color="auto"/>
              <w:right w:val="single" w:sz="8" w:color="auto"/>
            </w:tcBorders>
          </w:tcPr>
          <w:p>
            <w:pPr>
              <w:ind w:left="2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Method of Filing</w:t>
            </w: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6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0" w:type="dxa"/>
            <w:vAlign w:val="bottom"/>
          </w:tcPr>
          <w:p>
            <w:pPr>
              <w:spacing w:after="0"/>
              <w:rPr>
                <w:sz w:val="1"/>
                <w:szCs w:val="1"/>
                <w:color w:val="auto"/>
              </w:rPr>
            </w:pPr>
          </w:p>
        </w:tc>
      </w:tr>
      <w:tr>
        <w:trPr>
          <w:trHeight w:val="36"/>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6600" w:type="dxa"/>
            <w:vAlign w:val="bottom"/>
            <w:tcBorders>
              <w:right w:val="single" w:sz="8" w:color="auto"/>
            </w:tcBorders>
            <w:shd w:val="clear" w:color="auto" w:fill="CCEEFF"/>
          </w:tcPr>
          <w:p>
            <w:pPr>
              <w:spacing w:after="0"/>
              <w:rPr>
                <w:sz w:val="3"/>
                <w:szCs w:val="3"/>
                <w:color w:val="auto"/>
              </w:rPr>
            </w:pPr>
          </w:p>
        </w:tc>
        <w:tc>
          <w:tcPr>
            <w:tcW w:w="28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660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right w:val="single" w:sz="8" w:color="auto"/>
            </w:tcBorders>
            <w:shd w:val="clear" w:color="auto" w:fill="CCEEFF"/>
          </w:tcPr>
          <w:p>
            <w:pPr>
              <w:spacing w:after="0"/>
              <w:rPr>
                <w:sz w:val="16"/>
                <w:szCs w:val="16"/>
                <w:color w:val="auto"/>
              </w:rPr>
            </w:pPr>
          </w:p>
        </w:tc>
        <w:tc>
          <w:tcPr>
            <w:tcW w:w="6600" w:type="dxa"/>
            <w:vAlign w:val="bottom"/>
            <w:tcBorders>
              <w:right w:val="single" w:sz="8" w:color="auto"/>
            </w:tcBorders>
            <w:shd w:val="clear" w:color="auto" w:fill="CCEEFF"/>
          </w:tcPr>
          <w:p>
            <w:pPr>
              <w:spacing w:after="0"/>
              <w:rPr>
                <w:sz w:val="16"/>
                <w:szCs w:val="16"/>
                <w:color w:val="auto"/>
              </w:rPr>
            </w:pPr>
          </w:p>
        </w:tc>
        <w:tc>
          <w:tcPr>
            <w:tcW w:w="284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because its XBRL tags are embedded</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660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94"/>
        </w:trPr>
        <w:tc>
          <w:tcPr>
            <w:tcW w:w="182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6600" w:type="dxa"/>
            <w:vAlign w:val="bottom"/>
            <w:tcBorders>
              <w:bottom w:val="single" w:sz="8" w:color="auto"/>
              <w:right w:val="single" w:sz="8" w:color="auto"/>
            </w:tcBorders>
            <w:shd w:val="clear" w:color="auto" w:fill="CCEEFF"/>
          </w:tcPr>
          <w:p>
            <w:pPr>
              <w:spacing w:after="0"/>
              <w:rPr>
                <w:sz w:val="8"/>
                <w:szCs w:val="8"/>
                <w:color w:val="auto"/>
              </w:rPr>
            </w:pPr>
          </w:p>
        </w:tc>
        <w:tc>
          <w:tcPr>
            <w:tcW w:w="284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6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66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6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66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6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660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w:t>
            </w:r>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6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28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60" w:right="40" w:hanging="334"/>
        <w:spacing w:after="0" w:line="266" w:lineRule="auto"/>
        <w:tabs>
          <w:tab w:leader="none" w:pos="3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57" w:right="31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tabs>
          <w:tab w:leader="none" w:pos="4200" w:val="left"/>
          <w:tab w:leader="none" w:pos="466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3617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ind w:left="4680" w:right="920"/>
        <w:spacing w:after="0" w:line="237" w:lineRule="auto"/>
        <w:rPr>
          <w:sz w:val="20"/>
          <w:szCs w:val="20"/>
          <w:color w:val="auto"/>
        </w:rPr>
      </w:pPr>
      <w:r>
        <w:rPr>
          <w:rFonts w:ascii="Times New Roman" w:cs="Times New Roman" w:eastAsia="Times New Roman" w:hAnsi="Times New Roman"/>
          <w:sz w:val="18"/>
          <w:szCs w:val="18"/>
          <w:color w:val="auto"/>
        </w:rPr>
        <w:t>Executive Vice President, Chief Financial Officer, Treasurer and Secretary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Guaranteed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02, 2024, the debt instruments indicated below are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Senior Notes due 2028</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 Senior Notes due 2029</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 Senior Notes due 2031</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 Senior Notes due 2032</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 Senior Notes due 2033</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bl>
    <w:p>
      <w:pPr>
        <w:sectPr>
          <w:pgSz w:w="11900" w:h="16838" w:orient="portrait"/>
          <w:cols w:equalWidth="0" w:num="1">
            <w:col w:w="11240"/>
          </w:cols>
          <w:pgMar w:left="320" w:top="140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323"/>
        <w:spacing w:after="0" w:line="282" w:lineRule="auto"/>
        <w:tabs>
          <w:tab w:leader="none" w:pos="114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157"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20"/>
        <w:spacing w:after="0"/>
        <w:tabs>
          <w:tab w:leader="none" w:pos="480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7"/>
          <w:szCs w:val="17"/>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36436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Gary A. Shiffman, Chief Executive Officer</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Fernando Castro-Caratini,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14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15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583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p>
      <w:pPr>
        <w:sectPr>
          <w:pgSz w:w="11900" w:h="16838" w:orient="portrait"/>
          <w:cols w:equalWidth="0" w:num="1">
            <w:col w:w="11240"/>
          </w:cols>
          <w:pgMar w:left="320" w:top="76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(Adopted Under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officers, Gary A. Shiffman and Fernando Castro-Caratini, hereby certify that to the best of their knowledge: (a) this Quarterly Report on Form 10-Q of Sun Communities, Inc., for the period ended March 31, 2024,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Gary A. Shiffman</w:t>
            </w:r>
          </w:p>
        </w:tc>
        <w:tc>
          <w:tcPr>
            <w:tcW w:w="25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May 2, 2024</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Fernando Castro-Caratini</w:t>
            </w:r>
          </w:p>
        </w:tc>
        <w:tc>
          <w:tcPr>
            <w:tcW w:w="25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May 2, 2024</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lowerLetter"/>
      <w:start w:val="4"/>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4"/>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87" Type="http://schemas.openxmlformats.org/officeDocument/2006/relationships/hyperlink" Target="https://www.sec.gov/Archives/edgar/data/912593/000091259318000049/exhibit31-suncommunitiesin.htm" TargetMode="External"/><Relationship Id="rId88" Type="http://schemas.openxmlformats.org/officeDocument/2006/relationships/hyperlink" Target="https://www.sec.gov/Archives/edgar/data/912593/000091259323000066/suncommunitiesinc-fourtham.htm" TargetMode="External"/><Relationship Id="rId89" Type="http://schemas.openxmlformats.org/officeDocument/2006/relationships/hyperlink" Target="https://www.sec.gov/Archives/edgar/data/912593/000091259323000182/articlesofamendment-increa.htm" TargetMode="External"/><Relationship Id="rId90" Type="http://schemas.openxmlformats.org/officeDocument/2006/relationships/hyperlink" Target="https://www.sec.gov/ix?doc=/Archives/edgar/data/912593/000091259321000161/sui-20210628.htm" TargetMode="External"/><Relationship Id="rId91" Type="http://schemas.openxmlformats.org/officeDocument/2006/relationships/hyperlink" Target="https://www.sec.gov/Archives/edgar/data/912593/000091259324000017/exhibit42-fifthsupplementa.htm" TargetMode="External"/><Relationship Id="rId92" Type="http://schemas.openxmlformats.org/officeDocument/2006/relationships/hyperlink" Target="https://www.sec.gov/ix?doc=/Archives/edgar/data/912593/000119312524038171/d632334d8k.htm" TargetMode="External"/><Relationship Id="rId93" Type="http://schemas.openxmlformats.org/officeDocument/2006/relationships/hyperlink" Target="https://www.sec.gov/Archives/edgar/data/912593/000091259324000137/firstamendmenttoemployment.htm" TargetMode="External"/><Relationship Id="rId94" Type="http://schemas.openxmlformats.org/officeDocument/2006/relationships/hyperlink" Target="https://www.sec.gov/Archives/edgar/data/912593/000091259324000137/thirdamendmenttoemployment.htm" TargetMode="External"/><Relationship Id="rId95" Type="http://schemas.openxmlformats.org/officeDocument/2006/relationships/hyperlink" Target="https://www.sec.gov/ix?doc=/Archives/edgar/data/912593/000091259324000137/sui-202403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2024-05-02T14:09:13Z</dcterms:created>
  <dcterms:modified xsi:type="dcterms:W3CDTF">2024-05-02T14:09:13Z</dcterms:modified>
</cp:coreProperties>
</file>