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 xml:space="preserve">QUARTERLY REPORT PURSUANT TO SECTION 13 OR 15(D) OF THE SECURITIES EXCHANGE ACT OF 1934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center"/>
        <w:rPr/>
      </w:pPr>
      <w:r>
        <w:rPr/>
        <w:drawing>
          <wp:inline distT="0" distB="0" distL="0" distR="0">
            <wp:extent cx="21907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334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before="0" w:after="0"/>
        <w:jc w:val="left"/>
        <w:rPr/>
      </w:pPr>
      <w:r>
        <w:rPr/>
      </w:r>
    </w:p>
    <w:tbl>
      <w:tblPr>
        <w:tblW w:w="7137" w:type="dxa"/>
        <w:jc w:val="center"/>
        <w:tblInd w:w="0" w:type="dxa"/>
        <w:tblLayout w:type="fixed"/>
        <w:tblCellMar>
          <w:top w:w="28" w:type="dxa"/>
          <w:left w:w="28" w:type="dxa"/>
          <w:bottom w:w="28" w:type="dxa"/>
          <w:right w:w="28" w:type="dxa"/>
        </w:tblCellMar>
      </w:tblPr>
      <w:tblGrid>
        <w:gridCol w:w="726"/>
        <w:gridCol w:w="640"/>
        <w:gridCol w:w="643"/>
        <w:gridCol w:w="697"/>
        <w:gridCol w:w="697"/>
        <w:gridCol w:w="705"/>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1-12616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38-2730780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of 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981"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(248) 208-2500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ind w:left="0" w:right="0" w:firstLine="45"/>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Common Stock, $0.01 par value per share, outstanding as of July 20, 2023: 124,418,869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50"/>
        <w:gridCol w:w="307"/>
        <w:gridCol w:w="307"/>
        <w:gridCol w:w="2878"/>
        <w:gridCol w:w="2647"/>
        <w:gridCol w:w="2653"/>
        <w:gridCol w:w="307"/>
        <w:gridCol w:w="307"/>
        <w:gridCol w:w="449"/>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br/>
              <w:t> </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June 30, 2023 (Unaudited) and December 31, 2022</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6">
              <w:r>
                <w:rPr>
                  <w:rStyle w:val="InternetLink"/>
                  <w:rFonts w:ascii="Times New Roman;sans-serif" w:hAnsi="Times New Roman;sans-serif"/>
                  <w:b w:val="false"/>
                  <w:color w:val="0000FF"/>
                  <w:sz w:val="20"/>
                  <w:u w:val="single"/>
                </w:rPr>
                <w:t>1</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Operations for the Three and Six Months Ended June 30, 2023 and 2022 (Unaudited)</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9">
              <w:r>
                <w:rPr>
                  <w:rStyle w:val="InternetLink"/>
                  <w:rFonts w:ascii="Times New Roman;sans-serif" w:hAnsi="Times New Roman;sans-serif"/>
                  <w:b w:val="false"/>
                  <w:color w:val="0000FF"/>
                  <w:sz w:val="20"/>
                  <w:u w:val="single"/>
                </w:rPr>
                <w:t>2</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 (Loss) for the Three and Six Months Ended June 30, 2023 and 2022 (Unaudited)</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22">
              <w:r>
                <w:rPr>
                  <w:rStyle w:val="InternetLink"/>
                  <w:rFonts w:ascii="Times New Roman;sans-serif" w:hAnsi="Times New Roman;sans-serif"/>
                  <w:b w:val="false"/>
                  <w:color w:val="0000FF"/>
                  <w:sz w:val="20"/>
                  <w:u w:val="single"/>
                </w:rPr>
                <w:t>3</w:t>
              </w:r>
            </w:hyperlink>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Equity for the Three and Six Months Ended June 30, 2023 and 2022 (Unaudited)</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25">
              <w:r>
                <w:rPr>
                  <w:rStyle w:val="InternetLink"/>
                  <w:rFonts w:ascii="Times New Roman;sans-serif" w:hAnsi="Times New Roman;sans-serif"/>
                  <w:b w:val="false"/>
                  <w:color w:val="0000FF"/>
                  <w:sz w:val="20"/>
                  <w:u w:val="single"/>
                </w:rPr>
                <w:t>4</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for the Six Months Ended June 30, 2023 and 2022 (Unaudited)</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28">
              <w:r>
                <w:rPr>
                  <w:rStyle w:val="InternetLink"/>
                  <w:rFonts w:ascii="Times New Roman;sans-serif" w:hAnsi="Times New Roman;sans-serif"/>
                  <w:b w:val="false"/>
                  <w:color w:val="0000FF"/>
                  <w:sz w:val="20"/>
                  <w:u w:val="single"/>
                </w:rPr>
                <w:t>6</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34">
              <w:r>
                <w:rPr>
                  <w:rStyle w:val="InternetLink"/>
                  <w:rFonts w:ascii="Times New Roman;sans-serif" w:hAnsi="Times New Roman;sans-serif"/>
                  <w:b w:val="false"/>
                  <w:color w:val="0000FF"/>
                  <w:sz w:val="20"/>
                  <w:u w:val="single"/>
                </w:rPr>
                <w:t>8</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91">
              <w:r>
                <w:rPr>
                  <w:rStyle w:val="InternetLink"/>
                  <w:rFonts w:ascii="Times New Roman;sans-serif" w:hAnsi="Times New Roman;sans-serif"/>
                  <w:b w:val="false"/>
                  <w:color w:val="0000FF"/>
                  <w:sz w:val="20"/>
                  <w:u w:val="single"/>
                </w:rPr>
                <w:t>42</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48">
              <w:r>
                <w:rPr>
                  <w:rStyle w:val="InternetLink"/>
                  <w:rFonts w:ascii="Times New Roman;sans-serif" w:hAnsi="Times New Roman;sans-serif"/>
                  <w:b w:val="false"/>
                  <w:color w:val="0000FF"/>
                  <w:sz w:val="20"/>
                  <w:u w:val="single"/>
                </w:rPr>
                <w:t>65</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54">
              <w:r>
                <w:rPr>
                  <w:rStyle w:val="InternetLink"/>
                  <w:rFonts w:ascii="Times New Roman;sans-serif" w:hAnsi="Times New Roman;sans-serif"/>
                  <w:b w:val="false"/>
                  <w:color w:val="0000FF"/>
                  <w:sz w:val="20"/>
                  <w:u w:val="single"/>
                </w:rPr>
                <w:t>66</w:t>
              </w:r>
            </w:hyperlink>
          </w:p>
        </w:tc>
      </w:tr>
      <w:tr>
        <w:trPr/>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br/>
              <w:t> </w:t>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60">
              <w:r>
                <w:rPr>
                  <w:rStyle w:val="InternetLink"/>
                  <w:rFonts w:ascii="Times New Roman;sans-serif" w:hAnsi="Times New Roman;sans-serif"/>
                  <w:b w:val="false"/>
                  <w:color w:val="0000FF"/>
                  <w:sz w:val="20"/>
                  <w:u w:val="single"/>
                </w:rPr>
                <w:t>67</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63">
              <w:r>
                <w:rPr>
                  <w:rStyle w:val="InternetLink"/>
                  <w:rFonts w:ascii="Times New Roman;sans-serif" w:hAnsi="Times New Roman;sans-serif"/>
                  <w:b w:val="false"/>
                  <w:color w:val="0000FF"/>
                  <w:sz w:val="20"/>
                  <w:u w:val="single"/>
                </w:rPr>
                <w:t>67</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66">
              <w:r>
                <w:rPr>
                  <w:rStyle w:val="InternetLink"/>
                  <w:rFonts w:ascii="Times New Roman;sans-serif" w:hAnsi="Times New Roman;sans-serif"/>
                  <w:b w:val="false"/>
                  <w:color w:val="0000FF"/>
                  <w:sz w:val="20"/>
                  <w:u w:val="single"/>
                </w:rPr>
                <w:t>68</w:t>
              </w:r>
            </w:hyperlink>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72">
              <w:r>
                <w:rPr>
                  <w:rStyle w:val="InternetLink"/>
                  <w:rFonts w:ascii="Times New Roman;sans-serif" w:hAnsi="Times New Roman;sans-serif"/>
                  <w:b w:val="false"/>
                  <w:color w:val="0000FF"/>
                  <w:sz w:val="20"/>
                  <w:u w:val="single"/>
                </w:rPr>
                <w:t>69</w:t>
              </w:r>
            </w:hyperlink>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8178"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 </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3fc2422b46499c8856846714f13d5e_175">
              <w:r>
                <w:rPr>
                  <w:rStyle w:val="InternetLink"/>
                  <w:rFonts w:ascii="Times New Roman;sans-serif" w:hAnsi="Times New Roman;sans-serif"/>
                  <w:b w:val="false"/>
                  <w:color w:val="0000FF"/>
                  <w:sz w:val="20"/>
                  <w:u w:val="single"/>
                </w:rPr>
                <w:t>70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64"/>
        <w:gridCol w:w="2325"/>
        <w:gridCol w:w="2352"/>
        <w:gridCol w:w="200"/>
        <w:gridCol w:w="800"/>
        <w:gridCol w:w="111"/>
        <w:gridCol w:w="109"/>
        <w:gridCol w:w="109"/>
        <w:gridCol w:w="109"/>
        <w:gridCol w:w="246"/>
        <w:gridCol w:w="983"/>
        <w:gridCol w:w="197"/>
      </w:tblGrid>
      <w:tr>
        <w:trPr/>
        <w:tc>
          <w:tcPr>
            <w:tcW w:w="2664"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Land improvements and buildings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11,323.5 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10,903.4 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homes and improvements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Furniture, fixtures and equipment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16,998.9 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16,709.9 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depreciation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(2,738.9)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 (see Note 7 at VIEs)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13,987.5 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13,971.0 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(see Note 7 at VIEs)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 (see Note 15)</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 (see Note 7 at VIEs)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 (see Note 7 at VIEs)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17,561.4 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(see Note 8; Note 7 at VIEs)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 (see Note 8; Note 7 at VIEs)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payable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 (see Note 7 at VIEs)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 (see Note 7 at VIEs)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 (see Note 7 at VIEs)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9,474.8 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8,992.8 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(see Note 16)</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 (see Note 9; Note 7 at VIEs)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Shareholders' Equity</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Authorized: 360.0 shares; Issued and outstanding: 124.4 at June 30, 2023 and 124.0 at December 31, 2022</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9,567.5 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9,549.7 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 (loss)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in excess of accumulated earnings</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SUI shareholders' equity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7,708.1 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7,809.8 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and preferred OP units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noncontrolling interests</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Shareholders' Equity</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7,888.5 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Temporary Equity and Shareholders' Equity</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17,561.4 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15"/>
        <w:gridCol w:w="1551"/>
        <w:gridCol w:w="1574"/>
        <w:gridCol w:w="241"/>
        <w:gridCol w:w="684"/>
        <w:gridCol w:w="133"/>
        <w:gridCol w:w="109"/>
        <w:gridCol w:w="109"/>
        <w:gridCol w:w="109"/>
        <w:gridCol w:w="241"/>
        <w:gridCol w:w="684"/>
        <w:gridCol w:w="133"/>
        <w:gridCol w:w="109"/>
        <w:gridCol w:w="109"/>
        <w:gridCol w:w="109"/>
        <w:gridCol w:w="241"/>
        <w:gridCol w:w="684"/>
        <w:gridCol w:w="133"/>
        <w:gridCol w:w="109"/>
        <w:gridCol w:w="109"/>
        <w:gridCol w:w="109"/>
        <w:gridCol w:w="238"/>
        <w:gridCol w:w="677"/>
        <w:gridCol w:w="195"/>
      </w:tblGrid>
      <w:tr>
        <w:trPr/>
        <w:tc>
          <w:tcPr>
            <w:tcW w:w="181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1,362.8 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Expenses</w:t>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costs and selling</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Expenses</w:t>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707.7 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Income Before Other Items</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 (see Note 15)</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Income / (loss) from nonconsolidated affiliates</w:t>
            </w:r>
            <w:r>
              <w:rPr>
                <w:color w:val="000000"/>
              </w:rPr>
              <w:t xml:space="preserve"> </w:t>
            </w:r>
            <w:r>
              <w:rPr>
                <w:rFonts w:ascii="Times New Roman;sans-serif" w:hAnsi="Times New Roman;sans-serif"/>
                <w:b w:val="false"/>
                <w:color w:val="000000"/>
                <w:sz w:val="17"/>
              </w:rPr>
              <w:t>(see Note 6)</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Gain / (loss) on remeasurement of investment in nonconsolidated affiliates</w:t>
            </w:r>
            <w:r>
              <w:rPr>
                <w:color w:val="000000"/>
              </w:rPr>
              <w:t xml:space="preserve"> </w:t>
            </w:r>
            <w:r>
              <w:rPr>
                <w:rFonts w:ascii="Times New Roman;sans-serif" w:hAnsi="Times New Roman;sans-serif"/>
                <w:b w:val="false"/>
                <w:color w:val="000000"/>
                <w:sz w:val="17"/>
              </w:rPr>
              <w:t>(see Note 6)</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Current tax expense</w:t>
            </w:r>
            <w:r>
              <w:rPr>
                <w:color w:val="000000"/>
              </w:rPr>
              <w:t xml:space="preserve"> </w:t>
            </w:r>
            <w:r>
              <w:rPr>
                <w:rFonts w:ascii="Times New Roman;sans-serif" w:hAnsi="Times New Roman;sans-serif"/>
                <w:b w:val="false"/>
                <w:color w:val="000000"/>
                <w:sz w:val="17"/>
              </w:rPr>
              <w:t>(see Note 12)</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w:t>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 (loss) attributable to noncontrolling interests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basic</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 - diluted</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per share (see Note 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Diluted earnings per share</w:t>
            </w:r>
            <w:r>
              <w:rPr>
                <w:color w:val="000000"/>
              </w:rPr>
              <w:t xml:space="preserve"> </w:t>
            </w:r>
            <w:r>
              <w:rPr>
                <w:rFonts w:ascii="Times New Roman;sans-serif" w:hAnsi="Times New Roman;sans-serif"/>
                <w:b w:val="false"/>
                <w:color w:val="000000"/>
                <w:sz w:val="17"/>
              </w:rPr>
              <w:t>(see Note 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ind w:left="0" w:right="0" w:firstLine="45"/>
        <w:jc w:val="center"/>
        <w:rPr/>
      </w:pPr>
      <w:r>
        <w:rPr/>
      </w:r>
    </w:p>
    <w:tbl>
      <w:tblPr>
        <w:tblW w:w="10205" w:type="dxa"/>
        <w:jc w:val="left"/>
        <w:tblInd w:w="0" w:type="dxa"/>
        <w:tblLayout w:type="fixed"/>
        <w:tblCellMar>
          <w:top w:w="28" w:type="dxa"/>
          <w:left w:w="28" w:type="dxa"/>
          <w:bottom w:w="28" w:type="dxa"/>
          <w:right w:w="28" w:type="dxa"/>
        </w:tblCellMar>
      </w:tblPr>
      <w:tblGrid>
        <w:gridCol w:w="1852"/>
        <w:gridCol w:w="1555"/>
        <w:gridCol w:w="1561"/>
        <w:gridCol w:w="241"/>
        <w:gridCol w:w="686"/>
        <w:gridCol w:w="134"/>
        <w:gridCol w:w="109"/>
        <w:gridCol w:w="109"/>
        <w:gridCol w:w="109"/>
        <w:gridCol w:w="264"/>
        <w:gridCol w:w="629"/>
        <w:gridCol w:w="147"/>
        <w:gridCol w:w="109"/>
        <w:gridCol w:w="109"/>
        <w:gridCol w:w="109"/>
        <w:gridCol w:w="241"/>
        <w:gridCol w:w="686"/>
        <w:gridCol w:w="134"/>
        <w:gridCol w:w="109"/>
        <w:gridCol w:w="109"/>
        <w:gridCol w:w="109"/>
        <w:gridCol w:w="261"/>
        <w:gridCol w:w="620"/>
        <w:gridCol w:w="213"/>
      </w:tblGrid>
      <w:tr>
        <w:trPr/>
        <w:tc>
          <w:tcPr>
            <w:tcW w:w="18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w:t>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gain / (loss) arising during period</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 for accumulated foreign currency translation loss reclassified into earnings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foreign currency translation gain / (loss)</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(65.7)</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 Hedges</w:t>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unrealized gain on interest rate derivatives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Interest rate derivative gains reclassified to earnings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unrealized gain on interest rate derivatives</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Comprehensive Income</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Comprehensive income attributable to noncontrolling interests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Comprehensive Income attributable to SUI</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11307"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320"/>
        <w:gridCol w:w="762"/>
        <w:gridCol w:w="179"/>
        <w:gridCol w:w="212"/>
        <w:gridCol w:w="749"/>
        <w:gridCol w:w="120"/>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OP units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Series K preferred OP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OP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redeemable noncontrolling interests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Series K preferred OP units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124.4 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7,788.5 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8,086.6 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tbl>
      <w:tblPr>
        <w:tblW w:w="11307"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3"/>
        <w:gridCol w:w="744"/>
        <w:gridCol w:w="169"/>
        <w:gridCol w:w="287"/>
        <w:gridCol w:w="814"/>
        <w:gridCol w:w="160"/>
        <w:gridCol w:w="212"/>
        <w:gridCol w:w="749"/>
        <w:gridCol w:w="120"/>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OP units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March 31, 2022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6,649.6 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and common OP units,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971.3 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third party equity interests in consolidated entities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redeemable noncontrolling interests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 of third party equity interest in consolidated entities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Balance at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7,538.2 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(Unaudited)</w:t>
      </w:r>
    </w:p>
    <w:p>
      <w:pPr>
        <w:pStyle w:val="TextBody"/>
        <w:bidi w:val="0"/>
        <w:spacing w:before="0" w:after="0"/>
        <w:jc w:val="center"/>
        <w:rPr/>
      </w:pPr>
      <w:r>
        <w:rPr/>
      </w:r>
    </w:p>
    <w:tbl>
      <w:tblPr>
        <w:tblW w:w="9747" w:type="dxa"/>
        <w:jc w:val="center"/>
        <w:tblInd w:w="0" w:type="dxa"/>
        <w:tblLayout w:type="fixed"/>
        <w:tblCellMar>
          <w:top w:w="28" w:type="dxa"/>
          <w:left w:w="28" w:type="dxa"/>
          <w:bottom w:w="28" w:type="dxa"/>
          <w:right w:w="28" w:type="dxa"/>
        </w:tblCellMar>
      </w:tblPr>
      <w:tblGrid>
        <w:gridCol w:w="2578"/>
        <w:gridCol w:w="2264"/>
        <w:gridCol w:w="2283"/>
        <w:gridCol w:w="256"/>
        <w:gridCol w:w="727"/>
        <w:gridCol w:w="142"/>
        <w:gridCol w:w="109"/>
        <w:gridCol w:w="109"/>
        <w:gridCol w:w="109"/>
        <w:gridCol w:w="253"/>
        <w:gridCol w:w="718"/>
        <w:gridCol w:w="199"/>
      </w:tblGrid>
      <w:tr>
        <w:trPr/>
        <w:tc>
          <w:tcPr>
            <w:tcW w:w="257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7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properties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net of cash acquired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(1,903.7)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 (payment) for deposit on acquisition</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insurance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disposition of assets and depreciated homes,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related to disposition of properties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of notes and other receivables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Investments in nonconsolidated affiliates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of capital from nonconsolidated affiliates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For Investing Activities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(2,475.8)</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and costs of common stock, OP units and preferred OP units,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stock withheld to satisfy income tax obligations related to vesting of restricted stock awards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Borrowings on lines of credit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lines of credit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other debt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 from noncontrolling interest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other debt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financial liability</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Fees paid in connection with extinguishment of debt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received from return of prepaid deferred financing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deferred financing costs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for redemption of noncontrolling interests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Financing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change in cash, cash equivalents and restricted cash</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 beginning of period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Cash Equivalents and Restricted Cash, End of Period</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184.7 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tbl>
      <w:tblPr>
        <w:tblW w:w="8261" w:type="dxa"/>
        <w:jc w:val="center"/>
        <w:tblInd w:w="0" w:type="dxa"/>
        <w:tblLayout w:type="fixed"/>
        <w:tblCellMar>
          <w:top w:w="28" w:type="dxa"/>
          <w:left w:w="28" w:type="dxa"/>
          <w:bottom w:w="28" w:type="dxa"/>
          <w:right w:w="28" w:type="dxa"/>
        </w:tblCellMar>
      </w:tblPr>
      <w:tblGrid>
        <w:gridCol w:w="2043"/>
        <w:gridCol w:w="1797"/>
        <w:gridCol w:w="1799"/>
        <w:gridCol w:w="256"/>
        <w:gridCol w:w="727"/>
        <w:gridCol w:w="142"/>
        <w:gridCol w:w="109"/>
        <w:gridCol w:w="109"/>
        <w:gridCol w:w="109"/>
        <w:gridCol w:w="253"/>
        <w:gridCol w:w="718"/>
        <w:gridCol w:w="199"/>
      </w:tblGrid>
      <w:tr>
        <w:trPr/>
        <w:tc>
          <w:tcPr>
            <w:tcW w:w="2043"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Supplemental Information</w:t>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(net of capitalized interest of $5.1 and $2.8, respectively)</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 on mandatorily redeemable debt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distributions declared and outstanding</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Conversion of common and preferred OP units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 net (included within Other Assets, net and Other Liabilities)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 issued for redemption of noncontrolling interests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ROU asset obtained from new operating lease liabilities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notes and other receivables in relation to disposition of properties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Noncash investing and financing activities at the date of acquisition</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Common stock and OP units issued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Series K preferred interest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Finance lease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Financial liabilities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Acquisitions - Deferred tax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Sun Communities, Inc. and all wholly-owned or majority-owned and controlled subsidiaries, including Sun Communities Operating Limited Partnership, (the "Operating Partnership"), Sun Home Services, Inc., ("SHS"), Safe Harbor Marinas, LLC ("Safe Harbor") and Sun UK Holding LLC (together with its subsidiaries, "Park Holidays") are referred to herein as the "Company," "SUI," "we," "us," and, or "our."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with current presentation, with no effect on net income. These include reclassification of certain revenues and expenses between Real property and Service, retail, dining and entertainment within our Marina segment. There was no impact to prior period net income, shareholders equity or cash flows for any of the reclassifications. Further, the reclassification had no impact on previously reported total marina net operating income ("NOI").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2022 as filed with the SEC on February 23, 2023 (our "2022 Annual Report"). These statements have been prepared on a basis that is substantially consistent with the accounting principles applied in our 2022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three reportable segments are: (i) Manufactured home ("MH") communities, (ii) Recreational vehicle ("RV") communities and (iii) Marinas.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Revenue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by major source and segment (in millions):</w:t>
      </w:r>
    </w:p>
    <w:p>
      <w:pPr>
        <w:pStyle w:val="TextBody"/>
        <w:bidi w:val="0"/>
        <w:spacing w:before="0" w:after="0"/>
        <w:jc w:val="both"/>
        <w:rPr/>
      </w:pPr>
      <w:r>
        <w:rPr/>
      </w:r>
    </w:p>
    <w:tbl>
      <w:tblPr>
        <w:tblW w:w="10668" w:type="dxa"/>
        <w:jc w:val="center"/>
        <w:tblInd w:w="0" w:type="dxa"/>
        <w:tblLayout w:type="fixed"/>
        <w:tblCellMar>
          <w:top w:w="28" w:type="dxa"/>
          <w:left w:w="28" w:type="dxa"/>
          <w:bottom w:w="28" w:type="dxa"/>
          <w:right w:w="28" w:type="dxa"/>
        </w:tblCellMar>
      </w:tblPr>
      <w:tblGrid>
        <w:gridCol w:w="385"/>
        <w:gridCol w:w="338"/>
        <w:gridCol w:w="3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863.5 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814.3 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668" w:type="dxa"/>
        <w:jc w:val="left"/>
        <w:tblInd w:w="0" w:type="dxa"/>
        <w:tblLayout w:type="fixed"/>
        <w:tblCellMar>
          <w:top w:w="28" w:type="dxa"/>
          <w:left w:w="28" w:type="dxa"/>
          <w:bottom w:w="28" w:type="dxa"/>
          <w:right w:w="28" w:type="dxa"/>
        </w:tblCellMar>
      </w:tblPr>
      <w:tblGrid>
        <w:gridCol w:w="385"/>
        <w:gridCol w:w="338"/>
        <w:gridCol w:w="34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1,514.7 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1,362.8 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 real property revenue at our MH, RV and Marina properties, revenue from Home sales, Service, retail, dining and entertainment revenue, Interest income, and Brokerage commissions and other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majority of our revenue is derived from site and home leases, and wet slip and dry storage space leases that are accounted for pursuant to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account for all revenue from contracts with customers following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except for those that are within the scope of other topics in the FASB ASC. For additional information, refer to Note 1, "Significant Accounting Policies," in our 2022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Real Estate Acquisitions and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acquired the following properties: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49"/>
        <w:gridCol w:w="483"/>
        <w:gridCol w:w="485"/>
        <w:gridCol w:w="109"/>
        <w:gridCol w:w="109"/>
        <w:gridCol w:w="109"/>
        <w:gridCol w:w="506"/>
        <w:gridCol w:w="506"/>
        <w:gridCol w:w="513"/>
        <w:gridCol w:w="109"/>
        <w:gridCol w:w="109"/>
        <w:gridCol w:w="109"/>
        <w:gridCol w:w="433"/>
        <w:gridCol w:w="433"/>
        <w:gridCol w:w="435"/>
        <w:gridCol w:w="109"/>
        <w:gridCol w:w="109"/>
        <w:gridCol w:w="109"/>
        <w:gridCol w:w="438"/>
        <w:gridCol w:w="438"/>
        <w:gridCol w:w="439"/>
        <w:gridCol w:w="109"/>
        <w:gridCol w:w="109"/>
        <w:gridCol w:w="109"/>
        <w:gridCol w:w="573"/>
        <w:gridCol w:w="573"/>
        <w:gridCol w:w="575"/>
        <w:gridCol w:w="109"/>
        <w:gridCol w:w="109"/>
        <w:gridCol w:w="109"/>
        <w:gridCol w:w="345"/>
        <w:gridCol w:w="345"/>
        <w:gridCol w:w="501"/>
      </w:tblGrid>
      <w:tr>
        <w:trPr/>
        <w:tc>
          <w:tcPr>
            <w:tcW w:w="54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Community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Sites, Wet Slips and </w:t>
              <w:br/>
              <w:t>Dry Storage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Development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State, Province or Country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Acquired</w:t>
            </w:r>
          </w:p>
        </w:tc>
      </w:tr>
      <w:tr>
        <w:trPr/>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Fox Run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Savannah Yacht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92</w:t>
            </w:r>
            <w:r>
              <w:rPr>
                <w:color w:val="000000"/>
              </w:rPr>
              <w:t> </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72</w:t>
            </w: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 of assets acquired, net of liabilities assumed at the acquisition date and the consideration paid for the acquisitions completed during the six months ended June 30, 2023 (in millions):</w:t>
      </w:r>
    </w:p>
    <w:p>
      <w:pPr>
        <w:pStyle w:val="TextBody"/>
        <w:bidi w:val="0"/>
        <w:spacing w:before="0" w:after="0"/>
        <w:jc w:val="both"/>
        <w:rPr/>
      </w:pPr>
      <w:r>
        <w:rPr/>
      </w:r>
    </w:p>
    <w:tbl>
      <w:tblPr>
        <w:tblW w:w="10491" w:type="dxa"/>
        <w:jc w:val="left"/>
        <w:tblInd w:w="0" w:type="dxa"/>
        <w:tblLayout w:type="fixed"/>
        <w:tblCellMar>
          <w:top w:w="28" w:type="dxa"/>
          <w:left w:w="28" w:type="dxa"/>
          <w:bottom w:w="28" w:type="dxa"/>
          <w:right w:w="28" w:type="dxa"/>
        </w:tblCellMar>
      </w:tblPr>
      <w:tblGrid>
        <w:gridCol w:w="337"/>
        <w:gridCol w:w="296"/>
        <w:gridCol w:w="298"/>
        <w:gridCol w:w="198"/>
        <w:gridCol w:w="562"/>
        <w:gridCol w:w="111"/>
        <w:gridCol w:w="109"/>
        <w:gridCol w:w="109"/>
        <w:gridCol w:w="109"/>
        <w:gridCol w:w="293"/>
        <w:gridCol w:w="608"/>
        <w:gridCol w:w="165"/>
        <w:gridCol w:w="109"/>
        <w:gridCol w:w="109"/>
        <w:gridCol w:w="109"/>
        <w:gridCol w:w="219"/>
        <w:gridCol w:w="454"/>
        <w:gridCol w:w="123"/>
        <w:gridCol w:w="109"/>
        <w:gridCol w:w="109"/>
        <w:gridCol w:w="109"/>
        <w:gridCol w:w="196"/>
        <w:gridCol w:w="406"/>
        <w:gridCol w:w="109"/>
        <w:gridCol w:w="109"/>
        <w:gridCol w:w="109"/>
        <w:gridCol w:w="109"/>
        <w:gridCol w:w="208"/>
        <w:gridCol w:w="591"/>
        <w:gridCol w:w="117"/>
        <w:gridCol w:w="109"/>
        <w:gridCol w:w="109"/>
        <w:gridCol w:w="109"/>
        <w:gridCol w:w="196"/>
        <w:gridCol w:w="376"/>
        <w:gridCol w:w="109"/>
        <w:gridCol w:w="109"/>
        <w:gridCol w:w="109"/>
        <w:gridCol w:w="109"/>
        <w:gridCol w:w="109"/>
        <w:gridCol w:w="109"/>
        <w:gridCol w:w="201"/>
        <w:gridCol w:w="572"/>
        <w:gridCol w:w="113"/>
        <w:gridCol w:w="109"/>
        <w:gridCol w:w="109"/>
        <w:gridCol w:w="109"/>
        <w:gridCol w:w="243"/>
        <w:gridCol w:w="691"/>
        <w:gridCol w:w="192"/>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Consideration</w:t>
            </w:r>
          </w:p>
        </w:tc>
        <w:tc>
          <w:tcPr>
            <w:tcW w:w="1453"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Investment in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 boat parts</w:t>
              <w:br/>
              <w:t>and retail</w:t>
              <w:br/>
              <w:t>related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In-place leases, goodwill and 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identifiable assets acquired net of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Cash and escrow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7"/>
              </w:rPr>
              <w:t>Temporary and permanent equity</w:t>
            </w:r>
            <w:r>
              <w:rPr>
                <w:rFonts w:ascii="Times New Roman;sans-serif" w:hAnsi="Times New Roman;sans-serif"/>
                <w:b w:val="false"/>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consideration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 Acquisition</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Fox Run</w:t>
            </w:r>
            <w:r>
              <w:rPr>
                <w:rFonts w:ascii="Times New Roman;sans-serif" w:hAnsi="Times New Roman;sans-serif"/>
                <w:b w:val="false"/>
                <w:color w:val="000000"/>
                <w:sz w:val="11"/>
              </w:rPr>
              <w:t>(2)</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Savannah Yacht Center</w:t>
            </w:r>
            <w:r>
              <w:rPr>
                <w:rFonts w:ascii="Times New Roman;sans-serif" w:hAnsi="Times New Roman;sans-serif"/>
                <w:b w:val="false"/>
                <w:color w:val="000000"/>
                <w:sz w:val="11"/>
              </w:rPr>
              <w:t>(3)</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112.1 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9, "Equity and Temporary Equity," for additional detail.</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In conjunction with the acquisition, the Operating Partnership issued 31,289 common OP units valued at $4.4 million.</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 conjunction with the acquisition, the Operating Partnership issued one million Series K preferred OP units valued at $100.6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have incurred and capitalized $3.0 million of transaction costs, which have been allocated among various fixed asset categories for purchases that meet the asset acquisition criteria. During the six months ended June 30, 2023, we recognized $3.0 million of business combination expenses in connection with transactions completed during 2022.</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13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acquired three land parcels located in the United States ("U.S.") and United Kingdom ("UK") for an aggregate purchase price of $34.9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sold two parcels of land in the UK for total consideration of $111.5 million, which primarily consisted of $108.8 million in the form of an operator note receivable that was added to an existing facility with a weighted average interest rate of 11.9% per annum, due May 31, 2023 and subsequently extended to July 31, 2023 as part of the operator's total facility. On the date of sale, the carrying value of the note receivable approximated its fair value due to its short term nature. The dispositions resulted in a loss on sale totaling $2.2 million during the six months ended June 30, 2023, net of the release of foreign currency translation losses from Accumulated other comprehensive income / (loss) ("AOCI") of $11.9 million. The total loss on sale was recorded in Gain / (loss) on dispositions of properties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Estate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classify real estate as "held for sale." An asset is classified as held for sale after an active program to sell an asset has commenced and when the sale is probable. Subsequent to the classification of assets as held for sale, no further depreciation expense is recorded.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reached an agreement to sell an MH operating community located in Maine with 155 developed sites for cash consideration of $6.8 million. We assessed criteria and determined that the property required classification as held for sale at June 30, 2023. As a result, the net carrying value of $13.1 million, was written down by $6.3 million within Asset impairments on our Consolidated Statements of Operations, to a fair value less costs to sell of $6.8 million. The adjusted carrying value which consists primarily of land, land improvements and buildings was recorded within Other assets, net on our Consolidated Balance Sheets at June 30, 2023. The sale is expected to close during the three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we reached an agreement to sell an operating MH community in the UK with 730 developed sites for approximately $240.0 million in the form of a note receivable. We assessed criteria and determined that the property required classification as held for sale. As a result, the carrying value of total assets of $269.1 million and total liabilities of $65.5 million were reclassified to held for sale as of June 30, 2023. The held for sale assets primarily consist of Land and Land improvements and buildings and are recorded within Other assets, net on the Consolidated Balance Sheets. The held for sale liabilities primarily consist of Deferred tax liabilities and are recorded within Other liabilities on the Consolidated Balance Sheets. The sale is expected to close during the three months ended September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we acquired the following properties: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2"/>
        <w:gridCol w:w="491"/>
        <w:gridCol w:w="495"/>
        <w:gridCol w:w="109"/>
        <w:gridCol w:w="109"/>
        <w:gridCol w:w="109"/>
        <w:gridCol w:w="546"/>
        <w:gridCol w:w="480"/>
        <w:gridCol w:w="486"/>
        <w:gridCol w:w="109"/>
        <w:gridCol w:w="109"/>
        <w:gridCol w:w="109"/>
        <w:gridCol w:w="685"/>
        <w:gridCol w:w="569"/>
        <w:gridCol w:w="572"/>
        <w:gridCol w:w="109"/>
        <w:gridCol w:w="109"/>
        <w:gridCol w:w="109"/>
        <w:gridCol w:w="405"/>
        <w:gridCol w:w="405"/>
        <w:gridCol w:w="407"/>
        <w:gridCol w:w="109"/>
        <w:gridCol w:w="109"/>
        <w:gridCol w:w="109"/>
        <w:gridCol w:w="443"/>
        <w:gridCol w:w="443"/>
        <w:gridCol w:w="445"/>
        <w:gridCol w:w="109"/>
        <w:gridCol w:w="109"/>
        <w:gridCol w:w="109"/>
        <w:gridCol w:w="347"/>
        <w:gridCol w:w="305"/>
        <w:gridCol w:w="444"/>
      </w:tblGrid>
      <w:tr>
        <w:trPr/>
        <w:tc>
          <w:tcPr>
            <w:tcW w:w="60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Property Name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Sites, Wet Slips and Dry Storage Spaces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Development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Month Acquired</w:t>
            </w:r>
          </w:p>
        </w:tc>
      </w:tr>
      <w:tr>
        <w:trPr/>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Harrison Yacht Yard</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Outer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January</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Jarrett Bay Boatworks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Tower Marine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Sandy Bay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March</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Park Holidays</w:t>
            </w:r>
            <w:r>
              <w:rPr>
                <w:rFonts w:ascii="Times New Roman;sans-serif" w:hAnsi="Times New Roman;sans-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15,906 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608 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Christies Parks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Bluewater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Bluewater Yacht Sales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Bodmin Holiday Park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Kittery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May</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Spanish Trails MHC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Pine Acre Trails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Bel Air Estates &amp; Sunrise Estates</w:t>
            </w:r>
            <w:r>
              <w:rPr>
                <w:rFonts w:ascii="Times New Roman;sans-serif" w:hAnsi="Times New Roman;sans-serif"/>
                <w:b w:val="false"/>
                <w:color w:val="000000"/>
                <w:sz w:val="11"/>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379 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Park Leisure</w:t>
            </w:r>
            <w:r>
              <w:rPr>
                <w:rFonts w:ascii="Times New Roman;sans-serif" w:hAnsi="Times New Roman;sans-serif"/>
                <w:b w:val="false"/>
                <w:color w:val="000000"/>
                <w:sz w:val="11"/>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2,914 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Montauk Yacht Club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business combination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July</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Callaly Leisure</w:t>
            </w:r>
            <w:r>
              <w:rPr>
                <w:rFonts w:ascii="Times New Roman;sans-serif" w:hAnsi="Times New Roman;sans-serif"/>
                <w:b w:val="false"/>
                <w:color w:val="000000"/>
                <w:sz w:val="11"/>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823 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September</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Newhaven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October</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Bayfront Marina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November</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Bay Yacht Harbor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Jellystone Lincoln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RV: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Norway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asset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w:t>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24,347</w:t>
            </w:r>
            <w:r>
              <w:rPr>
                <w:color w:val="000000"/>
              </w:rPr>
              <w:t>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7"/>
              </w:rPr>
              <w:t>2,655</w:t>
            </w:r>
            <w:r>
              <w:rPr>
                <w:color w:val="000000"/>
              </w:rPr>
              <w:t> </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5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Property names are subject to changes subsequent to acquisition.</w:t>
      </w:r>
    </w:p>
    <w:p>
      <w:pPr>
        <w:pStyle w:val="TextBody"/>
        <w:bidi w:val="0"/>
        <w:spacing w:lineRule="auto" w:line="288" w:before="0" w:after="5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Combined with an existing property.</w:t>
      </w:r>
    </w:p>
    <w:p>
      <w:pPr>
        <w:pStyle w:val="TextBody"/>
        <w:bidi w:val="0"/>
        <w:spacing w:lineRule="auto" w:line="288" w:before="0" w:after="5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Includes 40 owned and two managed properties.</w:t>
      </w:r>
    </w:p>
    <w:p>
      <w:pPr>
        <w:pStyle w:val="TextBody"/>
        <w:bidi w:val="0"/>
        <w:spacing w:lineRule="auto" w:line="288" w:before="0" w:after="50"/>
        <w:ind w:left="0" w:right="0" w:hanging="18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Includes two properties.</w:t>
      </w:r>
    </w:p>
    <w:p>
      <w:pPr>
        <w:pStyle w:val="TextBody"/>
        <w:bidi w:val="0"/>
        <w:spacing w:lineRule="auto" w:line="288" w:before="0" w:after="50"/>
        <w:ind w:left="0" w:right="0" w:hanging="18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Includes 11 properties.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(6)</w:t>
      </w:r>
      <w:r>
        <w:rPr>
          <w:color w:val="000000"/>
        </w:rPr>
        <w:t xml:space="preserve"> </w:t>
      </w:r>
      <w:r>
        <w:rPr>
          <w:rFonts w:ascii="Times New Roman;sans-serif" w:hAnsi="Times New Roman;sans-serif"/>
          <w:b w:val="false"/>
          <w:color w:val="000000"/>
          <w:sz w:val="16"/>
        </w:rPr>
        <w:t>Includes one development property.</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amounts of assets acquired, net of liabilities assumed at the acquisition date and the consideration paid for the acquisitions completed in 2022 (in millions):</w:t>
      </w:r>
    </w:p>
    <w:p>
      <w:pPr>
        <w:pStyle w:val="TextBody"/>
        <w:bidi w:val="0"/>
        <w:spacing w:before="0" w:after="0"/>
        <w:jc w:val="left"/>
        <w:rPr/>
      </w:pPr>
      <w:r>
        <w:rPr/>
      </w:r>
    </w:p>
    <w:tbl>
      <w:tblPr>
        <w:tblW w:w="11296" w:type="dxa"/>
        <w:jc w:val="left"/>
        <w:tblInd w:w="0" w:type="dxa"/>
        <w:tblLayout w:type="fixed"/>
        <w:tblCellMar>
          <w:top w:w="28" w:type="dxa"/>
          <w:left w:w="28" w:type="dxa"/>
          <w:bottom w:w="28" w:type="dxa"/>
          <w:right w:w="28" w:type="dxa"/>
        </w:tblCellMar>
      </w:tblPr>
      <w:tblGrid>
        <w:gridCol w:w="337"/>
        <w:gridCol w:w="296"/>
        <w:gridCol w:w="298"/>
        <w:gridCol w:w="196"/>
        <w:gridCol w:w="691"/>
        <w:gridCol w:w="109"/>
        <w:gridCol w:w="109"/>
        <w:gridCol w:w="109"/>
        <w:gridCol w:w="109"/>
        <w:gridCol w:w="270"/>
        <w:gridCol w:w="644"/>
        <w:gridCol w:w="152"/>
        <w:gridCol w:w="109"/>
        <w:gridCol w:w="109"/>
        <w:gridCol w:w="109"/>
        <w:gridCol w:w="196"/>
        <w:gridCol w:w="556"/>
        <w:gridCol w:w="109"/>
        <w:gridCol w:w="109"/>
        <w:gridCol w:w="109"/>
        <w:gridCol w:w="109"/>
        <w:gridCol w:w="196"/>
        <w:gridCol w:w="626"/>
        <w:gridCol w:w="109"/>
        <w:gridCol w:w="109"/>
        <w:gridCol w:w="109"/>
        <w:gridCol w:w="109"/>
        <w:gridCol w:w="196"/>
        <w:gridCol w:w="691"/>
        <w:gridCol w:w="109"/>
        <w:gridCol w:w="109"/>
        <w:gridCol w:w="109"/>
        <w:gridCol w:w="109"/>
        <w:gridCol w:w="196"/>
        <w:gridCol w:w="691"/>
        <w:gridCol w:w="109"/>
        <w:gridCol w:w="109"/>
        <w:gridCol w:w="109"/>
        <w:gridCol w:w="109"/>
        <w:gridCol w:w="109"/>
        <w:gridCol w:w="109"/>
        <w:gridCol w:w="225"/>
        <w:gridCol w:w="535"/>
        <w:gridCol w:w="126"/>
        <w:gridCol w:w="109"/>
        <w:gridCol w:w="109"/>
        <w:gridCol w:w="109"/>
        <w:gridCol w:w="212"/>
        <w:gridCol w:w="747"/>
        <w:gridCol w:w="16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Consideration</w:t>
            </w:r>
          </w:p>
        </w:tc>
        <w:tc>
          <w:tcPr>
            <w:tcW w:w="1453"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Investment in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 boat parts</w:t>
              <w:br/>
              <w:t>and retail</w:t>
              <w:br/>
              <w:t>related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7"/>
              </w:rPr>
              <w:t>In-place leases, goodwill and other intangible assets</w:t>
            </w:r>
            <w:r>
              <w:rPr>
                <w:rFonts w:ascii="Times New Roman;sans-serif" w:hAnsi="Times New Roman;sans-serif"/>
                <w:b w:val="false"/>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Other assets / (liabilities),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identifiable assets acquired net of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Cash and escrow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Temporary and permanent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consideration</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 Acquisition</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Harrison Yacht Yard</w:t>
            </w:r>
            <w:r>
              <w:rPr>
                <w:rFonts w:ascii="Times New Roman;sans-serif" w:hAnsi="Times New Roman;sans-serif"/>
                <w:b w:val="false"/>
                <w:color w:val="000000"/>
                <w:sz w:val="11"/>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Outer Banks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Tower Marine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Sandy Bay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Christies Parks</w:t>
            </w:r>
            <w:r>
              <w:rPr>
                <w:rFonts w:ascii="Times New Roman;sans-serif" w:hAnsi="Times New Roman;sans-serif"/>
                <w:b w:val="false"/>
                <w:color w:val="000000"/>
                <w:sz w:val="11"/>
              </w:rPr>
              <w:t>(4)</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Bluewater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Bodmin Holiday Park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Kittery Point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Spanish Trails MHC</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Pine Acre Trails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 Air Estates &amp; Sunrise Estates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Callaly Leisure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Newhaven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Bayfront Marina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 Bay Yacht Harbor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Jellystone Lincoln</w:t>
            </w:r>
            <w:r>
              <w:rPr>
                <w:rFonts w:ascii="Times New Roman;sans-serif" w:hAnsi="Times New Roman;sans-serif"/>
                <w:b w:val="false"/>
                <w:color w:val="000000"/>
                <w:sz w:val="11"/>
              </w:rPr>
              <w:t>(5)</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Norway Commons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Jarrett Bay Boatworks</w:t>
            </w:r>
            <w:r>
              <w:rPr>
                <w:rFonts w:ascii="Times New Roman;sans-serif" w:hAnsi="Times New Roman;sans-serif"/>
                <w:b w:val="false"/>
                <w:color w:val="000000"/>
                <w:sz w:val="11"/>
              </w:rPr>
              <w:t>(6)</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Park Holidays</w:t>
            </w:r>
            <w:r>
              <w:rPr>
                <w:rFonts w:ascii="Times New Roman;sans-serif" w:hAnsi="Times New Roman;sans-serif"/>
                <w:b w:val="false"/>
                <w:color w:val="000000"/>
                <w:sz w:val="11"/>
              </w:rPr>
              <w:t>(7)</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Park Leisure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Montauk Yacht Club</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44.3 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2,185.9 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Refer to Note 5, "Goodwill and Other Intangible Assets," for additional detail on goodwill and other intangible assets.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Refer to Note 9, "Equity and Temporary Equity," for additional detail.</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Property names are subject to changes subsequent to acquisition.</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Combined with an existing property.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(5) </w:t>
      </w:r>
      <w:r>
        <w:rPr>
          <w:rFonts w:ascii="Times New Roman;sans-serif" w:hAnsi="Times New Roman;sans-serif"/>
          <w:b w:val="false"/>
          <w:color w:val="000000"/>
          <w:sz w:val="16"/>
        </w:rPr>
        <w:t>In December 2020, we entered into a loan agreement pursuant to which we extended credit to Blue Water to finance the construction of Jellystone Lincoln (the "RV Park"). In December 2022, we entered into a purchase and sale agreement pursuant to which we purchased the RV Park for cash consideration of $5.0 million, which was applied toward the existing Blue Water loan balance of $12.9 million, and the remaining loan balance of $7.9 million was forgiven. Upon acquisition of the RV Park, we agreed to loan Blue Water an amount equal to $3.7 million, accounted as consideration based on the loan forgiveness terms. Additional consideration for vacation rental units of $0.4 million, resulted in a total purchase price of $17.0 million. In addition, we entered into a lease agreement pursuant to which Blue Water will pay rent to us and continue to operate the park.</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(6) </w:t>
      </w:r>
      <w:r>
        <w:rPr>
          <w:rFonts w:ascii="Times New Roman;sans-serif" w:hAnsi="Times New Roman;sans-serif"/>
          <w:b w:val="false"/>
          <w:color w:val="000000"/>
          <w:sz w:val="16"/>
        </w:rPr>
        <w:t>The balance includes the marina acquired in February and the yacht sales business acquired in April of which $0.1 million was recorded in Investment property, $17.6 million in Goodwill and other intangible assets, and $0.4 million in Other assets / (liabilities), net.</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(7) </w:t>
      </w:r>
      <w:r>
        <w:rPr>
          <w:rFonts w:ascii="Times New Roman;sans-serif" w:hAnsi="Times New Roman;sans-serif"/>
          <w:b w:val="false"/>
          <w:color w:val="000000"/>
          <w:sz w:val="16"/>
        </w:rPr>
        <w:t>Includes acquired intangible assets subject to amortization of $70.2 million with a weighted average amortization period of 14.6 years, consisting of trademarks and trade names, customer relationships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incurred $19.2 million of transaction costs, which were capitalized and allocated among the various fixed asset categories for purchases that meet the asset acquisition criteria. As of December 31, 2022, we also incurred $24.7 million of business combination expenses, which were expensed for acquisitions deemed to be business combinations.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and Net income included in the Consolidated Statements of Operations for the year ended December 31, 2022 related to business combinations completed in 2022 are set forth in the following table (in millions):</w:t>
      </w:r>
    </w:p>
    <w:p>
      <w:pPr>
        <w:pStyle w:val="TextBody"/>
        <w:bidi w:val="0"/>
        <w:spacing w:before="0" w:after="0"/>
        <w:jc w:val="both"/>
        <w:rPr/>
      </w:pPr>
      <w:r>
        <w:rPr/>
      </w:r>
    </w:p>
    <w:tbl>
      <w:tblPr>
        <w:tblW w:w="3011" w:type="dxa"/>
        <w:jc w:val="left"/>
        <w:tblInd w:w="0" w:type="dxa"/>
        <w:tblLayout w:type="fixed"/>
        <w:tblCellMar>
          <w:top w:w="28" w:type="dxa"/>
          <w:left w:w="28" w:type="dxa"/>
          <w:bottom w:w="28" w:type="dxa"/>
          <w:right w:w="28" w:type="dxa"/>
        </w:tblCellMar>
      </w:tblPr>
      <w:tblGrid>
        <w:gridCol w:w="412"/>
        <w:gridCol w:w="362"/>
        <w:gridCol w:w="365"/>
        <w:gridCol w:w="109"/>
        <w:gridCol w:w="109"/>
        <w:gridCol w:w="109"/>
        <w:gridCol w:w="334"/>
        <w:gridCol w:w="950"/>
        <w:gridCol w:w="261"/>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353.6 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presents the results of our operations for the year ended December 31, 2022,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2021 (in millions, except for per share data):</w:t>
      </w:r>
    </w:p>
    <w:p>
      <w:pPr>
        <w:pStyle w:val="TextBody"/>
        <w:bidi w:val="0"/>
        <w:spacing w:before="0" w:after="0"/>
        <w:jc w:val="both"/>
        <w:rPr/>
      </w:pPr>
      <w:r>
        <w:rPr/>
      </w:r>
    </w:p>
    <w:tbl>
      <w:tblPr>
        <w:tblW w:w="7550" w:type="dxa"/>
        <w:jc w:val="left"/>
        <w:tblInd w:w="0" w:type="dxa"/>
        <w:tblLayout w:type="fixed"/>
        <w:tblCellMar>
          <w:top w:w="28" w:type="dxa"/>
          <w:left w:w="28" w:type="dxa"/>
          <w:bottom w:w="28" w:type="dxa"/>
          <w:right w:w="28" w:type="dxa"/>
        </w:tblCellMar>
      </w:tblPr>
      <w:tblGrid>
        <w:gridCol w:w="1850"/>
        <w:gridCol w:w="1626"/>
        <w:gridCol w:w="1639"/>
        <w:gridCol w:w="109"/>
        <w:gridCol w:w="109"/>
        <w:gridCol w:w="109"/>
        <w:gridCol w:w="363"/>
        <w:gridCol w:w="1280"/>
        <w:gridCol w:w="202"/>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 (unaudited)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3,091.3 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per share attributable to SUI common shareholders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per share attributable to SUI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acquired six land parcels located in the U.S. and the UK for an aggregate purchase price of $26.2 million and two buildings and land parcels related to our marinas located in the U.S. for an aggregate purchase price of $13.9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Dispositions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sold an RV community containing 514 sites located in California for $15.0 million. The disposition resulted in a loss on sale of $0.8 million, inclusive of selling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sold two MH communities and one community containing MH and RV sites, each located in Florida, with a total of 323 sites for $29.5 million. The gain from the sale of the properties was $13.3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Notes and Other Receivables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notes and other receivables (in millions):</w:t>
      </w:r>
    </w:p>
    <w:p>
      <w:pPr>
        <w:pStyle w:val="TextBody"/>
        <w:bidi w:val="0"/>
        <w:spacing w:before="0" w:after="0"/>
        <w:jc w:val="left"/>
        <w:rPr/>
      </w:pPr>
      <w:r>
        <w:rPr/>
      </w:r>
    </w:p>
    <w:tbl>
      <w:tblPr>
        <w:tblW w:w="7151" w:type="dxa"/>
        <w:jc w:val="left"/>
        <w:tblInd w:w="0" w:type="dxa"/>
        <w:tblLayout w:type="fixed"/>
        <w:tblCellMar>
          <w:top w:w="28" w:type="dxa"/>
          <w:left w:w="28" w:type="dxa"/>
          <w:bottom w:w="28" w:type="dxa"/>
          <w:right w:w="28" w:type="dxa"/>
        </w:tblCellMar>
      </w:tblPr>
      <w:tblGrid>
        <w:gridCol w:w="1503"/>
        <w:gridCol w:w="1322"/>
        <w:gridCol w:w="1330"/>
        <w:gridCol w:w="256"/>
        <w:gridCol w:w="727"/>
        <w:gridCol w:w="142"/>
        <w:gridCol w:w="109"/>
        <w:gridCol w:w="109"/>
        <w:gridCol w:w="109"/>
        <w:gridCol w:w="334"/>
        <w:gridCol w:w="948"/>
        <w:gridCol w:w="262"/>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receivables,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Notes and Other Receivables, net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Installment notes receivable are measured at fair value, using indicative pricing models from third party valuation specialists, in accordance with 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balances of installment notes receivable of $59.4 million (gross installment notes receivable of $62.7 million less fair value adjustment of $3.3 million) and $65.9 million (gross installment notes receivable of $67.3 million less fair value adjustment of $1.4 million) as of June 30, 2023 and December 31, 2022,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and 13.3 years as of June 30, 2023, and 7.6% and 13.8 years as of December 31, 2022, respectively. Refer to Note 15, "Fair Value of Financial Instruments," for additional detail.</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Notes receivable from real estate developers and operators are measured at fair value, using indicative pricing models from third party valuation specialists, in accordance with ASC Topic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As of June 30, 2023 and December 31, 2022, the notes receivable balances include a fully drawn loan provided to a real estate operator to fund investing and financing activities totaling $358.5 million with a net weighted average interest rate and maturity of 12.2% and 0.1 years as of June 30, 2023, and totaling $217.6 million with a net weighted average interest rate and maturity of 15.3% and 0.1 years as of December 31, 2022 (refer to Note 19, "Subsequent Events," for additional information regarding notes receivable activity after June 30, 2023). The additional acquisition and construction loans provided to real estate developers total $103.9 million with a net weighted average interest rate and maturity of 9.0% and 2.4 years as of June 30, 2023, and total $87.6 million with a net weighted average interest rate and maturity of 7.8% and 2.3 years as of December 31, 2022. As of June 30, 2023, the additional acquisition and construction loans provided to real estate developers have $55.9 million of undrawn funds.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adjustments to the fair value of notes receivable from real estate developers and operators during the six months ended June 30, 2023 and year ended December 31, 2022. Refer to Note 15, "Fair Value of Financial Instruments," for additional information.</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Receivables,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receivables, net were comprised of amounts due from the following categories (in millions):</w:t>
      </w:r>
    </w:p>
    <w:p>
      <w:pPr>
        <w:pStyle w:val="TextBody"/>
        <w:bidi w:val="0"/>
        <w:spacing w:before="0" w:after="0"/>
        <w:jc w:val="both"/>
        <w:rPr/>
      </w:pPr>
      <w:r>
        <w:rPr/>
      </w:r>
    </w:p>
    <w:tbl>
      <w:tblPr>
        <w:tblW w:w="9746" w:type="dxa"/>
        <w:jc w:val="left"/>
        <w:tblInd w:w="0" w:type="dxa"/>
        <w:tblLayout w:type="fixed"/>
        <w:tblCellMar>
          <w:top w:w="28" w:type="dxa"/>
          <w:left w:w="28" w:type="dxa"/>
          <w:bottom w:w="28" w:type="dxa"/>
          <w:right w:w="28" w:type="dxa"/>
        </w:tblCellMar>
      </w:tblPr>
      <w:tblGrid>
        <w:gridCol w:w="2445"/>
        <w:gridCol w:w="2150"/>
        <w:gridCol w:w="2155"/>
        <w:gridCol w:w="256"/>
        <w:gridCol w:w="727"/>
        <w:gridCol w:w="142"/>
        <w:gridCol w:w="109"/>
        <w:gridCol w:w="109"/>
        <w:gridCol w:w="109"/>
        <w:gridCol w:w="334"/>
        <w:gridCol w:w="948"/>
        <w:gridCol w:w="262"/>
      </w:tblGrid>
      <w:tr>
        <w:trPr/>
        <w:tc>
          <w:tcPr>
            <w:tcW w:w="244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Insurance receivables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Marina customers for storage, service and lease payments, net</w:t>
            </w:r>
            <w:r>
              <w:rPr>
                <w:rFonts w:ascii="Times New Roman;sans-serif" w:hAnsi="Times New Roman;sans-serif"/>
                <w:b w:val="false"/>
                <w:color w:val="000000"/>
                <w:sz w:val="11"/>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Home sale proceeds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MH and annual RV residents for rent, utility charges, fees and other pass-through charges, net</w:t>
            </w:r>
            <w:r>
              <w:rPr>
                <w:rFonts w:ascii="Times New Roman;sans-serif" w:hAnsi="Times New Roman;sans-serif"/>
                <w:b w:val="false"/>
                <w:color w:val="000000"/>
                <w:sz w:val="11"/>
              </w:rPr>
              <w:t>(2)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receivables</w:t>
            </w:r>
            <w:r>
              <w:rPr>
                <w:rFonts w:ascii="Times New Roman;sans-serif" w:hAnsi="Times New Roman;sans-serif"/>
                <w:b w:val="false"/>
                <w:color w:val="000000"/>
                <w:sz w:val="11"/>
              </w:rPr>
              <w:t>(3)</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Other Receivables, net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211.5 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246.2 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Net of allowance of $2.6 million and $2.2 million as of June 30, 2023 and December 31, 2022,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Net of allowance of $4.9 million and $5.9 million as of June 30, 2023 and December 31, 2022, respectively.</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receivable from Rezplot Systems LLC, a nonconsolidated affiliate, in which we had 49.0% and 48.9% ownership interest as of June 30, 2023 and December 31, 2022, respectively. In June 2020, we made a convertible secured loan to Rezplot Systems LLC. The note allows for a principal amount of up to $10.0 million to be drawn down over a period of three years, bears an interest rate of 3.0%, matures in June 2024, and is secured by all the assets of Rezplot Systems LLC. In January 2022, we made an additional loan to Rezplot Systems LLC that allows for a principal amount of up to $5.0 million to be drawn over a period of three years, bears an interest rate of 3.0% and matures in January 2025. The outstanding balances were $12.3 million and $12.7 million as of June 30, 2023 and December 31, 2022, respectively. Refer to Note 6, "Investments in Nonconsolidated Affiliates," for additional information on Rezplot Systems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5. Goodwill and Other Intangible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intangible assets include goodwill, in-place leases, non-competition agreements, trademarks and trade names, customer relationships, franchise agreements and other intangible assets. These intangible assets are recorded in Goodwill and Other intangible assets, net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 periods for the valuation of assets acquired and liabilities assumed in a business combination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 These purchase accounting adjustments are presented under Other in the table below. Changes in the carrying amount of goodwill during the six months ended June 30, 2023 by reportable segment were as follows (in millions):</w:t>
      </w:r>
    </w:p>
    <w:p>
      <w:pPr>
        <w:pStyle w:val="TextBody"/>
        <w:bidi w:val="0"/>
        <w:spacing w:before="0" w:after="0"/>
        <w:jc w:val="both"/>
        <w:rPr/>
      </w:pPr>
      <w:r>
        <w:rPr/>
      </w:r>
    </w:p>
    <w:tbl>
      <w:tblPr>
        <w:tblW w:w="9196" w:type="dxa"/>
        <w:jc w:val="left"/>
        <w:tblInd w:w="0" w:type="dxa"/>
        <w:tblLayout w:type="fixed"/>
        <w:tblCellMar>
          <w:top w:w="28" w:type="dxa"/>
          <w:left w:w="28" w:type="dxa"/>
          <w:bottom w:w="28" w:type="dxa"/>
          <w:right w:w="28" w:type="dxa"/>
        </w:tblCellMar>
      </w:tblPr>
      <w:tblGrid>
        <w:gridCol w:w="603"/>
        <w:gridCol w:w="529"/>
        <w:gridCol w:w="533"/>
        <w:gridCol w:w="295"/>
        <w:gridCol w:w="1041"/>
        <w:gridCol w:w="164"/>
        <w:gridCol w:w="109"/>
        <w:gridCol w:w="109"/>
        <w:gridCol w:w="109"/>
        <w:gridCol w:w="109"/>
        <w:gridCol w:w="109"/>
        <w:gridCol w:w="650"/>
        <w:gridCol w:w="1548"/>
        <w:gridCol w:w="366"/>
        <w:gridCol w:w="109"/>
        <w:gridCol w:w="109"/>
        <w:gridCol w:w="109"/>
        <w:gridCol w:w="196"/>
        <w:gridCol w:w="466"/>
        <w:gridCol w:w="109"/>
        <w:gridCol w:w="109"/>
        <w:gridCol w:w="109"/>
        <w:gridCol w:w="109"/>
        <w:gridCol w:w="221"/>
        <w:gridCol w:w="781"/>
        <w:gridCol w:w="12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Goodwill by Segment</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Other</w:t>
            </w:r>
            <w:r>
              <w:rPr>
                <w:rFonts w:ascii="Times New Roman;sans-serif" w:hAnsi="Times New Roman;sans-serif"/>
                <w:b w:val="false"/>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RV</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Marina</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1,104.2 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During the six months ended June 30, 2023, adjustments in purchase price allocations resulted in the recognition of additional goodwill of $60.7 million in the MH segment, related to the Park Leisure business combination.</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During the year ended December 31, 2022, we recognized goodwill from acquisitions of $516.0 million which is expected to be deductible for tax purposes. There were no business combination acquisitions during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Intangible Assets,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of our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05"/>
        <w:gridCol w:w="692"/>
        <w:gridCol w:w="619"/>
        <w:gridCol w:w="109"/>
        <w:gridCol w:w="109"/>
        <w:gridCol w:w="109"/>
        <w:gridCol w:w="337"/>
        <w:gridCol w:w="299"/>
        <w:gridCol w:w="301"/>
        <w:gridCol w:w="109"/>
        <w:gridCol w:w="109"/>
        <w:gridCol w:w="109"/>
        <w:gridCol w:w="281"/>
        <w:gridCol w:w="798"/>
        <w:gridCol w:w="156"/>
        <w:gridCol w:w="109"/>
        <w:gridCol w:w="109"/>
        <w:gridCol w:w="109"/>
        <w:gridCol w:w="322"/>
        <w:gridCol w:w="942"/>
        <w:gridCol w:w="181"/>
        <w:gridCol w:w="109"/>
        <w:gridCol w:w="109"/>
        <w:gridCol w:w="109"/>
        <w:gridCol w:w="281"/>
        <w:gridCol w:w="798"/>
        <w:gridCol w:w="156"/>
        <w:gridCol w:w="109"/>
        <w:gridCol w:w="109"/>
        <w:gridCol w:w="109"/>
        <w:gridCol w:w="316"/>
        <w:gridCol w:w="925"/>
        <w:gridCol w:w="261"/>
      </w:tblGrid>
      <w:tr>
        <w:trPr/>
        <w:tc>
          <w:tcPr>
            <w:tcW w:w="9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Amortization</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2 months - 13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3 - 15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4 - 17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1 - 27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finite-lived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(197.8)</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Indefinite-lived assets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indefinite-lived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(197.8)</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(178.6)</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expenses related to our Other intangible assets were as follows (in millions):</w:t>
      </w:r>
    </w:p>
    <w:p>
      <w:pPr>
        <w:pStyle w:val="TextBody"/>
        <w:bidi w:val="0"/>
        <w:spacing w:before="0" w:after="0"/>
        <w:jc w:val="both"/>
        <w:rPr/>
      </w:pPr>
      <w:r>
        <w:rPr/>
      </w:r>
    </w:p>
    <w:tbl>
      <w:tblPr>
        <w:tblW w:w="9256" w:type="dxa"/>
        <w:jc w:val="left"/>
        <w:tblInd w:w="0" w:type="dxa"/>
        <w:tblLayout w:type="fixed"/>
        <w:tblCellMar>
          <w:top w:w="28" w:type="dxa"/>
          <w:left w:w="28" w:type="dxa"/>
          <w:bottom w:w="28" w:type="dxa"/>
          <w:right w:w="28" w:type="dxa"/>
        </w:tblCellMar>
      </w:tblPr>
      <w:tblGrid>
        <w:gridCol w:w="1233"/>
        <w:gridCol w:w="1084"/>
        <w:gridCol w:w="1087"/>
        <w:gridCol w:w="109"/>
        <w:gridCol w:w="109"/>
        <w:gridCol w:w="109"/>
        <w:gridCol w:w="324"/>
        <w:gridCol w:w="621"/>
        <w:gridCol w:w="180"/>
        <w:gridCol w:w="109"/>
        <w:gridCol w:w="109"/>
        <w:gridCol w:w="109"/>
        <w:gridCol w:w="324"/>
        <w:gridCol w:w="621"/>
        <w:gridCol w:w="180"/>
        <w:gridCol w:w="109"/>
        <w:gridCol w:w="109"/>
        <w:gridCol w:w="109"/>
        <w:gridCol w:w="286"/>
        <w:gridCol w:w="680"/>
        <w:gridCol w:w="159"/>
        <w:gridCol w:w="109"/>
        <w:gridCol w:w="109"/>
        <w:gridCol w:w="109"/>
        <w:gridCol w:w="281"/>
        <w:gridCol w:w="668"/>
        <w:gridCol w:w="220"/>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fees and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amortization expense for Other intangible assets to be as follows for the next five years (in millions):</w:t>
      </w:r>
    </w:p>
    <w:p>
      <w:pPr>
        <w:pStyle w:val="TextBody"/>
        <w:bidi w:val="0"/>
        <w:spacing w:before="0" w:after="0"/>
        <w:jc w:val="both"/>
        <w:rPr/>
      </w:pPr>
      <w:r>
        <w:rPr/>
      </w:r>
    </w:p>
    <w:tbl>
      <w:tblPr>
        <w:tblW w:w="9686" w:type="dxa"/>
        <w:jc w:val="left"/>
        <w:tblInd w:w="0" w:type="dxa"/>
        <w:tblLayout w:type="fixed"/>
        <w:tblCellMar>
          <w:top w:w="28" w:type="dxa"/>
          <w:left w:w="28" w:type="dxa"/>
          <w:bottom w:w="28" w:type="dxa"/>
          <w:right w:w="28" w:type="dxa"/>
        </w:tblCellMar>
      </w:tblPr>
      <w:tblGrid>
        <w:gridCol w:w="1429"/>
        <w:gridCol w:w="1256"/>
        <w:gridCol w:w="1260"/>
        <w:gridCol w:w="331"/>
        <w:gridCol w:w="788"/>
        <w:gridCol w:w="185"/>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Intangible Asset Future Amortization Expense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Remainder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2027</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In-place leases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Non-competition agreements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Trademarks and trade names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Customer relationships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Franchise agreements and other intangible assets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6. Investments in Nonconsolidated Affiliates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Investments in joint ventures that are not consolidated, nor recorded at cost, are accounted for using the equity method of accounting as prescribed in ASC Topic 323, "</w:t>
      </w:r>
      <w:r>
        <w:rPr>
          <w:rFonts w:ascii="Times New Roman;sans-serif" w:hAnsi="Times New Roman;sans-serif"/>
          <w:b w:val="false"/>
          <w:i/>
          <w:color w:val="000000"/>
          <w:sz w:val="20"/>
        </w:rPr>
        <w:t>Investments - Equity Method and Joint Ventures</w:t>
      </w:r>
      <w:r>
        <w:rPr>
          <w:rFonts w:ascii="Times New Roman;sans-serif" w:hAnsi="Times New Roman;sans-serif"/>
          <w:b w:val="false"/>
          <w:color w:val="000000"/>
          <w:sz w:val="20"/>
        </w:rPr>
        <w:t>." Investments in nonconsolidated affiliates are recorded within Other assets, net on the Consolidated Balance Sheets. Equity income and loss are recorded in Income / (loss)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RezPlot Systems LLC ("Rezplot")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we had a 49.0% and 48.9% ownership interest, respectively, in Rezplot, a RV reservation software technology company, which we acquired in January 2019. Our investment balance in Rezplot was zero as of June 30, 2023 and December 31, 2022, respectively, with subsequent equity losses being applied as a reduction to our notes receivable from Rezplot. Refer to Note 4, "Notes and Other Receivables," for additional information on the notes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Sungenia Joint Venture ("Sungenia JV")</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we had a 50.0% ownership interest in Sungenia JV, a joint venture formed between us and Ingenia Communities Group in November 2018, to establish and grow a manufactured housing community development program in Australia.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GTSC LLC </w:t>
      </w:r>
      <w:r>
        <w:rPr>
          <w:rFonts w:ascii="Times New Roman;sans-serif" w:hAnsi="Times New Roman;sans-serif"/>
          <w:b w:val="false"/>
          <w:color w:val="000000"/>
          <w:sz w:val="20"/>
        </w:rPr>
        <w:t>(</w:t>
      </w:r>
      <w:r>
        <w:rPr>
          <w:rFonts w:ascii="Times New Roman;sans-serif" w:hAnsi="Times New Roman;sans-serif"/>
          <w:b w:val="false"/>
          <w:i/>
          <w:color w:val="000000"/>
          <w:sz w:val="20"/>
        </w:rPr>
        <w:t>"GTSC"</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we had a 40.0% ownership interest in GTSC, which engages in acquiring, holding and selling loans secured, directly or indirectly, by manufactured homes located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Origen Financial Services, LLC ("OFS")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we had no ownership interest, in OFS, an end-to-end online resident screening and document management suite. During the three months ended June 30, 2022, we sold our ownership interest in OFS for $0.6 million. The gain from the sale was $0.3 million, which was recorded in Income / (loss)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SV Lift, LLC ("SV Lift")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we had a 50.0% ownership interest in SV Lift, which owns, operates and leases an aircraft.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balance in each nonconsolidated affiliate was as follows (in millions):</w:t>
      </w:r>
    </w:p>
    <w:p>
      <w:pPr>
        <w:pStyle w:val="TextBody"/>
        <w:bidi w:val="0"/>
        <w:spacing w:before="0" w:after="0"/>
        <w:jc w:val="both"/>
        <w:rPr/>
      </w:pPr>
      <w:r>
        <w:rPr/>
      </w:r>
    </w:p>
    <w:tbl>
      <w:tblPr>
        <w:tblW w:w="5303"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286"/>
        <w:gridCol w:w="680"/>
        <w:gridCol w:w="159"/>
        <w:gridCol w:w="109"/>
        <w:gridCol w:w="109"/>
        <w:gridCol w:w="109"/>
        <w:gridCol w:w="334"/>
        <w:gridCol w:w="948"/>
        <w:gridCol w:w="26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Sungenia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GTSC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SV Lift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101.3 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 (loss) from each nonconsolidated affiliate is as follows (in millions):</w:t>
      </w:r>
    </w:p>
    <w:p>
      <w:pPr>
        <w:pStyle w:val="TextBody"/>
        <w:bidi w:val="0"/>
        <w:spacing w:before="0" w:after="0"/>
        <w:jc w:val="both"/>
        <w:rPr/>
      </w:pPr>
      <w:r>
        <w:rPr/>
      </w:r>
    </w:p>
    <w:tbl>
      <w:tblPr>
        <w:tblW w:w="9854" w:type="dxa"/>
        <w:jc w:val="center"/>
        <w:tblInd w:w="0" w:type="dxa"/>
        <w:tblLayout w:type="fixed"/>
        <w:tblCellMar>
          <w:top w:w="28" w:type="dxa"/>
          <w:left w:w="28" w:type="dxa"/>
          <w:bottom w:w="28" w:type="dxa"/>
          <w:right w:w="28" w:type="dxa"/>
        </w:tblCellMar>
      </w:tblPr>
      <w:tblGrid>
        <w:gridCol w:w="1449"/>
        <w:gridCol w:w="1276"/>
        <w:gridCol w:w="1279"/>
        <w:gridCol w:w="109"/>
        <w:gridCol w:w="109"/>
        <w:gridCol w:w="109"/>
        <w:gridCol w:w="291"/>
        <w:gridCol w:w="671"/>
        <w:gridCol w:w="162"/>
        <w:gridCol w:w="109"/>
        <w:gridCol w:w="109"/>
        <w:gridCol w:w="109"/>
        <w:gridCol w:w="291"/>
        <w:gridCol w:w="671"/>
        <w:gridCol w:w="162"/>
        <w:gridCol w:w="109"/>
        <w:gridCol w:w="109"/>
        <w:gridCol w:w="109"/>
        <w:gridCol w:w="291"/>
        <w:gridCol w:w="671"/>
        <w:gridCol w:w="162"/>
        <w:gridCol w:w="109"/>
        <w:gridCol w:w="109"/>
        <w:gridCol w:w="109"/>
        <w:gridCol w:w="286"/>
        <w:gridCol w:w="659"/>
        <w:gridCol w:w="225"/>
      </w:tblGrid>
      <w:tr>
        <w:trPr/>
        <w:tc>
          <w:tcPr>
            <w:tcW w:w="14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Income / (Loss) from Nonconsolidated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RezPlot equity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Sungenia JV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GTSC equity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OFS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SV Lift equity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Income / (Loss) from Nonconsolidated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GTSC investment balance is as follows (in millions):</w:t>
      </w:r>
    </w:p>
    <w:p>
      <w:pPr>
        <w:pStyle w:val="TextBody"/>
        <w:bidi w:val="0"/>
        <w:spacing w:before="0" w:after="0"/>
        <w:jc w:val="both"/>
        <w:rPr/>
      </w:pPr>
      <w:r>
        <w:rPr/>
      </w:r>
    </w:p>
    <w:tbl>
      <w:tblPr>
        <w:tblW w:w="5212" w:type="dxa"/>
        <w:jc w:val="left"/>
        <w:tblInd w:w="0" w:type="dxa"/>
        <w:tblLayout w:type="fixed"/>
        <w:tblCellMar>
          <w:top w:w="28" w:type="dxa"/>
          <w:left w:w="28" w:type="dxa"/>
          <w:bottom w:w="28" w:type="dxa"/>
          <w:right w:w="28" w:type="dxa"/>
        </w:tblCellMar>
      </w:tblPr>
      <w:tblGrid>
        <w:gridCol w:w="580"/>
        <w:gridCol w:w="511"/>
        <w:gridCol w:w="513"/>
        <w:gridCol w:w="109"/>
        <w:gridCol w:w="109"/>
        <w:gridCol w:w="109"/>
        <w:gridCol w:w="358"/>
        <w:gridCol w:w="852"/>
        <w:gridCol w:w="199"/>
        <w:gridCol w:w="109"/>
        <w:gridCol w:w="109"/>
        <w:gridCol w:w="109"/>
        <w:gridCol w:w="371"/>
        <w:gridCol w:w="883"/>
        <w:gridCol w:w="291"/>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54.5 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Sungenia JV investment balance is as follows (in millions):</w:t>
      </w:r>
    </w:p>
    <w:p>
      <w:pPr>
        <w:pStyle w:val="TextBody"/>
        <w:bidi w:val="0"/>
        <w:spacing w:before="0" w:after="0"/>
        <w:jc w:val="both"/>
        <w:rPr/>
      </w:pPr>
      <w:r>
        <w:rPr/>
      </w:r>
    </w:p>
    <w:tbl>
      <w:tblPr>
        <w:tblW w:w="6082" w:type="dxa"/>
        <w:jc w:val="left"/>
        <w:tblInd w:w="0" w:type="dxa"/>
        <w:tblLayout w:type="fixed"/>
        <w:tblCellMar>
          <w:top w:w="28" w:type="dxa"/>
          <w:left w:w="28" w:type="dxa"/>
          <w:bottom w:w="28" w:type="dxa"/>
          <w:right w:w="28" w:type="dxa"/>
        </w:tblCellMar>
      </w:tblPr>
      <w:tblGrid>
        <w:gridCol w:w="895"/>
        <w:gridCol w:w="788"/>
        <w:gridCol w:w="791"/>
        <w:gridCol w:w="109"/>
        <w:gridCol w:w="109"/>
        <w:gridCol w:w="109"/>
        <w:gridCol w:w="358"/>
        <w:gridCol w:w="852"/>
        <w:gridCol w:w="199"/>
        <w:gridCol w:w="109"/>
        <w:gridCol w:w="109"/>
        <w:gridCol w:w="109"/>
        <w:gridCol w:w="371"/>
        <w:gridCol w:w="883"/>
        <w:gridCol w:w="291"/>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36.2 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44.5 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 xml:space="preserve">7. Consolidated Variable Interest Entities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Operating Partnership</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consolidate the Operating Partnership under the guidance set forth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Consolidated VIEs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consolidate Sun NG RV Resorts LLC ("Sun NG Resorts"), Sun NG Whitewater RV Resorts LLC, Sun NG Beaver Brook LLC, FPG Sun Menifee 80 LLC, Solar Energy Project LLC, Solar Energy Project CA II LLC, Solar Energy Project III LLC and FPG Sun Moreno Valley 66 LLC under the guidance set forth in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concluded that each entity is a VIE where we are the primary beneficiary, as we have the power to direct the significant activities of and absorb the significant losses and receive the significant benefits from each entity. Refer to Note 8, "Debt and Line of Credit," and Note 9, "Equity and Temporary Equity," for additional information on Sun NG Resorts.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of our consolidated VIEs after eliminations, with the exception of the Operating Partnership, included in our Consolidated Balance Sheets (in millions):</w:t>
      </w:r>
    </w:p>
    <w:p>
      <w:pPr>
        <w:pStyle w:val="TextBody"/>
        <w:bidi w:val="0"/>
        <w:spacing w:before="0" w:after="0"/>
        <w:jc w:val="both"/>
        <w:rPr/>
      </w:pPr>
      <w:r>
        <w:rPr/>
      </w:r>
    </w:p>
    <w:tbl>
      <w:tblPr>
        <w:tblW w:w="5981" w:type="dxa"/>
        <w:jc w:val="left"/>
        <w:tblInd w:w="0" w:type="dxa"/>
        <w:tblLayout w:type="fixed"/>
        <w:tblCellMar>
          <w:top w:w="28" w:type="dxa"/>
          <w:left w:w="28" w:type="dxa"/>
          <w:bottom w:w="28" w:type="dxa"/>
          <w:right w:w="28" w:type="dxa"/>
        </w:tblCellMar>
      </w:tblPr>
      <w:tblGrid>
        <w:gridCol w:w="1079"/>
        <w:gridCol w:w="950"/>
        <w:gridCol w:w="956"/>
        <w:gridCol w:w="256"/>
        <w:gridCol w:w="727"/>
        <w:gridCol w:w="142"/>
        <w:gridCol w:w="109"/>
        <w:gridCol w:w="109"/>
        <w:gridCol w:w="109"/>
        <w:gridCol w:w="334"/>
        <w:gridCol w:w="948"/>
        <w:gridCol w:w="262"/>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739.7 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848.2 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777.3 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 and Other Equity</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Advanced reservation deposits and rent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accounts payable</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84.4 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Temporary equity</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and Other Equity</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125.7 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related to the consolidated VIEs, with the exception of the Operating Partnership, comprised 4.8% and 4.5% of our consolidated total assets at June 30, 2023 and December 31, 2022, respectively. Total liabilities comprised 1.4% and 0.9% of our consolidated total liabilities at June 30, 2023 and December 31, 2022, respectively. Equity Interests and Noncontrolling interests related to the consolidated VIEs, on an absolute basis, comprised less than 1.0% of our consolidated total equity at June 30, 2023 and December 31,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8. Debt and 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debt, including premiums, discounts and deferred financing costs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86"/>
        <w:gridCol w:w="653"/>
        <w:gridCol w:w="656"/>
        <w:gridCol w:w="205"/>
        <w:gridCol w:w="725"/>
        <w:gridCol w:w="114"/>
        <w:gridCol w:w="109"/>
        <w:gridCol w:w="109"/>
        <w:gridCol w:w="109"/>
        <w:gridCol w:w="233"/>
        <w:gridCol w:w="823"/>
        <w:gridCol w:w="129"/>
        <w:gridCol w:w="109"/>
        <w:gridCol w:w="109"/>
        <w:gridCol w:w="109"/>
        <w:gridCol w:w="245"/>
        <w:gridCol w:w="245"/>
        <w:gridCol w:w="215"/>
        <w:gridCol w:w="130"/>
        <w:gridCol w:w="130"/>
        <w:gridCol w:w="130"/>
        <w:gridCol w:w="359"/>
        <w:gridCol w:w="359"/>
        <w:gridCol w:w="361"/>
        <w:gridCol w:w="109"/>
        <w:gridCol w:w="109"/>
        <w:gridCol w:w="109"/>
        <w:gridCol w:w="278"/>
        <w:gridCol w:w="278"/>
        <w:gridCol w:w="373"/>
        <w:gridCol w:w="116"/>
        <w:gridCol w:w="116"/>
        <w:gridCol w:w="116"/>
        <w:gridCol w:w="333"/>
        <w:gridCol w:w="264"/>
        <w:gridCol w:w="652"/>
      </w:tblGrid>
      <w:tr>
        <w:trPr/>
        <w:tc>
          <w:tcPr>
            <w:tcW w:w="98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Weighted Average </w:t>
              <w:br/>
              <w:t>Interest Rates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Secured Debt</w:t>
            </w:r>
            <w:r>
              <w:rPr>
                <w:rFonts w:ascii="Times New Roman;sans-serif" w:hAnsi="Times New Roman;sans-serif"/>
                <w:b w:val="false"/>
                <w:color w:val="000000"/>
                <w:sz w:val="11"/>
              </w:rPr>
              <w:t>(1)</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3.723 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Senior unsecured notes</w:t>
            </w:r>
            <w:r>
              <w:rPr>
                <w:rFonts w:ascii="Times New Roman;sans-serif" w:hAnsi="Times New Roman;sans-serif"/>
                <w:b w:val="false"/>
                <w:color w:val="000000"/>
                <w:sz w:val="11"/>
              </w:rPr>
              <w:t>(2)</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3.375 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Line of credit and other debt</w:t>
            </w:r>
            <w:r>
              <w:rPr>
                <w:rFonts w:ascii="Times New Roman;sans-serif" w:hAnsi="Times New Roman;sans-serif"/>
                <w:b w:val="false"/>
                <w:color w:val="000000"/>
                <w:sz w:val="11"/>
              </w:rPr>
              <w:t>(3)</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5.021 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4.417 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equity - Sun NG Resorts - mandatorily redeemable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OP units - mandatorily redeemable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5.921 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7,614.0 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7,197.2 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4.024 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3.746 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Balances at June 30, 2023 and December 31, 2022 include $0.1 million of net debt premium, respectively, and $15.7 million and $14.6 million of deferred financing costs,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Balances at June 30, 2023 and December 31, 2022 include $6.9 million and $6.1 million of net debt discount, respectively, and $16.9 million and $14.3 million of deferred financing costs, respectively. Weighted average interest rates include the impact of hedge activity.</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Balances at June 30, 2023 and December 31, 2022 includes $2.3 million and $3.0 million of deferred financing costs, respectively. Weighted average interest rates include the impact of hedge activity.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of mortgage term loans. During the six months ended June 30, 2023, no mortgage term loans were paid off. During the year ended December 31, 2022, we paid off the following mortgage term loans during the quarters presented below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0"/>
        <w:gridCol w:w="695"/>
        <w:gridCol w:w="703"/>
        <w:gridCol w:w="109"/>
        <w:gridCol w:w="109"/>
        <w:gridCol w:w="109"/>
        <w:gridCol w:w="299"/>
        <w:gridCol w:w="853"/>
        <w:gridCol w:w="168"/>
        <w:gridCol w:w="109"/>
        <w:gridCol w:w="109"/>
        <w:gridCol w:w="109"/>
        <w:gridCol w:w="337"/>
        <w:gridCol w:w="279"/>
        <w:gridCol w:w="624"/>
        <w:gridCol w:w="109"/>
        <w:gridCol w:w="109"/>
        <w:gridCol w:w="109"/>
        <w:gridCol w:w="738"/>
        <w:gridCol w:w="708"/>
        <w:gridCol w:w="692"/>
        <w:gridCol w:w="109"/>
        <w:gridCol w:w="109"/>
        <w:gridCol w:w="109"/>
        <w:gridCol w:w="517"/>
        <w:gridCol w:w="1075"/>
        <w:gridCol w:w="419"/>
      </w:tblGrid>
      <w:tr>
        <w:trPr/>
        <w:tc>
          <w:tcPr>
            <w:tcW w:w="7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Repayment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Loss on Extinguishment of Debt</w:t>
            </w:r>
          </w:p>
        </w:tc>
      </w:tr>
      <w:tr>
        <w:trPr/>
        <w:tc>
          <w:tcPr>
            <w:tcW w:w="2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December 6, 2022 - September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3.89 </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October 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17 mortgage term loans which were scheduled to mature from December 6, 2022 to September 6, 2024, and were secured by 35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the year ended December 31, 2022, we entered into the following mortgage term loans during the quarters presented below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58"/>
        <w:gridCol w:w="923"/>
        <w:gridCol w:w="943"/>
        <w:gridCol w:w="109"/>
        <w:gridCol w:w="109"/>
        <w:gridCol w:w="109"/>
        <w:gridCol w:w="250"/>
        <w:gridCol w:w="711"/>
        <w:gridCol w:w="138"/>
        <w:gridCol w:w="114"/>
        <w:gridCol w:w="114"/>
        <w:gridCol w:w="114"/>
        <w:gridCol w:w="400"/>
        <w:gridCol w:w="400"/>
        <w:gridCol w:w="402"/>
        <w:gridCol w:w="109"/>
        <w:gridCol w:w="109"/>
        <w:gridCol w:w="109"/>
        <w:gridCol w:w="248"/>
        <w:gridCol w:w="246"/>
        <w:gridCol w:w="546"/>
        <w:gridCol w:w="109"/>
        <w:gridCol w:w="109"/>
        <w:gridCol w:w="109"/>
        <w:gridCol w:w="765"/>
        <w:gridCol w:w="760"/>
        <w:gridCol w:w="1092"/>
      </w:tblGrid>
      <w:tr>
        <w:trPr/>
        <w:tc>
          <w:tcPr>
            <w:tcW w:w="105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Loan Amount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Maturity Date</w:t>
            </w:r>
          </w:p>
        </w:tc>
      </w:tr>
      <w:tr>
        <w:trPr/>
        <w:tc>
          <w:tcPr>
            <w:tcW w:w="2924"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February 13, 2026</w:t>
            </w:r>
          </w:p>
        </w:tc>
      </w:tr>
      <w:tr>
        <w:trPr/>
        <w:tc>
          <w:tcPr>
            <w:tcW w:w="2924"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7"/>
              </w:rPr>
            </w:pPr>
            <w:r>
              <w:rPr>
                <w:rFonts w:ascii="Times New Roman;sans-serif" w:hAnsi="Times New Roman;sans-serif"/>
                <w:b w:val="false"/>
                <w:color w:val="000000"/>
                <w:sz w:val="17"/>
              </w:rPr>
              <w:t>7 - 10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5.72 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 1, 2030 - April 1, 2033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7"/>
              </w:rPr>
            </w:pPr>
            <w:r>
              <w:rPr>
                <w:rFonts w:ascii="Times New Roman;sans-serif" w:hAnsi="Times New Roman;sans-serif"/>
                <w:b w:val="false"/>
                <w:color w:val="000000"/>
                <w:sz w:val="17"/>
              </w:rPr>
              <w:t>4 - 7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 15, 2026 - December 15, 2029</w:t>
            </w:r>
          </w:p>
        </w:tc>
      </w:tr>
      <w:tr>
        <w:trPr/>
        <w:tc>
          <w:tcPr>
            <w:tcW w:w="2924"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Three months ended September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(4)(5)</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August 10, 2047</w:t>
            </w:r>
          </w:p>
        </w:tc>
      </w:tr>
      <w:tr>
        <w:trPr/>
        <w:tc>
          <w:tcPr>
            <w:tcW w:w="2924"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(5)</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August 10, 2047</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Includes five existing encumbered properties.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Includes 22 existing encumbered properties.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Includes 18 existing encumbered properties.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Represents a construction loan (undrawn as of June 30, 2023).</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(5)</w:t>
      </w:r>
      <w:r>
        <w:rPr>
          <w:rFonts w:ascii="Times New Roman;sans-serif" w:hAnsi="Times New Roman;sans-serif"/>
          <w:b w:val="false"/>
          <w:color w:val="000000"/>
          <w:sz w:val="16"/>
        </w:rPr>
        <w:t>Represents loans jointly secured by one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which total $3.4 billion as of June 30, 2023, are secured by 154 properties comprised of 61,629 sites representing approximately $2.7 billion of net book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except for statistical information). All senior unsecured notes include interest payments on a semi-annual basis in arrears, and are recorded in the Unsecured debt line item on the Consolidated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69"/>
        <w:gridCol w:w="1640"/>
        <w:gridCol w:w="1657"/>
        <w:gridCol w:w="109"/>
        <w:gridCol w:w="109"/>
        <w:gridCol w:w="109"/>
        <w:gridCol w:w="273"/>
        <w:gridCol w:w="965"/>
        <w:gridCol w:w="151"/>
        <w:gridCol w:w="109"/>
        <w:gridCol w:w="109"/>
        <w:gridCol w:w="109"/>
        <w:gridCol w:w="220"/>
        <w:gridCol w:w="780"/>
        <w:gridCol w:w="122"/>
        <w:gridCol w:w="109"/>
        <w:gridCol w:w="109"/>
        <w:gridCol w:w="109"/>
        <w:gridCol w:w="290"/>
        <w:gridCol w:w="1023"/>
        <w:gridCol w:w="234"/>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5.7% notes, issued in January 2023 and due in January 2033</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Operating Partnership (as borrower), SUI (as guarantor), and certain lenders entered into Amendment No. 1 to the Fourth Amended and Restated Credit Agreement and Other Loan Documents (the "Credit Facility Amendment"), which amended our senior credit facility (the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Secured Overnight Financing Rate ("SOFR"), the Adjusted Eurocurrency Rate, the Daily Risk Free Rate ("RFR"), the Australian Bank Bill Swap Bid Rate ("BBSY"), the Daily Sterling Overnight Index Average ("SONIA") Rate or the Canadian Dollar Offered Rate, as applicable, plus a margin, in all cases, which can range from 0.725% to 1.6%, subject to certain adjustments. As of June 30, 2023, the margins based on our credit ratings were 0.85% on the revolving loan facility and 0.95% on the term loan facility. During the six months ended June 30, 2023 and year ended December 31, 2022, we achieved sustainability related requirements resulting in a favorable 0.04% and 0.01% adjustments, respectively, to both margins.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Amendment. We had $884.8 million and $1.1 billion of borrowings outstanding under the revolving loan as of June 30, 2023 and December 31, 2022, respectively. We also had $1.1 billion of borrowings outstanding under the term loan on the Senior Credit Facility as of June 30, 2023 and December 31, 2022, respectively. These balances are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$16.7 million and $2.6 million of outstanding letters of credit at June 30,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Loan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terminated our commitment letter with Citigroup Global Markets, Inc. ("Citigroup"), pursuant to which Citigroup (on behalf of its affiliates) previously committed to lend us up to £950.0 million in Pound sterling, or approximately $1.2 billion converted at the March 31, 2022 exchange rate (the "Bridge Loan"). As of the date of termination, we did not have any borrowings outstanding under the Bridge Loan. During the year ended December 31, 2022, we recognized a Loss on extinguishment of debt in our Consolidated Statement of Operations of $0.3 million related to the termination of the Bridge Loan.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Term Loan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2019, we assumed a $58.0 million secured term loan facility related to an acquisition. The term loan initially had a four-year term ending October 29, 2023, and bore interest at a floating rate based on the Eurodollar rate or Prime rate plus a margin ranging from 1.2% to 2.05%. Effective July 1, 2021, the agreement was amended to release the associated collateral. The amendment extended the term loan facility maturity date to October 29, 2025 and adjusted the interest rate margin to a range from 0.8% to 1.6%. In August 2022, we amended the secured term loan facility to transition from the Eurodollar rate to SOFR. As of June 30, 2023, the margin based on our credit rating was 0.95%. The outstanding balance was $11.7 million at June 30, 2023 and $19.8 million at December 31, 2022, respectively. In accordance with the amended agreement, we achieved sustainability related requirements resulting in a favorable 0.01% adjustment to the margins. These balances are recorded in Unsecured debt on the Consolidated Balance Sheets.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Equity - Sun NG Resorts - Mandatorily Redeemable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investment in Sun NG Resorts in June 2018, $35.3 million of mandatorily redeemable Preferred Equity ("Preferred Equity - Sun NG Resorts") was purchased by unrelated third parties. The Preferred Equity - Sun NG Resorts carries a preferred rate of return of 6.0% per annum. The Preferred Equity - Sun NG Resorts has a seven-year term ending June 1, 2025. If we terminate the property management agreement related to the property, we must acquire NG Sun LLC's interest in such property, which, in addition to its Series B preferred equity interests and common equity interests allocated to such property, may include its and certain unrelated third parties' Preferred Equity - Sun NG Resorts allocated to such property. The Preferred Equity - Sun NG Resorts as of June 30, 2023 and December 31, 2022, respectively, was $35.2 million. This balance is recorded in Unsecured debt on the Consolidated Balance Sheets. Refer to Note 7, "Consolidated Variable Interest Entities," and Note 9, "Equity and Temporary Equity,"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OP Units - Mandatorily Redeemable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respectively, our Preferred OP units include $26.7 million and $34.0 million of Aspen preferred OP units. These balances are recorded in Unsecured debt on the Consolidated Balance Sheets. As of June 30, 2023, 988,819 of Aspen preferred OP units were outstanding and convertible into 323,271 common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we amended the Operating Partnership's partnership agreement to extend the automatic redemption date and reduce the annual distribution rate for 270,000 of the Aspen preferred OP units (the "Extended Units"). The Extended Units redemption date was extended to January 1, 2034, and their distribution rate was lowered to 3.8%. During the first quarter ended March 31, 2023, all of the Extended Units converted into common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remaining Aspen preferred OP units, subject to certain limitations, at any time prior to January 1, 2024, the holder of each Aspen preferred OP unit may, at its option, convert such unit into: (a) if the average closing price of our common stock for the preceding ten trading days is $68.00 per share or less, 0.397 common OP units; or (b) if the 10-day average closing price is greater than $68.00 per share, a number of common OP units determined by dividing (i) the sum of (A) $27.00 plus (B) 25.0% of the amount by which the 10-day average closing price exceeds $68.00 per share, by (ii) the 10-day average closing price. The current preferred distribution rate on the remaining Aspen preferred OP units is 6.5%. On January 2, 2024, we are required to redeem for cash all Aspen preferred OP units that have not been converted to common OP units. Please refer to Note 19, "Subsequent Events,"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mortgage term loans, senior unsecured notes and Senior Credit Facility are subject to various financial and other covenants. The most restrictive covenants are pursuant to (a) the terms of the Senior Credit Facility, which contains a maximum leverage ratio, minimum fixed charge coverage ratio and maximum secured leverage ratio, and (b) the terms of the senior unsecured notes, which contain a total debt to total assets ratio, secured debt to total assets ratio, consolidated income available for debt service to debt service ratio and unencumbered total asset value to unsecured debt ratio. At June 30, 2023, we were in compliance with all 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interest during the construction and development of our communities. Capitalized interest costs associated with construction and development activities during the three and six months ended June 30, 2023 and 2022 were as follows (in millions):</w:t>
      </w:r>
    </w:p>
    <w:p>
      <w:pPr>
        <w:pStyle w:val="TextBody"/>
        <w:bidi w:val="0"/>
        <w:spacing w:before="0" w:after="0"/>
        <w:jc w:val="both"/>
        <w:rPr/>
      </w:pPr>
      <w:r>
        <w:rPr/>
      </w:r>
    </w:p>
    <w:tbl>
      <w:tblPr>
        <w:tblW w:w="7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324"/>
        <w:gridCol w:w="621"/>
        <w:gridCol w:w="180"/>
        <w:gridCol w:w="109"/>
        <w:gridCol w:w="109"/>
        <w:gridCol w:w="109"/>
        <w:gridCol w:w="324"/>
        <w:gridCol w:w="621"/>
        <w:gridCol w:w="180"/>
        <w:gridCol w:w="109"/>
        <w:gridCol w:w="109"/>
        <w:gridCol w:w="109"/>
        <w:gridCol w:w="324"/>
        <w:gridCol w:w="621"/>
        <w:gridCol w:w="180"/>
        <w:gridCol w:w="109"/>
        <w:gridCol w:w="109"/>
        <w:gridCol w:w="109"/>
        <w:gridCol w:w="316"/>
        <w:gridCol w:w="606"/>
        <w:gridCol w:w="248"/>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Interest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9. Equity and 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Temporary equity includes preferred securities that are redeemable for cash at the holder's option or upon the occurrence of an event that is not solely within our control based on a fixed or determinable price. These securities are not mandatorily redeemable for cash nor do they contain a fixed maturity date. The following table sets forth the various series of redeemable preferred OP units that were outstanding as of June 30, 2023 and December 31, 2022 and the related terms, and summarizes the balance included within Temporary Equity on our Consolidated Balance Sheets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9"/>
        <w:gridCol w:w="307"/>
        <w:gridCol w:w="309"/>
        <w:gridCol w:w="109"/>
        <w:gridCol w:w="109"/>
        <w:gridCol w:w="109"/>
        <w:gridCol w:w="536"/>
        <w:gridCol w:w="339"/>
        <w:gridCol w:w="340"/>
        <w:gridCol w:w="109"/>
        <w:gridCol w:w="109"/>
        <w:gridCol w:w="109"/>
        <w:gridCol w:w="273"/>
        <w:gridCol w:w="273"/>
        <w:gridCol w:w="274"/>
        <w:gridCol w:w="109"/>
        <w:gridCol w:w="109"/>
        <w:gridCol w:w="109"/>
        <w:gridCol w:w="240"/>
        <w:gridCol w:w="236"/>
        <w:gridCol w:w="525"/>
        <w:gridCol w:w="109"/>
        <w:gridCol w:w="109"/>
        <w:gridCol w:w="109"/>
        <w:gridCol w:w="338"/>
        <w:gridCol w:w="338"/>
        <w:gridCol w:w="339"/>
        <w:gridCol w:w="109"/>
        <w:gridCol w:w="109"/>
        <w:gridCol w:w="109"/>
        <w:gridCol w:w="368"/>
        <w:gridCol w:w="368"/>
        <w:gridCol w:w="369"/>
        <w:gridCol w:w="109"/>
        <w:gridCol w:w="109"/>
        <w:gridCol w:w="109"/>
        <w:gridCol w:w="197"/>
        <w:gridCol w:w="559"/>
        <w:gridCol w:w="109"/>
        <w:gridCol w:w="109"/>
        <w:gridCol w:w="109"/>
        <w:gridCol w:w="109"/>
        <w:gridCol w:w="198"/>
        <w:gridCol w:w="563"/>
        <w:gridCol w:w="169"/>
      </w:tblGrid>
      <w:tr>
        <w:trPr/>
        <w:tc>
          <w:tcPr>
            <w:tcW w:w="34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9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Cash Redemption</w:t>
            </w:r>
            <w:r>
              <w:rPr>
                <w:rFonts w:ascii="Times New Roman;sans-serif" w:hAnsi="Times New Roman;sans-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9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January 31, 2024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May 14,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222,210 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581,327 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238,000 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Within 60 days after March 23,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2,620,495 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The redemption price for each preferred OP unit redeemed will be equal to its issue price plus all accrued but unpaid distributions.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Redeemable Equity Interests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redeemable equity interests included in Temporary Equity on our Consolidated Balance Sheets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5"/>
        <w:gridCol w:w="453"/>
        <w:gridCol w:w="455"/>
        <w:gridCol w:w="109"/>
        <w:gridCol w:w="109"/>
        <w:gridCol w:w="109"/>
        <w:gridCol w:w="1853"/>
        <w:gridCol w:w="1853"/>
        <w:gridCol w:w="1876"/>
        <w:gridCol w:w="109"/>
        <w:gridCol w:w="109"/>
        <w:gridCol w:w="109"/>
        <w:gridCol w:w="234"/>
        <w:gridCol w:w="558"/>
        <w:gridCol w:w="130"/>
        <w:gridCol w:w="109"/>
        <w:gridCol w:w="109"/>
        <w:gridCol w:w="109"/>
        <w:gridCol w:w="278"/>
        <w:gridCol w:w="663"/>
        <w:gridCol w:w="226"/>
      </w:tblGrid>
      <w:tr>
        <w:trPr/>
        <w:tc>
          <w:tcPr>
            <w:tcW w:w="64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Equity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FPG Sun Moreno Valley 66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for future development in the city of Moreno Valley, California, at the property known as FPG Sun Moreno Valley 66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CA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Solar Energy Project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California communities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Solar Energy Project III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 joint venture that operates and maintains solar energy equipment in select Arizona and California communities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FPG Sun Menifee 80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for future development in the city of Menifee in California, at the property known as FPG Sun Menifee 80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NG Sun Whitewater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land at the property known as Whitewater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NG Sun LLC</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Sun NG Resorts, a joint venture that operates a portfolio of RV communities in the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NG Sun Beaver Brook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 connection with the investment in Sun NG Beaver Brook LLC, a joint venture that operates one RV communities in the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i/>
          <w:color w:val="000000"/>
          <w:sz w:val="16"/>
        </w:rPr>
        <w:t>Equity Interest - NG Sun LLC</w:t>
      </w:r>
      <w:r>
        <w:rPr>
          <w:color w:val="000000"/>
        </w:rPr>
        <w:t xml:space="preserve"> </w:t>
      </w:r>
      <w:r>
        <w:rPr>
          <w:rFonts w:ascii="Times New Roman;sans-serif" w:hAnsi="Times New Roman;sans-serif"/>
          <w:b w:val="false"/>
          <w:color w:val="000000"/>
          <w:sz w:val="16"/>
        </w:rPr>
        <w:t>- In June 2018, in connection with the investment in Sun NG Resorts, unrelated third parties purchased $6.5 million of Series B preferred equity interests and $15.4 million of common equity interests in Sun NG Resorts (herein jointly referred to as "Equity Interest - NG Sun LLC"). In April and September 2020, in connection with certain acquisitions, $3.0 million of Series B preferred equity interests were converted to common equity interests. The Series B preferred equity interests carry a preferred return at a rate that, at any time, is equal to the interest rate on Sun NG Resorts' indebtedness at such time. The current rate of return is 5.0%. The Equity Interest - NG Sun LLC does not have a fixed maturity date and portions can be redeemed in the fourth quarters of 2024, 2025 or 2026 at the holders' 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During the fourth quarter of 2024, NG Sun LLC may offer Sun NG LLC to purchase its entire interest in Sun NG Resorts, which includes its Equity Interest - NG Sun LLC and may include certain unrelated third parties' Preferred Equity - Sun NG Resorts. If we exercise this option, the related property management agreements will be terminated, and we are required to purchase the interests of NG Sun LLC and the property management agreements at fair value. If we elect not to purchase NG Sun LLC's interest in Sun NG Resorts, we must cause a sale of Sun NG Resorts. If such sale does not close within 90 days and NG Sun LLC does not agree to extend such period, then we are obligated to purchase NG Sun LLC's interest in Sun NG Resorts. Certain properties would be excluded from this process and would instead be transferred to new limited liability companies held jointly by NG Sun LLC and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 December 2021, the operating agreement was amended and we paid Sun NG Resorts a contingent consideration earnout in the amount of $38.3 million. The contingent consideration payment was recognized as an additional purchase price payment within Land improvements and buildings in the Consolidated Balance Sheets, and within Acquisition of properties, net of cash acquired in the Consolidated Statement of Cash Flows. The Equity Interest - NG Sun LLC balance was $28.2 million and $31.1 million as of June 30, 2023 and December 31, 2022, respectively. Refer to Note 7, "Consolidated Variable Interest Entities," and Note 8,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Permanent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Universal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we filed a new universal shelf registration statement on Form S-3 with the SEC. The shelf registration statement was deemed automatically effective and provides for the registration of unspecified amounts of equity and debt securities. At our 2023 Annual Meeting of Shareholders on May 16, 2023, our shareholders approved the Articles of Amendment to the Company's charter, which increased the authorized number of shares of capital stock to 380,000,000 shares, of which 360,000,000 shares are common stock and 20,000,000 shares are preferred stock, par value $0.01 per share. As of June 30, 2023, we had 124,400,983 shares of common stock issued and outstanding and no shares of preferred stock were issued and outstanding.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Equity Offerings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At the Market Offering Sales Agreement with certain sales agents and forward sellers pursuant to which we may sell, from time to time, up to an aggregate gross sales price of $1.25 billion of our common stock (the "Sales Agreement"), through the sales agents, acting as our sales agents or, if applicable, as forward sellers, or directly to the sales agents as principals for their own accounts. The sales agents and forward sellers are entitled to compensation in an agreed amount not to exceed 2.0% of the gross price per share for any shares sold under the Sales Agreement. We simultaneously terminated our prior sales agreement upon entering into the Sales Agreement. Through June 30, 2023, we had entered into forward sales agreements under our Sales Agreement for an aggregate gross sales price of $160.6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Stock in Connection with the Acquisition of Certain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we issued 186,044 shares of common stock with a value of $33.9 million in connection with the acquisition of Park Holidays.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Issuances of Common OP Units in Connection with the Acquisition of Certain Properties</w:t>
      </w:r>
    </w:p>
    <w:p>
      <w:pPr>
        <w:pStyle w:val="TextBody"/>
        <w:bidi w:val="0"/>
        <w:spacing w:before="0" w:after="0"/>
        <w:jc w:val="both"/>
        <w:rPr/>
      </w:pPr>
      <w:r>
        <w:rPr/>
      </w:r>
    </w:p>
    <w:tbl>
      <w:tblPr>
        <w:tblW w:w="10069" w:type="dxa"/>
        <w:jc w:val="left"/>
        <w:tblInd w:w="0" w:type="dxa"/>
        <w:tblLayout w:type="fixed"/>
        <w:tblCellMar>
          <w:top w:w="28" w:type="dxa"/>
          <w:left w:w="28" w:type="dxa"/>
          <w:bottom w:w="28" w:type="dxa"/>
          <w:right w:w="28" w:type="dxa"/>
        </w:tblCellMar>
      </w:tblPr>
      <w:tblGrid>
        <w:gridCol w:w="1161"/>
        <w:gridCol w:w="1020"/>
        <w:gridCol w:w="1029"/>
        <w:gridCol w:w="109"/>
        <w:gridCol w:w="109"/>
        <w:gridCol w:w="109"/>
        <w:gridCol w:w="649"/>
        <w:gridCol w:w="649"/>
        <w:gridCol w:w="652"/>
        <w:gridCol w:w="109"/>
        <w:gridCol w:w="109"/>
        <w:gridCol w:w="109"/>
        <w:gridCol w:w="651"/>
        <w:gridCol w:w="1248"/>
        <w:gridCol w:w="365"/>
        <w:gridCol w:w="109"/>
        <w:gridCol w:w="109"/>
        <w:gridCol w:w="109"/>
        <w:gridCol w:w="486"/>
        <w:gridCol w:w="486"/>
        <w:gridCol w:w="692"/>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Six Months Ended June 30, 2023 and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OP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Value at Issuance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Related Acquisition</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31,289 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Fox Run</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May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10,854 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Rudgate</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May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5,605 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Kittery Point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7"/>
              </w:rPr>
            </w:pPr>
            <w:r>
              <w:rPr>
                <w:rFonts w:ascii="Times New Roman;sans-serif" w:hAnsi="Times New Roman;sans-serif"/>
                <w:b w:val="false"/>
                <w:color w:val="000000"/>
                <w:sz w:val="17"/>
              </w:rPr>
              <w:t>February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14,683 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Jarrett Bay Boatworks</w:t>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During the three months ended June 30, 2022, we acquired the noncontrolling equity interest held by third parties in Rudgate for a total purchase price of $3.1 million. As consideration, we issued 10,854 common OP units and paid the remainder of the purchase price in cash. The acquisition resulted in the Company owning a 100 percent controlling interest in Rudgate. The acquisition was accounted for as an equity transaction in accordance with ASC 810, "</w:t>
      </w:r>
      <w:r>
        <w:rPr>
          <w:rFonts w:ascii="Times New Roman;sans-serif" w:hAnsi="Times New Roman;sans-serif"/>
          <w:b w:val="false"/>
          <w:i/>
          <w:color w:val="000000"/>
          <w:sz w:val="16"/>
        </w:rPr>
        <w:t>Consolidation</w:t>
      </w:r>
      <w:r>
        <w:rPr>
          <w:rFonts w:ascii="Times New Roman;sans-serif" w:hAnsi="Times New Roman;sans-serif"/>
          <w:b w:val="false"/>
          <w:color w:val="000000"/>
          <w:sz w:val="16"/>
        </w:rPr>
        <w:t>," with the difference between the purchase price and the acquired noncontrolling interest of $13.2 million recorded as an increase to Additional Paid-in Capital on the Consolidated Balance Sheets. Refer to Note 7, "Consolidated Variable Interest Entities,"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 - Common and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common and preferred OP units included within Noncontrolling interests on our Consolidated Balance Sheets (in millions, except for shares and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538"/>
        <w:gridCol w:w="349"/>
        <w:gridCol w:w="350"/>
        <w:gridCol w:w="109"/>
        <w:gridCol w:w="109"/>
        <w:gridCol w:w="109"/>
        <w:gridCol w:w="280"/>
        <w:gridCol w:w="280"/>
        <w:gridCol w:w="281"/>
        <w:gridCol w:w="109"/>
        <w:gridCol w:w="109"/>
        <w:gridCol w:w="109"/>
        <w:gridCol w:w="260"/>
        <w:gridCol w:w="260"/>
        <w:gridCol w:w="579"/>
        <w:gridCol w:w="109"/>
        <w:gridCol w:w="109"/>
        <w:gridCol w:w="109"/>
        <w:gridCol w:w="333"/>
        <w:gridCol w:w="333"/>
        <w:gridCol w:w="334"/>
        <w:gridCol w:w="109"/>
        <w:gridCol w:w="109"/>
        <w:gridCol w:w="109"/>
        <w:gridCol w:w="335"/>
        <w:gridCol w:w="335"/>
        <w:gridCol w:w="336"/>
        <w:gridCol w:w="109"/>
        <w:gridCol w:w="109"/>
        <w:gridCol w:w="109"/>
        <w:gridCol w:w="201"/>
        <w:gridCol w:w="479"/>
        <w:gridCol w:w="112"/>
        <w:gridCol w:w="109"/>
        <w:gridCol w:w="109"/>
        <w:gridCol w:w="109"/>
        <w:gridCol w:w="218"/>
        <w:gridCol w:w="520"/>
        <w:gridCol w:w="183"/>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Exchange Rate</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Annual Distribution Rate</w:t>
            </w:r>
            <w:r>
              <w:rPr>
                <w:rFonts w:ascii="Times New Roman;sans-serif" w:hAnsi="Times New Roman;sans-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Cash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2,446,381 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Same distribution rate for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207,457 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40,268 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305,948 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80,000 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3,080,054 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Distributions are payable on the issue price of each OP unit which is $100.00 per unit for all these preferred OP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Conversions to Common Stock</w:t>
      </w:r>
      <w:r>
        <w:rPr>
          <w:color w:val="000000"/>
        </w:rPr>
        <w:t xml:space="preserve"> </w:t>
      </w:r>
      <w:r>
        <w:rPr>
          <w:rFonts w:ascii="Times New Roman;sans-serif" w:hAnsi="Times New Roman;sans-serif"/>
          <w:b w:val="false"/>
          <w:color w:val="000000"/>
          <w:sz w:val="20"/>
        </w:rPr>
        <w:t>- Subject to certain limitations, holders can convert certain series of OP units to shares of our common stock at any time. Below is the activity of conversions during the six months ended June 30, 2023 and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6"/>
        <w:gridCol w:w="541"/>
        <w:gridCol w:w="547"/>
        <w:gridCol w:w="109"/>
        <w:gridCol w:w="109"/>
        <w:gridCol w:w="109"/>
        <w:gridCol w:w="405"/>
        <w:gridCol w:w="397"/>
        <w:gridCol w:w="398"/>
        <w:gridCol w:w="109"/>
        <w:gridCol w:w="109"/>
        <w:gridCol w:w="109"/>
        <w:gridCol w:w="572"/>
        <w:gridCol w:w="522"/>
        <w:gridCol w:w="523"/>
        <w:gridCol w:w="119"/>
        <w:gridCol w:w="119"/>
        <w:gridCol w:w="119"/>
        <w:gridCol w:w="426"/>
        <w:gridCol w:w="382"/>
        <w:gridCol w:w="384"/>
        <w:gridCol w:w="109"/>
        <w:gridCol w:w="109"/>
        <w:gridCol w:w="109"/>
        <w:gridCol w:w="522"/>
        <w:gridCol w:w="522"/>
        <w:gridCol w:w="523"/>
        <w:gridCol w:w="119"/>
        <w:gridCol w:w="119"/>
        <w:gridCol w:w="119"/>
        <w:gridCol w:w="375"/>
        <w:gridCol w:w="348"/>
        <w:gridCol w:w="507"/>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r>
      <w:tr>
        <w:trPr/>
        <w:tc>
          <w:tcPr>
            <w:tcW w:w="1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7"/>
              </w:rPr>
              <w:t>Various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270,000 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86,224 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3,612 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3,612 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3,960 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2,694 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6,568 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1.1100 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5,000 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3,448 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18,500 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11,934 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Refer to Note 8, "Debt and Line of Credit," for additional detail on Aspen preferred OP unit conversions, and Note 19, "Subsequent Events," for conversion activities after the quarter end.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Distributions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declared for the three months ended June 30, 2023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3"/>
        <w:gridCol w:w="1168"/>
        <w:gridCol w:w="1175"/>
        <w:gridCol w:w="109"/>
        <w:gridCol w:w="109"/>
        <w:gridCol w:w="109"/>
        <w:gridCol w:w="292"/>
        <w:gridCol w:w="292"/>
        <w:gridCol w:w="293"/>
        <w:gridCol w:w="109"/>
        <w:gridCol w:w="109"/>
        <w:gridCol w:w="109"/>
        <w:gridCol w:w="332"/>
        <w:gridCol w:w="332"/>
        <w:gridCol w:w="333"/>
        <w:gridCol w:w="109"/>
        <w:gridCol w:w="109"/>
        <w:gridCol w:w="109"/>
        <w:gridCol w:w="371"/>
        <w:gridCol w:w="882"/>
        <w:gridCol w:w="207"/>
        <w:gridCol w:w="109"/>
        <w:gridCol w:w="109"/>
        <w:gridCol w:w="109"/>
        <w:gridCol w:w="404"/>
        <w:gridCol w:w="1152"/>
        <w:gridCol w:w="331"/>
      </w:tblGrid>
      <w:tr>
        <w:trPr/>
        <w:tc>
          <w:tcPr>
            <w:tcW w:w="133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Common Stock, Common OP units and Restricted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Distribution (in Millions)</w:t>
            </w:r>
          </w:p>
        </w:tc>
      </w:tr>
      <w:tr>
        <w:trPr/>
        <w:tc>
          <w:tcPr>
            <w:tcW w:w="3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10. Share-Based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two share-based compensation plans: the Sun Communities, Inc. first amended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shares were granted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Vesting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220,558 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137.15 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194,260 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180.33 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weighted average fair value per share of the closing price of our common stock on the dates the shares were awarded.</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Represents the weighted average fair value per share of the Monte Carlo simulation fair value price of our market condition awards on the dates the shares were awarded.</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Share-based compensation for restricted stock awards with market conditions is measured based on shares expected to vest using a Monte Carlo simulation to determine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requirements for 223,529 and 250,308 restricted shares granted to our executives, directors and employees were satisfied during the six months ended June 30, 2023 and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a portion of share-based compensation costs for employees who work directly on construction and development of our communities. We recognized the following share-based compensation costs (in millions):</w:t>
      </w:r>
    </w:p>
    <w:p>
      <w:pPr>
        <w:pStyle w:val="TextBody"/>
        <w:bidi w:val="0"/>
        <w:spacing w:before="0" w:after="0"/>
        <w:jc w:val="both"/>
        <w:rPr/>
      </w:pPr>
      <w:r>
        <w:rPr/>
      </w:r>
    </w:p>
    <w:tbl>
      <w:tblPr>
        <w:tblW w:w="8820" w:type="dxa"/>
        <w:jc w:val="left"/>
        <w:tblInd w:w="0" w:type="dxa"/>
        <w:tblLayout w:type="fixed"/>
        <w:tblCellMar>
          <w:top w:w="28" w:type="dxa"/>
          <w:left w:w="28" w:type="dxa"/>
          <w:bottom w:w="28" w:type="dxa"/>
          <w:right w:w="28" w:type="dxa"/>
        </w:tblCellMar>
      </w:tblPr>
      <w:tblGrid>
        <w:gridCol w:w="1074"/>
        <w:gridCol w:w="944"/>
        <w:gridCol w:w="951"/>
        <w:gridCol w:w="109"/>
        <w:gridCol w:w="109"/>
        <w:gridCol w:w="109"/>
        <w:gridCol w:w="324"/>
        <w:gridCol w:w="621"/>
        <w:gridCol w:w="180"/>
        <w:gridCol w:w="109"/>
        <w:gridCol w:w="109"/>
        <w:gridCol w:w="109"/>
        <w:gridCol w:w="310"/>
        <w:gridCol w:w="642"/>
        <w:gridCol w:w="172"/>
        <w:gridCol w:w="109"/>
        <w:gridCol w:w="109"/>
        <w:gridCol w:w="109"/>
        <w:gridCol w:w="286"/>
        <w:gridCol w:w="680"/>
        <w:gridCol w:w="159"/>
        <w:gridCol w:w="109"/>
        <w:gridCol w:w="109"/>
        <w:gridCol w:w="109"/>
        <w:gridCol w:w="281"/>
        <w:gridCol w:w="668"/>
        <w:gridCol w:w="220"/>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Share-based compensation - expensed</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Share-based compensation - capitalized</w:t>
            </w:r>
            <w:r>
              <w:rPr>
                <w:rFonts w:ascii="Times New Roman;sans-serif" w:hAnsi="Times New Roman;sans-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Recorded within General and Administrative Expense on the Consolidated Income Statements.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Capitalized to Land Improvements and Buildings on the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11. 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establishes standards for the way that business enterprises report information about operating segments in its financial statements. As described in Note 1, "Basis of Presentation,"</w:t>
      </w:r>
      <w:r>
        <w:rPr>
          <w:color w:val="000000"/>
        </w:rPr>
        <w:t xml:space="preserve"> </w:t>
      </w:r>
      <w:r>
        <w:rPr>
          <w:rFonts w:ascii="Times New Roman;sans-serif" w:hAnsi="Times New Roman;sans-serif"/>
          <w:b w:val="false"/>
          <w:color w:val="000000"/>
          <w:sz w:val="20"/>
        </w:rPr>
        <w:t>we analyze our operating results through the following segments: (i) Manufactured home ("MH") communities, (ii) Recreational vehicle ("RV") communities and (iii) Marina. We evaluate segment operating performance based on NOI.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MH segment owns, operates, develops, or has an interest in, a portfolio of MH communities in the U.S. and the UK, and is in the business of acquiring, operating and developing ground-up MH communities to provide affordable housing solutions to residents. The MH segment in the U.S. also provides manufactured home sales and leasing services to tenants and prospective tenants of our communities. The MH segment in the UK provides holiday home sales and associated site license activities to holiday homeowners in our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Marina segment owns, operates and develops marinas, and is in the business of acquiring and operating marinas in the U.S., with the majority of such marinas concentrated in coastal regions, and others located in various inland regions.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presentation of segment financial information is summarized as follows (in millions):</w:t>
      </w:r>
    </w:p>
    <w:p>
      <w:pPr>
        <w:pStyle w:val="TextBody"/>
        <w:bidi w:val="0"/>
        <w:spacing w:before="0" w:after="0"/>
        <w:jc w:val="both"/>
        <w:rPr/>
      </w:pPr>
      <w:r>
        <w:rPr/>
      </w:r>
    </w:p>
    <w:tbl>
      <w:tblPr>
        <w:tblW w:w="10863" w:type="dxa"/>
        <w:jc w:val="left"/>
        <w:tblInd w:w="0" w:type="dxa"/>
        <w:tblLayout w:type="fixed"/>
        <w:tblCellMar>
          <w:top w:w="28" w:type="dxa"/>
          <w:left w:w="28" w:type="dxa"/>
          <w:bottom w:w="28" w:type="dxa"/>
          <w:right w:w="28" w:type="dxa"/>
        </w:tblCellMar>
      </w:tblPr>
      <w:tblGrid>
        <w:gridCol w:w="74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839.7 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expenses / 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arrive at 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dispositions of properties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notes receivable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remeasurement of investment in nonconsolidated affiliates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attributable to noncontrolling interests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863" w:type="dxa"/>
        <w:jc w:val="left"/>
        <w:tblInd w:w="0" w:type="dxa"/>
        <w:tblLayout w:type="fixed"/>
        <w:tblCellMar>
          <w:top w:w="28" w:type="dxa"/>
          <w:left w:w="28" w:type="dxa"/>
          <w:bottom w:w="28" w:type="dxa"/>
          <w:right w:w="28" w:type="dxa"/>
        </w:tblCellMar>
      </w:tblPr>
      <w:tblGrid>
        <w:gridCol w:w="744"/>
        <w:gridCol w:w="258"/>
        <w:gridCol w:w="25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1,332.1 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expenses / 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695.5 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Operating Income /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arrive at 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 net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remeasurement of marketable securities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expense, net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Preferred return to preferred OP units / equity interests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Income / (loss) attributable to noncontrolling interests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563" w:type="dxa"/>
        <w:jc w:val="left"/>
        <w:tblInd w:w="0" w:type="dxa"/>
        <w:tblLayout w:type="fixed"/>
        <w:tblCellMar>
          <w:top w:w="28" w:type="dxa"/>
          <w:left w:w="28" w:type="dxa"/>
          <w:bottom w:w="28" w:type="dxa"/>
          <w:right w:w="28" w:type="dxa"/>
        </w:tblCellMar>
      </w:tblPr>
      <w:tblGrid>
        <w:gridCol w:w="477"/>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Consolidated</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Inventory of manufactured homes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and other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9,105.7 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17,084.2 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 to its shareholders and meet other tests.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Puerto Rico and the UK due to certain properties located in those jurisdictions.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 As currently structured, we are not subject to UK withholding taxes on distributions from our UK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depreciation and basis differences between tax and GAAP. Our deferred tax assets that have a full valuation allowance relate to our taxable REIT subsidiaries. As of June 30, 2023, we had $225.6 million of net deferred tax liabilities, comprised of deferred tax assets, net of valuation allowance of $45.9 million, and deferred tax liabilities of $271.5 million. Additionally, we have $60.4 million of deferred tax liabilities that have been reclassified as real estate held for sale. Refer to Note 3, "Real Estate Acquisitions and Dispositions," for additional information. The deferred tax liability balance is comprised primarily of basis differences in our foreign investment in properties in the UK and Canada. As of December 31, 2022, we had $308.6 million of net deferred tax liabilities, comprised of deferred tax assets, net of valuation allowance of $32.2 million, and deferred tax liabilities of $340.8 million. The net deferred tax assets and deferred tax liabilities are recorded within Other assets and Other liabilities, respectively, on our Consolidated Balance Sheets as of June 30, 2023 and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no unrecognized tax benefits as of June 30, 2023 and 2022. We do not expect significant changes in tax positions that would result in unrecognized tax benefits within one year of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For the three and six months ended June 30, 2023,</w:t>
      </w:r>
      <w:r>
        <w:rPr>
          <w:color w:val="000000"/>
        </w:rPr>
        <w:t xml:space="preserve"> </w:t>
      </w:r>
      <w:r>
        <w:rPr>
          <w:rFonts w:ascii="Times New Roman;sans-serif" w:hAnsi="Times New Roman;sans-serif"/>
          <w:b w:val="false"/>
          <w:color w:val="000000"/>
          <w:sz w:val="20"/>
        </w:rPr>
        <w:t>we recorded current tax expense for federal, state, Canadian, Puerto Rican, and UK income taxes and Australian withholding taxes totaling $5.4 million and $9.3 million, respectively. For the three and six months ended June 30, 2022, we recorded current tax expense for federal, state, Canadian, Puerto Rican, and UK income taxes and Australian withholding taxes totaling $3.9 million and $5.2 million,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For the three and six months ended June 30, 2023, we recorded a deferred tax benefit of $7.7 million and $12.3 million, respectively. </w:t>
      </w:r>
      <w:r>
        <w:rPr>
          <w:rFonts w:ascii="Times New Roman;sans-serif" w:hAnsi="Times New Roman;sans-serif"/>
          <w:b w:val="false"/>
          <w:color w:val="000000"/>
          <w:sz w:val="20"/>
          <w:shd w:fill="FFFFFF" w:val="clear"/>
        </w:rPr>
        <w:t>For the three and six months ended June 30, 2022, we recorded a deferred tax be</w:t>
      </w:r>
      <w:r>
        <w:rPr>
          <w:rFonts w:ascii="Times New Roman;sans-serif" w:hAnsi="Times New Roman;sans-serif"/>
          <w:b w:val="false"/>
          <w:color w:val="000000"/>
          <w:sz w:val="20"/>
        </w:rPr>
        <w:t>nefit of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Earnings per share ("EPS") is computed by dividing net income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forward equity sales agreements, which are discussed in Note 9, "Equity and Temporary Equity." We considered the potential dilution resulting from the forward equity sales agreements on the EPS calculations. At inception, the agreements do not have an effect on the computation of basic EPS as no shares are delivered unless there is a physical settlement. Common shares issued upon the physical settlement of the forward equity sales agreements, weighted for the period these common shares are outstanding, are included in the denominator of basic EPS. To determine the dilution resulting from the forward equity sales agreements during the period of time prior to settlement, we calculate the number of weighted-average shares outstanding - diluted in accordance with the treasury stock method.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J preferred OP units, Series K preferred OP units and Aspen preferred OP Units, which, if converted or exercised, may impact dilution.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Computations of basic and diluted EPS were as follows (in millions, except for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03"/>
        <w:gridCol w:w="1587"/>
        <w:gridCol w:w="1601"/>
        <w:gridCol w:w="109"/>
        <w:gridCol w:w="109"/>
        <w:gridCol w:w="109"/>
        <w:gridCol w:w="245"/>
        <w:gridCol w:w="583"/>
        <w:gridCol w:w="136"/>
        <w:gridCol w:w="109"/>
        <w:gridCol w:w="109"/>
        <w:gridCol w:w="109"/>
        <w:gridCol w:w="245"/>
        <w:gridCol w:w="583"/>
        <w:gridCol w:w="136"/>
        <w:gridCol w:w="109"/>
        <w:gridCol w:w="109"/>
        <w:gridCol w:w="109"/>
        <w:gridCol w:w="245"/>
        <w:gridCol w:w="583"/>
        <w:gridCol w:w="136"/>
        <w:gridCol w:w="109"/>
        <w:gridCol w:w="109"/>
        <w:gridCol w:w="109"/>
        <w:gridCol w:w="242"/>
        <w:gridCol w:w="576"/>
        <w:gridCol w:w="196"/>
      </w:tblGrid>
      <w:tr>
        <w:trPr/>
        <w:tc>
          <w:tcPr>
            <w:tcW w:w="180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 net income attributable to common shareholders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4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allocation to common and preferred OP units dilutive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earnings - net income attributable to common shareholders after allocation to common and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07" w:type="dxa"/>
        <w:jc w:val="left"/>
        <w:tblInd w:w="0" w:type="dxa"/>
        <w:tblLayout w:type="fixed"/>
        <w:tblCellMar>
          <w:top w:w="28" w:type="dxa"/>
          <w:left w:w="28" w:type="dxa"/>
          <w:bottom w:w="28" w:type="dxa"/>
          <w:right w:w="28" w:type="dxa"/>
        </w:tblCellMar>
      </w:tblPr>
      <w:tblGrid>
        <w:gridCol w:w="1726"/>
        <w:gridCol w:w="1518"/>
        <w:gridCol w:w="1526"/>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common shares dilutive effect from Forward Equity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dilutive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weighted average common shares and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EPS Available to Common Shareholders After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For the three and six months ended June 30, 2023 and 2022, diluted earnings per share was calculated using the two-class method as the application of this method resulted in more diluted earnings per share during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excluded certain convertible securities from the computation of diluted EPS because the inclusion of those securities would have been anti-dilutive for the periods presented. The following table presents the outstanding securities that were excluded from the computations of diluted EPS as of June 30, 2023 and 2022 (in thousands):</w:t>
      </w:r>
    </w:p>
    <w:p>
      <w:pPr>
        <w:pStyle w:val="TextBody"/>
        <w:bidi w:val="0"/>
        <w:spacing w:before="0" w:after="0"/>
        <w:jc w:val="both"/>
        <w:rPr/>
      </w:pPr>
      <w:r>
        <w:rPr/>
      </w:r>
    </w:p>
    <w:tbl>
      <w:tblPr>
        <w:tblW w:w="5344" w:type="dxa"/>
        <w:jc w:val="left"/>
        <w:tblInd w:w="0" w:type="dxa"/>
        <w:tblLayout w:type="fixed"/>
        <w:tblCellMar>
          <w:top w:w="28" w:type="dxa"/>
          <w:left w:w="28" w:type="dxa"/>
          <w:bottom w:w="28" w:type="dxa"/>
          <w:right w:w="28" w:type="dxa"/>
        </w:tblCellMar>
      </w:tblPr>
      <w:tblGrid>
        <w:gridCol w:w="749"/>
        <w:gridCol w:w="659"/>
        <w:gridCol w:w="662"/>
        <w:gridCol w:w="109"/>
        <w:gridCol w:w="109"/>
        <w:gridCol w:w="109"/>
        <w:gridCol w:w="374"/>
        <w:gridCol w:w="374"/>
        <w:gridCol w:w="376"/>
        <w:gridCol w:w="109"/>
        <w:gridCol w:w="109"/>
        <w:gridCol w:w="109"/>
        <w:gridCol w:w="374"/>
        <w:gridCol w:w="374"/>
        <w:gridCol w:w="376"/>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2,565 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D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Series I preferred OP units</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K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6,689 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7,115 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All of our outstanding Series I preferred OP units converted during the year ended December 31, 2022.</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For the three months ended June 30, 2022, Common OP units were excluded from the computation of diluted earnings per share because the inclusion of those securities would have been anti-dilutive for the period. For the six months ended June 30, 2022, Common OP units were included in the computation of diluted earnings per share because they were dilutive for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14.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typically enter into treasury locks and interest rate swaps to accomplish this objective. We do not enter into derivative instruments for speculative purposes. We recognize derivative instruments at fair value on a recurring basis on the Consolidated Balance Sheets and classify the derivatives within Level 2 of the fair value hierarchy. We adjust our Consolidated Balance Sheets on a quarterly basis to reflect the current fair market value of the derivative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 of June 30, 2023, we held four interest rate swap contracts, which have each been designated as cash flow hedges under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The risk being hedged is the interest rate risk related to forecasted debt issuance transactions and the benchmark interest rate used is the SOFR. Additionally, the interest rate risk related to outstanding floating rate debt is being hedged and the benchmark interest rate used is the SONIA Rate. The unrealized gains or losses on the derivative instruments are recorded in AOCI and are reclassified to Interest expense on the Consolidated Statements of Operations during the same period in which the hedged transaction affects earnings. We estimate that $22.3 million will be reclassified as a reduction to Interest expense over the next 12 months for all of our outstanding cash flow hedges. Cash flow from these derivative instruments is classified in the same category as the cash flow items being hedged on the Consolidated Statements of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entered into one interest rate swap contract to hedge variable rate borrowings of £100.0 million (equivalent to $126.6 million as of June 30, 2023). The interest rate swap locked in a total fixed rate, inclusive of spread, of 4.808% through the maturity date of April 7, 2025. We also entered into one forward starting interest rate swap contract with an aggregate notional value of $50.0 million to hedge interest rate risk associated with a potential future debt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in connection with the 2033 Notes issuance, we settled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fair value amounts of our derivative financial instruments and the associated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3"/>
        <w:gridCol w:w="874"/>
        <w:gridCol w:w="880"/>
        <w:gridCol w:w="109"/>
        <w:gridCol w:w="109"/>
        <w:gridCol w:w="109"/>
        <w:gridCol w:w="196"/>
        <w:gridCol w:w="556"/>
        <w:gridCol w:w="109"/>
        <w:gridCol w:w="109"/>
        <w:gridCol w:w="109"/>
        <w:gridCol w:w="109"/>
        <w:gridCol w:w="228"/>
        <w:gridCol w:w="542"/>
        <w:gridCol w:w="126"/>
        <w:gridCol w:w="109"/>
        <w:gridCol w:w="109"/>
        <w:gridCol w:w="109"/>
        <w:gridCol w:w="265"/>
        <w:gridCol w:w="551"/>
        <w:gridCol w:w="149"/>
        <w:gridCol w:w="109"/>
        <w:gridCol w:w="109"/>
        <w:gridCol w:w="109"/>
        <w:gridCol w:w="196"/>
        <w:gridCol w:w="556"/>
        <w:gridCol w:w="109"/>
        <w:gridCol w:w="109"/>
        <w:gridCol w:w="109"/>
        <w:gridCol w:w="109"/>
        <w:gridCol w:w="228"/>
        <w:gridCol w:w="542"/>
        <w:gridCol w:w="126"/>
        <w:gridCol w:w="109"/>
        <w:gridCol w:w="109"/>
        <w:gridCol w:w="109"/>
        <w:gridCol w:w="261"/>
        <w:gridCol w:w="542"/>
        <w:gridCol w:w="21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val="false"/>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of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pPr>
            <w:r>
              <w:rPr>
                <w:rFonts w:ascii="Times New Roman;sans-serif" w:hAnsi="Times New Roman;sans-serif"/>
                <w:b/>
                <w:color w:val="000000"/>
                <w:sz w:val="17"/>
              </w:rPr>
              <w:t>of Assets</w:t>
            </w:r>
            <w:r>
              <w:rPr>
                <w:rFonts w:ascii="Times New Roman;sans-serif" w:hAnsi="Times New Roman;sans-serif"/>
                <w:b w:val="false"/>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 xml:space="preserve">Fair Value </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of Liabilities</w:t>
            </w:r>
          </w:p>
        </w:tc>
      </w:tr>
      <w:tr>
        <w:trPr/>
        <w:tc>
          <w:tcPr>
            <w:tcW w:w="2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Included within Other Assets, net on the Consolidated Balance Sheets.</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15, "Fair Value of Financial Instruments," for additional information related to the fair value methodology used for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gains on derivatives in cash flow hedging relationships recognized in Other Comprehensive Income (in millions):</w:t>
      </w:r>
    </w:p>
    <w:p>
      <w:pPr>
        <w:pStyle w:val="TextBody"/>
        <w:bidi w:val="0"/>
        <w:spacing w:before="0" w:after="0"/>
        <w:jc w:val="both"/>
        <w:rPr/>
      </w:pPr>
      <w:r>
        <w:rPr/>
      </w:r>
    </w:p>
    <w:tbl>
      <w:tblPr>
        <w:tblW w:w="9046" w:type="dxa"/>
        <w:jc w:val="left"/>
        <w:tblInd w:w="0" w:type="dxa"/>
        <w:tblLayout w:type="fixed"/>
        <w:tblCellMar>
          <w:top w:w="28" w:type="dxa"/>
          <w:left w:w="28" w:type="dxa"/>
          <w:bottom w:w="28" w:type="dxa"/>
          <w:right w:w="28" w:type="dxa"/>
        </w:tblCellMar>
      </w:tblPr>
      <w:tblGrid>
        <w:gridCol w:w="1155"/>
        <w:gridCol w:w="1016"/>
        <w:gridCol w:w="1023"/>
        <w:gridCol w:w="109"/>
        <w:gridCol w:w="109"/>
        <w:gridCol w:w="109"/>
        <w:gridCol w:w="286"/>
        <w:gridCol w:w="680"/>
        <w:gridCol w:w="159"/>
        <w:gridCol w:w="109"/>
        <w:gridCol w:w="109"/>
        <w:gridCol w:w="109"/>
        <w:gridCol w:w="324"/>
        <w:gridCol w:w="621"/>
        <w:gridCol w:w="180"/>
        <w:gridCol w:w="109"/>
        <w:gridCol w:w="109"/>
        <w:gridCol w:w="109"/>
        <w:gridCol w:w="286"/>
        <w:gridCol w:w="680"/>
        <w:gridCol w:w="159"/>
        <w:gridCol w:w="109"/>
        <w:gridCol w:w="109"/>
        <w:gridCol w:w="109"/>
        <w:gridCol w:w="281"/>
        <w:gridCol w:w="668"/>
        <w:gridCol w:w="220"/>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amount of gains on derivative instruments reclassified from AOCI into earnings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97"/>
        <w:gridCol w:w="789"/>
        <w:gridCol w:w="795"/>
        <w:gridCol w:w="109"/>
        <w:gridCol w:w="109"/>
        <w:gridCol w:w="109"/>
        <w:gridCol w:w="701"/>
        <w:gridCol w:w="701"/>
        <w:gridCol w:w="702"/>
        <w:gridCol w:w="109"/>
        <w:gridCol w:w="109"/>
        <w:gridCol w:w="109"/>
        <w:gridCol w:w="283"/>
        <w:gridCol w:w="543"/>
        <w:gridCol w:w="157"/>
        <w:gridCol w:w="109"/>
        <w:gridCol w:w="109"/>
        <w:gridCol w:w="109"/>
        <w:gridCol w:w="283"/>
        <w:gridCol w:w="543"/>
        <w:gridCol w:w="157"/>
        <w:gridCol w:w="109"/>
        <w:gridCol w:w="109"/>
        <w:gridCol w:w="109"/>
        <w:gridCol w:w="283"/>
        <w:gridCol w:w="543"/>
        <w:gridCol w:w="157"/>
        <w:gridCol w:w="109"/>
        <w:gridCol w:w="109"/>
        <w:gridCol w:w="109"/>
        <w:gridCol w:w="278"/>
        <w:gridCol w:w="533"/>
        <w:gridCol w:w="225"/>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2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15. Fair Value of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financial instruments consist primarily of cash, cash equivalents and restricted cash, marketable securities, notes and other receivables, derivatives assets, debt, warrants and other liabilities. We utilize fair value measurements to record fair value adjustments to certain assets and liabilities and to determine fair value disclosures, pursuant to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 Quoted unadjusted prices for identical instruments in active markets that we have the ability to access;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by Hierarchy Level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financial assets and liabilities (in millions) that required disclosure of fair value on a recurring basis as of June 30, 2023. The table presents the carrying values and fair values of our financial instruments as of June 30, 2023 and December 31, 2022,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2"/>
        <w:gridCol w:w="504"/>
        <w:gridCol w:w="508"/>
        <w:gridCol w:w="109"/>
        <w:gridCol w:w="109"/>
        <w:gridCol w:w="109"/>
        <w:gridCol w:w="207"/>
        <w:gridCol w:w="731"/>
        <w:gridCol w:w="115"/>
        <w:gridCol w:w="109"/>
        <w:gridCol w:w="109"/>
        <w:gridCol w:w="109"/>
        <w:gridCol w:w="417"/>
        <w:gridCol w:w="1185"/>
        <w:gridCol w:w="232"/>
        <w:gridCol w:w="109"/>
        <w:gridCol w:w="109"/>
        <w:gridCol w:w="109"/>
        <w:gridCol w:w="278"/>
        <w:gridCol w:w="981"/>
        <w:gridCol w:w="154"/>
        <w:gridCol w:w="109"/>
        <w:gridCol w:w="109"/>
        <w:gridCol w:w="109"/>
        <w:gridCol w:w="322"/>
        <w:gridCol w:w="914"/>
        <w:gridCol w:w="181"/>
        <w:gridCol w:w="109"/>
        <w:gridCol w:w="109"/>
        <w:gridCol w:w="109"/>
        <w:gridCol w:w="196"/>
        <w:gridCol w:w="691"/>
        <w:gridCol w:w="162"/>
      </w:tblGrid>
      <w:tr>
        <w:trPr/>
        <w:tc>
          <w:tcPr>
            <w:tcW w:w="79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7021" w:type="dxa"/>
            <w:gridSpan w:val="24"/>
            <w:tcBorders/>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521.8 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733.5 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3,944.7 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7,634.2 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7,614.0 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6,903.7 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2"/>
        <w:gridCol w:w="504"/>
        <w:gridCol w:w="508"/>
        <w:gridCol w:w="109"/>
        <w:gridCol w:w="109"/>
        <w:gridCol w:w="109"/>
        <w:gridCol w:w="207"/>
        <w:gridCol w:w="731"/>
        <w:gridCol w:w="115"/>
        <w:gridCol w:w="109"/>
        <w:gridCol w:w="109"/>
        <w:gridCol w:w="109"/>
        <w:gridCol w:w="417"/>
        <w:gridCol w:w="1185"/>
        <w:gridCol w:w="232"/>
        <w:gridCol w:w="109"/>
        <w:gridCol w:w="109"/>
        <w:gridCol w:w="109"/>
        <w:gridCol w:w="278"/>
        <w:gridCol w:w="981"/>
        <w:gridCol w:w="154"/>
        <w:gridCol w:w="109"/>
        <w:gridCol w:w="109"/>
        <w:gridCol w:w="109"/>
        <w:gridCol w:w="322"/>
        <w:gridCol w:w="914"/>
        <w:gridCol w:w="181"/>
        <w:gridCol w:w="109"/>
        <w:gridCol w:w="109"/>
        <w:gridCol w:w="109"/>
        <w:gridCol w:w="196"/>
        <w:gridCol w:w="691"/>
        <w:gridCol w:w="162"/>
      </w:tblGrid>
      <w:tr>
        <w:trPr/>
        <w:tc>
          <w:tcPr>
            <w:tcW w:w="79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7021" w:type="dxa"/>
            <w:gridSpan w:val="24"/>
            <w:tcBorders/>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Quoted Prices in Active Markets for Identical Assets and Liabilities </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Significant Unobservable Inputs </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Fair Value</w:t>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Installment notes receivable on manufactured homes,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real estate developers and operators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620.8 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2,814.1 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Line of credit and other unsecured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3,632.5 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financial liabilities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7,217.4 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6,466.8 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Cash Equivalents and Restricted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and restricted cash approximate their fair market values due to the short-term nature of the instruments. These are classified as Level 1 in the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marketable securities is measured by the quoted unadjusted share price which is readily available in active markets (Level 1). The change in the marketable securities balance was as follows (in millions):</w:t>
      </w:r>
    </w:p>
    <w:p>
      <w:pPr>
        <w:pStyle w:val="TextBody"/>
        <w:bidi w:val="0"/>
        <w:spacing w:before="0" w:after="0"/>
        <w:jc w:val="both"/>
        <w:rPr/>
      </w:pPr>
      <w:r>
        <w:rPr/>
      </w:r>
    </w:p>
    <w:tbl>
      <w:tblPr>
        <w:tblW w:w="6488" w:type="dxa"/>
        <w:jc w:val="left"/>
        <w:tblInd w:w="0" w:type="dxa"/>
        <w:tblLayout w:type="fixed"/>
        <w:tblCellMar>
          <w:top w:w="28" w:type="dxa"/>
          <w:left w:w="28" w:type="dxa"/>
          <w:bottom w:w="28" w:type="dxa"/>
          <w:right w:w="28" w:type="dxa"/>
        </w:tblCellMar>
      </w:tblPr>
      <w:tblGrid>
        <w:gridCol w:w="1043"/>
        <w:gridCol w:w="917"/>
        <w:gridCol w:w="919"/>
        <w:gridCol w:w="109"/>
        <w:gridCol w:w="109"/>
        <w:gridCol w:w="109"/>
        <w:gridCol w:w="321"/>
        <w:gridCol w:w="911"/>
        <w:gridCol w:w="178"/>
        <w:gridCol w:w="109"/>
        <w:gridCol w:w="109"/>
        <w:gridCol w:w="109"/>
        <w:gridCol w:w="334"/>
        <w:gridCol w:w="950"/>
        <w:gridCol w:w="261"/>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 Ended</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fair value 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reinvestment,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real estate related collateral and / or personal guarantees. Refer to Note 4,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Assets - Interest Rate Derivatives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are recorded at fair value and consist of treasury rate lock contracts, interest rate swaps and forward swaps. The fair value of these financial instruments are measured using observable inputs based on the 10-year Treasury note rate, the SOFR and SONIA Rates, respectively (Level 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(Level 2). The estimated fair value of our indebtedness as of June 30, 2023 approximated its gross carrying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Financial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2023, we reached an agreement to sell an operating MH community located in Maine with 155 developed sites. We determined the fair value of the community held for sale under the market approach based on the observable market price for the proposed transaction (Level 2). Refer to Note 3, "Real Estate Acquisitions and Dispositions," for additional information on the fair value of this asset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Level 3 Reconciliation, Measurements and Transfers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six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changes to our financial instruments carried at fair value and classified within Level 3 of the fair value hierarchy for the three and six months ended June 30, 2023 and 2022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1"/>
        <w:gridCol w:w="376"/>
        <w:gridCol w:w="382"/>
        <w:gridCol w:w="109"/>
        <w:gridCol w:w="109"/>
        <w:gridCol w:w="109"/>
        <w:gridCol w:w="293"/>
        <w:gridCol w:w="700"/>
        <w:gridCol w:w="165"/>
        <w:gridCol w:w="109"/>
        <w:gridCol w:w="109"/>
        <w:gridCol w:w="109"/>
        <w:gridCol w:w="301"/>
        <w:gridCol w:w="853"/>
        <w:gridCol w:w="168"/>
        <w:gridCol w:w="109"/>
        <w:gridCol w:w="109"/>
        <w:gridCol w:w="109"/>
        <w:gridCol w:w="223"/>
        <w:gridCol w:w="463"/>
        <w:gridCol w:w="125"/>
        <w:gridCol w:w="109"/>
        <w:gridCol w:w="109"/>
        <w:gridCol w:w="109"/>
        <w:gridCol w:w="293"/>
        <w:gridCol w:w="700"/>
        <w:gridCol w:w="165"/>
        <w:gridCol w:w="109"/>
        <w:gridCol w:w="109"/>
        <w:gridCol w:w="109"/>
        <w:gridCol w:w="301"/>
        <w:gridCol w:w="853"/>
        <w:gridCol w:w="168"/>
        <w:gridCol w:w="109"/>
        <w:gridCol w:w="109"/>
        <w:gridCol w:w="109"/>
        <w:gridCol w:w="223"/>
        <w:gridCol w:w="463"/>
        <w:gridCol w:w="125"/>
        <w:gridCol w:w="109"/>
        <w:gridCol w:w="109"/>
        <w:gridCol w:w="164"/>
      </w:tblGrid>
      <w:tr>
        <w:trPr/>
        <w:tc>
          <w:tcPr>
            <w:tcW w:w="5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March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(2)</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gains /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June 30,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73.1 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Realized losses recorded within Gain / (loss) on remeasurement of notes receivable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Realized losses recorded within Income / (loss) from nonconsolidated affiliates within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4"/>
        <w:gridCol w:w="382"/>
        <w:gridCol w:w="388"/>
        <w:gridCol w:w="109"/>
        <w:gridCol w:w="109"/>
        <w:gridCol w:w="109"/>
        <w:gridCol w:w="291"/>
        <w:gridCol w:w="695"/>
        <w:gridCol w:w="164"/>
        <w:gridCol w:w="109"/>
        <w:gridCol w:w="109"/>
        <w:gridCol w:w="109"/>
        <w:gridCol w:w="297"/>
        <w:gridCol w:w="844"/>
        <w:gridCol w:w="167"/>
        <w:gridCol w:w="109"/>
        <w:gridCol w:w="109"/>
        <w:gridCol w:w="109"/>
        <w:gridCol w:w="223"/>
        <w:gridCol w:w="463"/>
        <w:gridCol w:w="125"/>
        <w:gridCol w:w="109"/>
        <w:gridCol w:w="109"/>
        <w:gridCol w:w="109"/>
        <w:gridCol w:w="291"/>
        <w:gridCol w:w="695"/>
        <w:gridCol w:w="164"/>
        <w:gridCol w:w="109"/>
        <w:gridCol w:w="109"/>
        <w:gridCol w:w="109"/>
        <w:gridCol w:w="297"/>
        <w:gridCol w:w="844"/>
        <w:gridCol w:w="167"/>
        <w:gridCol w:w="109"/>
        <w:gridCol w:w="109"/>
        <w:gridCol w:w="109"/>
        <w:gridCol w:w="223"/>
        <w:gridCol w:w="463"/>
        <w:gridCol w:w="125"/>
        <w:gridCol w:w="109"/>
        <w:gridCol w:w="109"/>
        <w:gridCol w:w="163"/>
      </w:tblGrid>
      <w:tr>
        <w:trPr/>
        <w:tc>
          <w:tcPr>
            <w:tcW w:w="55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Warrants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at December 31, 2022 and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(2)</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exchange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ending balance at June 30,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Realized gain / (losses) recorded within Gain / (loss) on remeasurement of notes receivable on the Consolidated Statements of Operations.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Realized losses recorded within Income / (loss) from nonconsolidated affiliates within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67"/>
        <w:gridCol w:w="939"/>
        <w:gridCol w:w="942"/>
        <w:gridCol w:w="109"/>
        <w:gridCol w:w="109"/>
        <w:gridCol w:w="109"/>
        <w:gridCol w:w="374"/>
        <w:gridCol w:w="891"/>
        <w:gridCol w:w="209"/>
        <w:gridCol w:w="109"/>
        <w:gridCol w:w="109"/>
        <w:gridCol w:w="109"/>
        <w:gridCol w:w="374"/>
        <w:gridCol w:w="891"/>
        <w:gridCol w:w="209"/>
        <w:gridCol w:w="109"/>
        <w:gridCol w:w="109"/>
        <w:gridCol w:w="109"/>
        <w:gridCol w:w="374"/>
        <w:gridCol w:w="891"/>
        <w:gridCol w:w="209"/>
        <w:gridCol w:w="109"/>
        <w:gridCol w:w="109"/>
        <w:gridCol w:w="109"/>
        <w:gridCol w:w="364"/>
        <w:gridCol w:w="867"/>
        <w:gridCol w:w="296"/>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2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Contingent Consideration</w:t>
            </w:r>
          </w:p>
        </w:tc>
      </w:tr>
      <w:tr>
        <w:trPr/>
        <w:tc>
          <w:tcPr>
            <w:tcW w:w="2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Level 3 beginning balance March 31, 2023 and 2022, December 31, 2022 and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Level 3 ending balance at June 30, 2023 and 2022</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There was no activity related to the Contingent consideration liability during the three and six months ended June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June 30, 2023. As such, our estimates of fair value could differ significantly from the actual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arising in the ordinary course of business. All such proceedings, taken together, are not expected to have a material adverse impact on our results of operations or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Catastrophic Event-Related Charges - Hurricane Ian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Hurricane Ian made landfall on Florida's western coast.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property, casualty, flood and business interruption insurance for our community portfolio, subject to customary deductibles and limits. The table below sets forth estimated insurance recoveries (in millions):</w:t>
      </w:r>
    </w:p>
    <w:p>
      <w:pPr>
        <w:pStyle w:val="TextBody"/>
        <w:bidi w:val="0"/>
        <w:spacing w:before="0" w:after="0"/>
        <w:jc w:val="both"/>
        <w:rPr/>
      </w:pPr>
      <w:r>
        <w:rPr/>
      </w:r>
    </w:p>
    <w:tbl>
      <w:tblPr>
        <w:tblW w:w="5936" w:type="dxa"/>
        <w:jc w:val="left"/>
        <w:tblInd w:w="0" w:type="dxa"/>
        <w:tblLayout w:type="fixed"/>
        <w:tblCellMar>
          <w:top w:w="28" w:type="dxa"/>
          <w:left w:w="28" w:type="dxa"/>
          <w:bottom w:w="28" w:type="dxa"/>
          <w:right w:w="28" w:type="dxa"/>
        </w:tblCellMar>
      </w:tblPr>
      <w:tblGrid>
        <w:gridCol w:w="1504"/>
        <w:gridCol w:w="1321"/>
        <w:gridCol w:w="1330"/>
        <w:gridCol w:w="109"/>
        <w:gridCol w:w="109"/>
        <w:gridCol w:w="109"/>
        <w:gridCol w:w="349"/>
        <w:gridCol w:w="831"/>
        <w:gridCol w:w="274"/>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br/>
              <w:t>June 30, 2023</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Change in estimated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Advances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estimated insurance receivable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58.3 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estimated insurance recoveries related to Hurricane Ian during the six months ended June 30, 2023 were primarily the result of $34.8 million incremental costs that exceeded the applicable deductible, net of a $4.8 million reduction due to decrease in estimated property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insurance recoveries for lost earnings and redevelopment costs greater than asset impairment charges for the three Fort Myers, Florida properties were not included in our Consolidated Statements of Operations for the six months ended June 30, 2023. We are actively working with our insurer on the related claims. The three Fort Myers, Florida RV communities will require redevelopment, followed by a tenant lease-up period. As such, we currently cannot estimate a date when operating results will be restored to pre-hurricane levels. Our business interruption insurance policy provides for up to 60 months of coverage from the date of restoration.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17. Leases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land under non-cancelable operating leases at certain MH, RV and Marina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June 30, 2023 where we are the lessee include (in millions):</w:t>
      </w:r>
    </w:p>
    <w:p>
      <w:pPr>
        <w:pStyle w:val="TextBody"/>
        <w:bidi w:val="0"/>
        <w:spacing w:before="0" w:after="0"/>
        <w:jc w:val="both"/>
        <w:rPr/>
      </w:pPr>
      <w:r>
        <w:rPr/>
      </w:r>
    </w:p>
    <w:tbl>
      <w:tblPr>
        <w:tblW w:w="8064" w:type="dxa"/>
        <w:jc w:val="left"/>
        <w:tblInd w:w="0" w:type="dxa"/>
        <w:tblLayout w:type="fixed"/>
        <w:tblCellMar>
          <w:top w:w="28" w:type="dxa"/>
          <w:left w:w="28" w:type="dxa"/>
          <w:bottom w:w="28" w:type="dxa"/>
          <w:right w:w="28" w:type="dxa"/>
        </w:tblCellMar>
      </w:tblPr>
      <w:tblGrid>
        <w:gridCol w:w="1314"/>
        <w:gridCol w:w="1155"/>
        <w:gridCol w:w="1160"/>
        <w:gridCol w:w="109"/>
        <w:gridCol w:w="109"/>
        <w:gridCol w:w="109"/>
        <w:gridCol w:w="310"/>
        <w:gridCol w:w="882"/>
        <w:gridCol w:w="172"/>
        <w:gridCol w:w="109"/>
        <w:gridCol w:w="109"/>
        <w:gridCol w:w="109"/>
        <w:gridCol w:w="301"/>
        <w:gridCol w:w="716"/>
        <w:gridCol w:w="167"/>
        <w:gridCol w:w="109"/>
        <w:gridCol w:w="109"/>
        <w:gridCol w:w="109"/>
        <w:gridCol w:w="196"/>
        <w:gridCol w:w="55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("ROU") assets and lease liabilities for finance and operating leases as included in our Consolidated Balance Sheets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36"/>
        <w:gridCol w:w="1266"/>
        <w:gridCol w:w="1271"/>
        <w:gridCol w:w="109"/>
        <w:gridCol w:w="109"/>
        <w:gridCol w:w="109"/>
        <w:gridCol w:w="768"/>
        <w:gridCol w:w="768"/>
        <w:gridCol w:w="770"/>
        <w:gridCol w:w="109"/>
        <w:gridCol w:w="109"/>
        <w:gridCol w:w="109"/>
        <w:gridCol w:w="245"/>
        <w:gridCol w:w="696"/>
        <w:gridCol w:w="136"/>
        <w:gridCol w:w="109"/>
        <w:gridCol w:w="109"/>
        <w:gridCol w:w="109"/>
        <w:gridCol w:w="109"/>
        <w:gridCol w:w="109"/>
        <w:gridCol w:w="109"/>
        <w:gridCol w:w="109"/>
        <w:gridCol w:w="308"/>
        <w:gridCol w:w="876"/>
        <w:gridCol w:w="248"/>
      </w:tblGrid>
      <w:tr>
        <w:trPr/>
        <w:tc>
          <w:tcPr>
            <w:tcW w:w="143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As of </w:t>
            </w:r>
          </w:p>
        </w:tc>
        <w:tc>
          <w:tcPr>
            <w:tcW w:w="1759" w:type="dxa"/>
            <w:gridSpan w:val="6"/>
            <w:tcBorders/>
          </w:tcPr>
          <w:p>
            <w:pPr>
              <w:pStyle w:val="TableContents"/>
              <w:bidi w:val="0"/>
              <w:spacing w:before="0" w:after="283"/>
              <w:jc w:val="left"/>
              <w:rPr>
                <w:sz w:val="4"/>
                <w:szCs w:val="4"/>
              </w:rPr>
            </w:pPr>
            <w:r>
              <w:rPr>
                <w:sz w:val="4"/>
                <w:szCs w:val="4"/>
              </w:rPr>
            </w:r>
          </w:p>
        </w:tc>
      </w:tr>
      <w:tr>
        <w:trPr/>
        <w:tc>
          <w:tcPr>
            <w:tcW w:w="3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3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right-of-use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right-of-use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finance and operating leases as included in our Consolidated Statements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0"/>
        <w:gridCol w:w="482"/>
        <w:gridCol w:w="485"/>
        <w:gridCol w:w="109"/>
        <w:gridCol w:w="109"/>
        <w:gridCol w:w="109"/>
        <w:gridCol w:w="1076"/>
        <w:gridCol w:w="1076"/>
        <w:gridCol w:w="1079"/>
        <w:gridCol w:w="109"/>
        <w:gridCol w:w="109"/>
        <w:gridCol w:w="109"/>
        <w:gridCol w:w="262"/>
        <w:gridCol w:w="503"/>
        <w:gridCol w:w="145"/>
        <w:gridCol w:w="109"/>
        <w:gridCol w:w="109"/>
        <w:gridCol w:w="109"/>
        <w:gridCol w:w="262"/>
        <w:gridCol w:w="503"/>
        <w:gridCol w:w="145"/>
        <w:gridCol w:w="109"/>
        <w:gridCol w:w="109"/>
        <w:gridCol w:w="109"/>
        <w:gridCol w:w="242"/>
        <w:gridCol w:w="577"/>
        <w:gridCol w:w="135"/>
        <w:gridCol w:w="109"/>
        <w:gridCol w:w="109"/>
        <w:gridCol w:w="109"/>
        <w:gridCol w:w="240"/>
        <w:gridCol w:w="571"/>
        <w:gridCol w:w="197"/>
      </w:tblGrid>
      <w:tr>
        <w:trPr/>
        <w:tc>
          <w:tcPr>
            <w:tcW w:w="59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5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term, discount rates and additional information for finance and operating leases are as follows:</w:t>
      </w:r>
    </w:p>
    <w:p>
      <w:pPr>
        <w:pStyle w:val="TextBody"/>
        <w:bidi w:val="0"/>
        <w:spacing w:before="0" w:after="0"/>
        <w:jc w:val="both"/>
        <w:rPr/>
      </w:pPr>
      <w:r>
        <w:rPr/>
      </w:r>
    </w:p>
    <w:tbl>
      <w:tblPr>
        <w:tblW w:w="5110" w:type="dxa"/>
        <w:jc w:val="left"/>
        <w:tblInd w:w="0" w:type="dxa"/>
        <w:tblLayout w:type="fixed"/>
        <w:tblCellMar>
          <w:top w:w="28" w:type="dxa"/>
          <w:left w:w="28" w:type="dxa"/>
          <w:bottom w:w="28" w:type="dxa"/>
          <w:right w:w="28" w:type="dxa"/>
        </w:tblCellMar>
      </w:tblPr>
      <w:tblGrid>
        <w:gridCol w:w="1308"/>
        <w:gridCol w:w="1151"/>
        <w:gridCol w:w="1155"/>
        <w:gridCol w:w="109"/>
        <w:gridCol w:w="109"/>
        <w:gridCol w:w="109"/>
        <w:gridCol w:w="252"/>
        <w:gridCol w:w="252"/>
        <w:gridCol w:w="665"/>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sz w:val="17"/>
              </w:rPr>
            </w:pPr>
            <w:r>
              <w:rPr>
                <w:rFonts w:ascii="Times New Roman;sans-serif" w:hAnsi="Times New Roman;sans-serif"/>
                <w:b w:val="false"/>
                <w:sz w:val="17"/>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35.06</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3.38 </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3.81 </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tbl>
      <w:tblPr>
        <w:tblW w:w="8093" w:type="dxa"/>
        <w:jc w:val="left"/>
        <w:tblInd w:w="0" w:type="dxa"/>
        <w:tblLayout w:type="fixed"/>
        <w:tblCellMar>
          <w:top w:w="28" w:type="dxa"/>
          <w:left w:w="28" w:type="dxa"/>
          <w:bottom w:w="28" w:type="dxa"/>
          <w:right w:w="28" w:type="dxa"/>
        </w:tblCellMar>
      </w:tblPr>
      <w:tblGrid>
        <w:gridCol w:w="1862"/>
        <w:gridCol w:w="1636"/>
        <w:gridCol w:w="1646"/>
        <w:gridCol w:w="109"/>
        <w:gridCol w:w="109"/>
        <w:gridCol w:w="109"/>
        <w:gridCol w:w="324"/>
        <w:gridCol w:w="621"/>
        <w:gridCol w:w="180"/>
        <w:gridCol w:w="109"/>
        <w:gridCol w:w="109"/>
        <w:gridCol w:w="109"/>
        <w:gridCol w:w="316"/>
        <w:gridCol w:w="606"/>
        <w:gridCol w:w="248"/>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cash flow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Financing cash flow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the lessor for any finance leases at our MH, RV or Marina properties as of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operating leases with our residents and customers at our MH and RV properties where we are the lessor are either month-to-month or for a time period not to exceed one year. As of June 30, 2023, future minimum lease payments with our residents or customers would not exceed 12 months.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operating leases with real estate operators on our MH properties. At our RV communities and marinas, future minimum lease payments under non-cancellable leases with real estate operators where we are the lessor include the following as of June 30, 2023 (in millions):</w:t>
      </w:r>
    </w:p>
    <w:p>
      <w:pPr>
        <w:pStyle w:val="TextBody"/>
        <w:bidi w:val="0"/>
        <w:spacing w:before="0" w:after="0"/>
        <w:jc w:val="both"/>
        <w:rPr/>
      </w:pPr>
      <w:r>
        <w:rPr/>
      </w:r>
    </w:p>
    <w:tbl>
      <w:tblPr>
        <w:tblW w:w="5621" w:type="dxa"/>
        <w:jc w:val="left"/>
        <w:tblInd w:w="0" w:type="dxa"/>
        <w:tblLayout w:type="fixed"/>
        <w:tblCellMar>
          <w:top w:w="28" w:type="dxa"/>
          <w:left w:w="28" w:type="dxa"/>
          <w:bottom w:w="28" w:type="dxa"/>
          <w:right w:w="28" w:type="dxa"/>
        </w:tblCellMar>
      </w:tblPr>
      <w:tblGrid>
        <w:gridCol w:w="1406"/>
        <w:gridCol w:w="1238"/>
        <w:gridCol w:w="1241"/>
        <w:gridCol w:w="109"/>
        <w:gridCol w:w="109"/>
        <w:gridCol w:w="109"/>
        <w:gridCol w:w="305"/>
        <w:gridCol w:w="865"/>
        <w:gridCol w:w="239"/>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 xml:space="preserve">Maturity of Lease Payments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Operating Leases</w:t>
            </w:r>
          </w:p>
        </w:tc>
      </w:tr>
      <w:tr>
        <w:trPr/>
        <w:tc>
          <w:tcPr>
            <w:tcW w:w="3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the 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Undiscounted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112.4 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our operating leases, as included in our Consolidated Statement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00"/>
        <w:gridCol w:w="440"/>
        <w:gridCol w:w="443"/>
        <w:gridCol w:w="109"/>
        <w:gridCol w:w="109"/>
        <w:gridCol w:w="109"/>
        <w:gridCol w:w="1123"/>
        <w:gridCol w:w="1123"/>
        <w:gridCol w:w="1126"/>
        <w:gridCol w:w="109"/>
        <w:gridCol w:w="109"/>
        <w:gridCol w:w="109"/>
        <w:gridCol w:w="265"/>
        <w:gridCol w:w="508"/>
        <w:gridCol w:w="147"/>
        <w:gridCol w:w="109"/>
        <w:gridCol w:w="109"/>
        <w:gridCol w:w="109"/>
        <w:gridCol w:w="265"/>
        <w:gridCol w:w="508"/>
        <w:gridCol w:w="147"/>
        <w:gridCol w:w="109"/>
        <w:gridCol w:w="109"/>
        <w:gridCol w:w="109"/>
        <w:gridCol w:w="244"/>
        <w:gridCol w:w="581"/>
        <w:gridCol w:w="136"/>
        <w:gridCol w:w="109"/>
        <w:gridCol w:w="109"/>
        <w:gridCol w:w="109"/>
        <w:gridCol w:w="242"/>
        <w:gridCol w:w="575"/>
        <w:gridCol w:w="197"/>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13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Fixed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Variable lease income</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from real property; Brokerage commissions and other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Consists of rent primarily based on a percentage of acquisition costs and net operating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CONSOLIDATED FINANCIAL STATEMENTS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Failed Sale Leaseback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connection with our acquisition of Park Holidays, we assumed ground lease arrangements for 34 UK properties that we concluded to be failed sale-leaseback transactions under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arrangements have maturities ranging from 2117 through 2197 with an option to repurchase for £1.00 at the end of the term. The obligation related to the underlying ground leases has been recorded as a financial liability in Other Liabilities on the Consolidated Balance Sheets. The financial liability was $356.8 million and $339.7 million as of June 30, 2023 and December 31, 2022, respectively. The following table presents the future minimum rental payments for this financial liability as of June 30, 2023 (in millions):</w:t>
      </w:r>
    </w:p>
    <w:p>
      <w:pPr>
        <w:pStyle w:val="TextBody"/>
        <w:bidi w:val="0"/>
        <w:spacing w:before="0" w:after="0"/>
        <w:jc w:val="both"/>
        <w:rPr/>
      </w:pPr>
      <w:r>
        <w:rPr/>
      </w:r>
    </w:p>
    <w:tbl>
      <w:tblPr>
        <w:tblW w:w="5127" w:type="dxa"/>
        <w:jc w:val="left"/>
        <w:tblInd w:w="0" w:type="dxa"/>
        <w:tblLayout w:type="fixed"/>
        <w:tblCellMar>
          <w:top w:w="28" w:type="dxa"/>
          <w:left w:w="28" w:type="dxa"/>
          <w:bottom w:w="28" w:type="dxa"/>
          <w:right w:w="28" w:type="dxa"/>
        </w:tblCellMar>
      </w:tblPr>
      <w:tblGrid>
        <w:gridCol w:w="1314"/>
        <w:gridCol w:w="1153"/>
        <w:gridCol w:w="1163"/>
        <w:gridCol w:w="109"/>
        <w:gridCol w:w="109"/>
        <w:gridCol w:w="109"/>
        <w:gridCol w:w="220"/>
        <w:gridCol w:w="777"/>
        <w:gridCol w:w="173"/>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Maturity of 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2023 (excluding 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1,763.0 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1,813.9 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Reference Rate Reform (Topic 848) - Facilitation of the Effects of Reference Rate Reform on Financial Reporting</w:t>
      </w:r>
      <w:r>
        <w:rPr>
          <w:rFonts w:ascii="Times New Roman;sans-serif" w:hAnsi="Times New Roman;sans-serif"/>
          <w:b w:val="false"/>
          <w:color w:val="000000"/>
          <w:sz w:val="20"/>
        </w:rPr>
        <w:t>," which provides optional guidance for accounting for contracts, hedging relationships and other transactions affected by the reference rate reform, if certain criteria are met. The provisions of this standard were available for election through December 31, 2022. In December 2022, the FASB issued ASU 2022-06, "</w:t>
      </w:r>
      <w:r>
        <w:rPr>
          <w:rFonts w:ascii="Times New Roman;sans-serif" w:hAnsi="Times New Roman;sans-serif"/>
          <w:b w:val="false"/>
          <w:i/>
          <w:color w:val="000000"/>
          <w:sz w:val="20"/>
        </w:rPr>
        <w:t>Reference Rate Reform (Topic 848) - Deferral of the Sunset Date of Topic 848</w:t>
      </w:r>
      <w:r>
        <w:rPr>
          <w:rFonts w:ascii="Times New Roman;sans-serif" w:hAnsi="Times New Roman;sans-serif"/>
          <w:b w:val="false"/>
          <w:color w:val="000000"/>
          <w:sz w:val="20"/>
        </w:rPr>
        <w:t>," which defers the sunset date for Topic 848 from December 31, 2022 to December 31, 2024, after which entities will no longer be permitted to apply the relief in Topic 848. As of June 30, 2023, all of our debt and derivative instruments have been converted from LIBOR to alternative reference rates. The adoption of this ASU did not have a material impact on our Consolidated Financial Statements as the majority of our debt has fixed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Subsequent Events</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Extension of Notes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the maturity date on $358.5 million of notes receivable due in May 31, 2023 was extended to July 31, 2023. Refer to Note 4, "Notes and Other Receivables," for additional information on the notes receivable.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limitations, holders can convert certain series of OP units to shares of our common stock or Common OP units at any time. In July 2023, Aspen preferred OP unitholders converted 360,980 mandatorily redeemable units, representing $9.7 million of unsecured debt, into common shares and common OP units as follows:</w:t>
      </w:r>
    </w:p>
    <w:p>
      <w:pPr>
        <w:pStyle w:val="TextBody"/>
        <w:bidi w:val="0"/>
        <w:spacing w:before="0" w:after="0"/>
        <w:jc w:val="both"/>
        <w:rPr/>
      </w:pPr>
      <w:r>
        <w:rPr/>
      </w:r>
    </w:p>
    <w:tbl>
      <w:tblPr>
        <w:tblW w:w="9447" w:type="dxa"/>
        <w:jc w:val="left"/>
        <w:tblInd w:w="0" w:type="dxa"/>
        <w:tblLayout w:type="fixed"/>
        <w:tblCellMar>
          <w:top w:w="28" w:type="dxa"/>
          <w:left w:w="28" w:type="dxa"/>
          <w:bottom w:w="28" w:type="dxa"/>
          <w:right w:w="28" w:type="dxa"/>
        </w:tblCellMar>
      </w:tblPr>
      <w:tblGrid>
        <w:gridCol w:w="678"/>
        <w:gridCol w:w="595"/>
        <w:gridCol w:w="602"/>
        <w:gridCol w:w="109"/>
        <w:gridCol w:w="109"/>
        <w:gridCol w:w="109"/>
        <w:gridCol w:w="439"/>
        <w:gridCol w:w="439"/>
        <w:gridCol w:w="441"/>
        <w:gridCol w:w="109"/>
        <w:gridCol w:w="109"/>
        <w:gridCol w:w="109"/>
        <w:gridCol w:w="634"/>
        <w:gridCol w:w="634"/>
        <w:gridCol w:w="636"/>
        <w:gridCol w:w="141"/>
        <w:gridCol w:w="141"/>
        <w:gridCol w:w="141"/>
        <w:gridCol w:w="444"/>
        <w:gridCol w:w="444"/>
        <w:gridCol w:w="446"/>
        <w:gridCol w:w="141"/>
        <w:gridCol w:w="141"/>
        <w:gridCol w:w="141"/>
        <w:gridCol w:w="443"/>
        <w:gridCol w:w="443"/>
        <w:gridCol w:w="629"/>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7/1/2023 through 7/26/2023</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color w:val="000000"/>
                <w:sz w:val="11"/>
              </w:rPr>
              <w:t>(1)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OP Units</w:t>
            </w:r>
          </w:p>
        </w:tc>
      </w:tr>
      <w:tr>
        <w:trPr/>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Aspen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7"/>
              </w:rPr>
              <w:t>Various</w:t>
            </w:r>
            <w:r>
              <w:rPr>
                <w:rFonts w:ascii="Times New Roman;sans-serif" w:hAnsi="Times New Roman;sans-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360,980 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12,792 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104,632 </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Refer to Note 8, "Debt and Line of Credit," for additional detail on Aspen preferred OP unit conversions.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our Consolidated Financial Statements for subsequent events through the date that this Form 10-Q was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ind w:left="0" w:right="0" w:hanging="945"/>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consolidated financial condition and results of operations should be read in conjunction with the Consolidated Financial Statements and the accompanying Notes, along with our 2022 Annual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fully integrated REIT. As of June 30, 2023, we owned and operated, directly or indirectly, or had an interest in, a portfolio of 671 developed properties located in the U.S., the UK and Canada, including 354 MH communities, 182 RV communities and 135 marinas. We have been in the business of acquiring, operating, developing and expanding MH and RV communities since 1975 and marinas since 2020. We lease individual sites with utilities access for placement of manufactured homes, RVs or boats to our customers. In the U.S., we are also engaged in the marketing, selling and leasing of new and pre-owned homes to current and future residents in our MH communities. In the UK, we also provide holiday home sales and associated site license activities to holiday homeowners in our MH communities. The Rental Program operations within our MH communities support and enhance our occupancy levels, property performance and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Total Portfolio NOI - </w:t>
      </w:r>
      <w:r>
        <w:rPr>
          <w:rFonts w:ascii="Times New Roman;sans-serif" w:hAnsi="Times New Roman;sans-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properties' performance and growth over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color w:val="000000"/>
          <w:sz w:val="20"/>
        </w:rPr>
        <w:t>Same Property NOI</w:t>
      </w:r>
      <w:r>
        <w:rPr>
          <w:color w:val="000000"/>
        </w:rPr>
        <w:t xml:space="preserve"> </w:t>
      </w:r>
      <w:r>
        <w:rPr>
          <w:rFonts w:ascii="Times New Roman;sans-serif" w:hAnsi="Times New Roman;sans-serif"/>
          <w:b w:val="false"/>
          <w:color w:val="000000"/>
          <w:sz w:val="20"/>
        </w:rPr>
        <w:t>- This is a management tool used when evaluating performance and growth of our Same Property portfolio. We define same properties as those we have owned and operated continuously since January 1, 2022. Same properties exclude ground-up development properties, acquired properties and properties sold after December 31, 2021. The Same Property data may change from time-to-time depending on acquisitions, dispositions, management discretion, significant transactions or unique situations. Same Property NOI does not include the revenues and expenses related to home sales, and service, retail, dining and entertainment activities at the properties. We believe that Same Property NOI is helpful to investors as a supplemental comparative performance measure of the income generated from the Same Property portfolio from one period to the next.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Core FFO - In addition, we use FFO excluding certain gain and loss items that management considers unrelated to the operational and financial performance of our core business ("Core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Catastrophic Event-Related Charges - Hurricane Ian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Hurricane Ian made landfall on Florida's western coast. The storm primarily affected three properties in the Fort Myers area, comprising approximately 2,500 sites. These properties sustained significant flooding and wind damage from the hurricane. At other affected MH and RV properties, most of the damage was limited to trees, roofs, fences, skirting and carports. At affected marina properties, docks, buildings, and landscaping sustained wind and water damage.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property, casualty, flood and business interruption insurance for our community portfolio, subject to customary deductibles and limits. As of June 30, 2023, estimated insurance recoveries of $58.3 million related to Hurricane Ian were recorded in Notes and other receivables, net on the Consolidated Balance Sheets. During the six months ended June 30, 2023, we received insurance recoveries of $26.6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estimated insurance recoveries related to Hurricane Ian during the six months ended June 30, 2023 were primarily the result of $34.8 million incremental costs that exceeded the applicable deductible, net of a $4.8 million reduction due to decrease in estimated property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insurance recoveries for lost earnings and redevelopment costs greater than asset impairment charges for the three Fort Myers, Florida properties were not included in our Consolidated Statements of Operations for the three and six months ended June 30, 2023. We are actively working with our insurer on the related claims. The three Fort Myers, Florida RV communities will require redevelopment, followed by a tenant lease-up period. As such, we currently cannot estimate a date when operating results will be restored to pre-hurricane levels. Our business interruption insurance policy provides for up to 60 months of coverage from the date of restoration.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Net income attributable to SUI common shareholders to NOI and summarize our consolidated financial results for the three and six months ended June 30, 2023 and 2022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729"/>
        <w:gridCol w:w="1466"/>
        <w:gridCol w:w="1475"/>
        <w:gridCol w:w="109"/>
        <w:gridCol w:w="109"/>
        <w:gridCol w:w="109"/>
        <w:gridCol w:w="237"/>
        <w:gridCol w:w="675"/>
        <w:gridCol w:w="132"/>
        <w:gridCol w:w="109"/>
        <w:gridCol w:w="109"/>
        <w:gridCol w:w="109"/>
        <w:gridCol w:w="237"/>
        <w:gridCol w:w="675"/>
        <w:gridCol w:w="132"/>
        <w:gridCol w:w="109"/>
        <w:gridCol w:w="109"/>
        <w:gridCol w:w="109"/>
        <w:gridCol w:w="237"/>
        <w:gridCol w:w="675"/>
        <w:gridCol w:w="132"/>
        <w:gridCol w:w="109"/>
        <w:gridCol w:w="109"/>
        <w:gridCol w:w="109"/>
        <w:gridCol w:w="235"/>
        <w:gridCol w:w="669"/>
        <w:gridCol w:w="191"/>
      </w:tblGrid>
      <w:tr>
        <w:trPr/>
        <w:tc>
          <w:tcPr>
            <w:tcW w:w="17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 (see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 (see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 (see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Income /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4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092" w:type="dxa"/>
        <w:jc w:val="left"/>
        <w:tblInd w:w="0" w:type="dxa"/>
        <w:tblLayout w:type="fixed"/>
        <w:tblCellMar>
          <w:top w:w="28" w:type="dxa"/>
          <w:left w:w="28" w:type="dxa"/>
          <w:bottom w:w="28" w:type="dxa"/>
          <w:right w:w="28" w:type="dxa"/>
        </w:tblCellMar>
      </w:tblPr>
      <w:tblGrid>
        <w:gridCol w:w="1172"/>
        <w:gridCol w:w="1029"/>
        <w:gridCol w:w="1038"/>
        <w:gridCol w:w="109"/>
        <w:gridCol w:w="109"/>
        <w:gridCol w:w="109"/>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11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572.3 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537.6 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Home sales NOI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378.2 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636.6 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RV and marina industries are seasonal in nature, and the results of operations in any one period may not be indicative of results in future periods.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RV business,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As of June 30, 2023, we recognized Real property - transient revenue of $39.8 million in the first quarter and $89.4 million in the second quarter. Real property-transient revenue for the year ended December 31, 2022 was recognized as follows:</w:t>
      </w:r>
    </w:p>
    <w:p>
      <w:pPr>
        <w:pStyle w:val="TextBody"/>
        <w:bidi w:val="0"/>
        <w:spacing w:before="0" w:after="0"/>
        <w:jc w:val="both"/>
        <w:rPr/>
      </w:pPr>
      <w:r>
        <w:rPr/>
      </w:r>
    </w:p>
    <w:tbl>
      <w:tblPr>
        <w:tblW w:w="9742"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87"/>
        <w:gridCol w:w="1666"/>
        <w:gridCol w:w="326"/>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Real property - transient revenue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marina business, the majority of our wet slip and dry storage space leases have annual terms that are billed seasonally. Wet slip storage increases during the summer months for the boating season, whereas dry storage increases during the winter season as weather patterns require boat owners to store their vessels on dry docks or within covered racks. As of June 30, 2023, we recognized seasonal real property revenue of $72.5 million in the first quarter and $90.3 million in the second quarter. Seasonal real property revenue for the year ended December 31, 2022 was recognized as follows:</w:t>
      </w:r>
    </w:p>
    <w:p>
      <w:pPr>
        <w:pStyle w:val="TextBody"/>
        <w:bidi w:val="0"/>
        <w:spacing w:before="0" w:after="0"/>
        <w:jc w:val="both"/>
        <w:rPr/>
      </w:pPr>
      <w:r>
        <w:rPr/>
      </w:r>
    </w:p>
    <w:tbl>
      <w:tblPr>
        <w:tblW w:w="953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539"/>
        <w:gridCol w:w="1531"/>
        <w:gridCol w:w="300"/>
        <w:gridCol w:w="109"/>
        <w:gridCol w:w="109"/>
        <w:gridCol w:w="109"/>
        <w:gridCol w:w="233"/>
        <w:gridCol w:w="233"/>
        <w:gridCol w:w="426"/>
        <w:gridCol w:w="109"/>
        <w:gridCol w:w="109"/>
        <w:gridCol w:w="109"/>
        <w:gridCol w:w="233"/>
        <w:gridCol w:w="233"/>
        <w:gridCol w:w="354"/>
        <w:gridCol w:w="109"/>
        <w:gridCol w:w="109"/>
        <w:gridCol w:w="109"/>
        <w:gridCol w:w="259"/>
        <w:gridCol w:w="259"/>
        <w:gridCol w:w="577"/>
        <w:gridCol w:w="109"/>
        <w:gridCol w:w="109"/>
        <w:gridCol w:w="109"/>
        <w:gridCol w:w="249"/>
        <w:gridCol w:w="249"/>
        <w:gridCol w:w="552"/>
        <w:gridCol w:w="109"/>
        <w:gridCol w:w="109"/>
        <w:gridCol w:w="109"/>
        <w:gridCol w:w="278"/>
        <w:gridCol w:w="278"/>
        <w:gridCol w:w="30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Seasonal real property revenue</w:t>
            </w:r>
          </w:p>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29.0 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Total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real estate operations by segment as of and for the three and six months ended June 30, 2023 and 2022 (in millions, except for statistical information).</w:t>
      </w:r>
    </w:p>
    <w:p>
      <w:pPr>
        <w:pStyle w:val="TextBody"/>
        <w:bidi w:val="0"/>
        <w:spacing w:before="0" w:after="0"/>
        <w:jc w:val="both"/>
        <w:rPr/>
      </w:pPr>
      <w:r>
        <w:rPr/>
      </w:r>
    </w:p>
    <w:tbl>
      <w:tblPr>
        <w:tblW w:w="15183" w:type="dxa"/>
        <w:jc w:val="left"/>
        <w:tblInd w:w="0" w:type="dxa"/>
        <w:tblLayout w:type="fixed"/>
        <w:tblCellMar>
          <w:top w:w="28" w:type="dxa"/>
          <w:left w:w="28" w:type="dxa"/>
          <w:bottom w:w="28" w:type="dxa"/>
          <w:right w:w="28" w:type="dxa"/>
        </w:tblCellMar>
      </w:tblPr>
      <w:tblGrid>
        <w:gridCol w:w="364"/>
        <w:gridCol w:w="320"/>
        <w:gridCol w:w="322"/>
        <w:gridCol w:w="275"/>
        <w:gridCol w:w="191"/>
        <w:gridCol w:w="320"/>
        <w:gridCol w:w="109"/>
        <w:gridCol w:w="109"/>
        <w:gridCol w:w="109"/>
        <w:gridCol w:w="196"/>
        <w:gridCol w:w="466"/>
        <w:gridCol w:w="241"/>
        <w:gridCol w:w="109"/>
        <w:gridCol w:w="109"/>
        <w:gridCol w:w="109"/>
        <w:gridCol w:w="196"/>
        <w:gridCol w:w="556"/>
        <w:gridCol w:w="241"/>
        <w:gridCol w:w="109"/>
        <w:gridCol w:w="109"/>
        <w:gridCol w:w="109"/>
        <w:gridCol w:w="196"/>
        <w:gridCol w:w="556"/>
        <w:gridCol w:w="241"/>
        <w:gridCol w:w="109"/>
        <w:gridCol w:w="109"/>
        <w:gridCol w:w="109"/>
        <w:gridCol w:w="334"/>
        <w:gridCol w:w="254"/>
        <w:gridCol w:w="257"/>
        <w:gridCol w:w="109"/>
        <w:gridCol w:w="109"/>
        <w:gridCol w:w="109"/>
        <w:gridCol w:w="257"/>
        <w:gridCol w:w="209"/>
        <w:gridCol w:w="352"/>
        <w:gridCol w:w="109"/>
        <w:gridCol w:w="109"/>
        <w:gridCol w:w="109"/>
        <w:gridCol w:w="275"/>
        <w:gridCol w:w="191"/>
        <w:gridCol w:w="320"/>
        <w:gridCol w:w="109"/>
        <w:gridCol w:w="109"/>
        <w:gridCol w:w="109"/>
        <w:gridCol w:w="279"/>
        <w:gridCol w:w="187"/>
        <w:gridCol w:w="290"/>
        <w:gridCol w:w="109"/>
        <w:gridCol w:w="109"/>
        <w:gridCol w:w="109"/>
        <w:gridCol w:w="196"/>
        <w:gridCol w:w="556"/>
        <w:gridCol w:w="241"/>
        <w:gridCol w:w="109"/>
        <w:gridCol w:w="109"/>
        <w:gridCol w:w="109"/>
        <w:gridCol w:w="196"/>
        <w:gridCol w:w="556"/>
        <w:gridCol w:w="241"/>
        <w:gridCol w:w="109"/>
        <w:gridCol w:w="109"/>
        <w:gridCol w:w="109"/>
        <w:gridCol w:w="334"/>
        <w:gridCol w:w="511"/>
        <w:gridCol w:w="327"/>
        <w:gridCol w:w="261"/>
        <w:gridCol w:w="205"/>
        <w:gridCol w:w="403"/>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Information</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UK</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(excluding transient)</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 transient</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operating expenses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Real Property NOI</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Information</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UK</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(excluding transient)</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 property - transient</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revenues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operating expenses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338.3</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Real Property NOI</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537.6</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June 30, 2022</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Other information</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UK</w:t>
            </w:r>
            <w:r>
              <w:rPr>
                <w:rFonts w:ascii="Times New Roman;sans-serif" w:hAnsi="Times New Roman;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Marinas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Number of properties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Sites, wet slips and dry storage spaces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Sites, wet slips and dry storage spaces</w:t>
            </w:r>
            <w:r>
              <w:rPr>
                <w:rFonts w:ascii="Times New Roman;sans-serif" w:hAnsi="Times New Roman;sans-serif"/>
                <w:b w:val="false"/>
                <w:color w:val="000000"/>
                <w:sz w:val="10"/>
              </w:rPr>
              <w:t>(b)</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194,100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Transient sites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226,090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MH and Annual RV Occupancy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Not meaningful. N/A = Not applicable.</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5"/>
        </w:rPr>
        <w:t xml:space="preserve">UK </w:t>
      </w:r>
      <w:r>
        <w:rPr>
          <w:rFonts w:ascii="Times New Roman;sans-serif" w:hAnsi="Times New Roman;sans-serif"/>
          <w:b w:val="false"/>
          <w:color w:val="000000"/>
          <w:sz w:val="16"/>
        </w:rPr>
        <w:t>amounts for the three and six months ended June 30, 2022</w:t>
      </w:r>
      <w:r>
        <w:rPr>
          <w:color w:val="000000"/>
        </w:rPr>
        <w:t xml:space="preserve"> </w:t>
      </w:r>
      <w:r>
        <w:rPr>
          <w:rFonts w:ascii="Times New Roman;sans-serif" w:hAnsi="Times New Roman;sans-serif"/>
          <w:b w:val="false"/>
          <w:color w:val="000000"/>
          <w:sz w:val="15"/>
        </w:rPr>
        <w:t>cover April 8, 2022 (date of acquisition) to June 30, 2022.</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5"/>
        </w:rPr>
        <w:t>MH annual sites included 9,721 and 9,204 rental homes in the Company's Rental Program during the three months ended June 30, 2023 and 2022, respectively. Our investment in occupied rental homes at June 30, 2023 was $630.0 million, an increase of 17.8% from $535.0 million at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$17.6 million, or 5.9% increase in Real Property NOI as compared to the same period in 2022, consists of $8.2 million from Same Property MH, $2.4 million from Same Property RV, $6.6 million from Same Property Marina, and $0.4 million, net from the UK operations and other recently acquired or developed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$34.7 million, or 6.5% increase in Real Property NOI as compared to the same period in 2022, consists of $15.4 million from Same Property MH, $4.3 million from Same Property RV, $12.8 million from Same Property Marina, and $2.2 million, net from the UK operations and other recently acquired or developed properties.</w:t>
      </w:r>
    </w:p>
    <w:p>
      <w:pPr>
        <w:pStyle w:val="TextBody"/>
        <w:bidi w:val="0"/>
        <w:spacing w:before="0" w:after="2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Same Property Portfolio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2022 average exchange rates for constant currency comparability.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and other information for our Same Property MH, RV and Marina portfolios as of and for the three and six months ended June 30, 2023 and 2022 (in millions, except for statistical information):</w:t>
      </w:r>
    </w:p>
    <w:p>
      <w:pPr>
        <w:pStyle w:val="TextBody"/>
        <w:bidi w:val="0"/>
        <w:spacing w:before="0" w:after="0"/>
        <w:jc w:val="both"/>
        <w:rPr/>
      </w:pPr>
      <w:r>
        <w:rPr/>
      </w:r>
    </w:p>
    <w:tbl>
      <w:tblPr>
        <w:tblW w:w="16006" w:type="dxa"/>
        <w:jc w:val="left"/>
        <w:tblInd w:w="0" w:type="dxa"/>
        <w:tblLayout w:type="fixed"/>
        <w:tblCellMar>
          <w:top w:w="28" w:type="dxa"/>
          <w:left w:w="28" w:type="dxa"/>
          <w:bottom w:w="28" w:type="dxa"/>
          <w:right w:w="28" w:type="dxa"/>
        </w:tblCellMar>
      </w:tblPr>
      <w:tblGrid>
        <w:gridCol w:w="359"/>
        <w:gridCol w:w="315"/>
        <w:gridCol w:w="317"/>
        <w:gridCol w:w="196"/>
        <w:gridCol w:w="556"/>
        <w:gridCol w:w="109"/>
        <w:gridCol w:w="323"/>
        <w:gridCol w:w="323"/>
        <w:gridCol w:w="109"/>
        <w:gridCol w:w="196"/>
        <w:gridCol w:w="466"/>
        <w:gridCol w:w="109"/>
        <w:gridCol w:w="323"/>
        <w:gridCol w:w="323"/>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466"/>
        <w:gridCol w:w="109"/>
        <w:gridCol w:w="109"/>
        <w:gridCol w:w="109"/>
        <w:gridCol w:w="109"/>
        <w:gridCol w:w="233"/>
        <w:gridCol w:w="233"/>
        <w:gridCol w:w="241"/>
        <w:gridCol w:w="109"/>
        <w:gridCol w:w="109"/>
        <w:gridCol w:w="109"/>
        <w:gridCol w:w="466"/>
        <w:gridCol w:w="241"/>
        <w:gridCol w:w="327"/>
        <w:gridCol w:w="466"/>
        <w:gridCol w:w="340"/>
        <w:gridCol w:w="327"/>
        <w:gridCol w:w="391"/>
        <w:gridCol w:w="32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5"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7"/>
              </w:rPr>
              <w:t>Total</w:t>
            </w:r>
            <w:r>
              <w:rPr>
                <w:rFonts w:ascii="Times New Roman;sans-serif" w:hAnsi="Times New Roman;sans-serif"/>
                <w:b/>
                <w:color w:val="000000"/>
                <w:sz w:val="11"/>
              </w:rPr>
              <w:t>(d)</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Sites, wet slips and dry storage spaces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6845" w:type="dxa"/>
        <w:jc w:val="left"/>
        <w:tblInd w:w="0" w:type="dxa"/>
        <w:tblLayout w:type="fixed"/>
        <w:tblCellMar>
          <w:top w:w="28" w:type="dxa"/>
          <w:left w:w="28" w:type="dxa"/>
          <w:bottom w:w="28" w:type="dxa"/>
          <w:right w:w="28" w:type="dxa"/>
        </w:tblCellMar>
      </w:tblPr>
      <w:tblGrid>
        <w:gridCol w:w="359"/>
        <w:gridCol w:w="315"/>
        <w:gridCol w:w="317"/>
        <w:gridCol w:w="196"/>
        <w:gridCol w:w="556"/>
        <w:gridCol w:w="109"/>
        <w:gridCol w:w="323"/>
        <w:gridCol w:w="323"/>
        <w:gridCol w:w="109"/>
        <w:gridCol w:w="196"/>
        <w:gridCol w:w="556"/>
        <w:gridCol w:w="109"/>
        <w:gridCol w:w="323"/>
        <w:gridCol w:w="323"/>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278"/>
        <w:gridCol w:w="278"/>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5"/>
        <w:gridCol w:w="196"/>
        <w:gridCol w:w="241"/>
        <w:gridCol w:w="109"/>
        <w:gridCol w:w="109"/>
        <w:gridCol w:w="109"/>
        <w:gridCol w:w="466"/>
        <w:gridCol w:w="241"/>
        <w:gridCol w:w="327"/>
        <w:gridCol w:w="466"/>
        <w:gridCol w:w="340"/>
        <w:gridCol w:w="327"/>
        <w:gridCol w:w="391"/>
        <w:gridCol w:w="278"/>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1" w:type="dxa"/>
            <w:gridSpan w:val="7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 Change</w:t>
            </w:r>
            <w:r>
              <w:rPr>
                <w:rFonts w:ascii="Times New Roman;sans-serif" w:hAnsi="Times New Roman;sans-serif"/>
                <w:b/>
                <w:color w:val="000000"/>
                <w:sz w:val="11"/>
              </w:rPr>
              <w:t>(c)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MH</w:t>
            </w:r>
            <w:r>
              <w:rPr>
                <w:rFonts w:ascii="Times New Roman;sans-serif" w:hAnsi="Times New Roman;sans-serif"/>
                <w:b/>
                <w:color w:val="000000"/>
                <w:sz w:val="11"/>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RV</w:t>
            </w:r>
            <w:r>
              <w:rPr>
                <w:rFonts w:ascii="Times New Roman;sans-serif" w:hAnsi="Times New Roman;sans-serif"/>
                <w:b/>
                <w:color w:val="000000"/>
                <w:sz w:val="11"/>
              </w:rPr>
              <w:t>(a)</w:t>
            </w:r>
          </w:p>
        </w:tc>
        <w:tc>
          <w:tcPr>
            <w:tcW w:w="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color w:val="000000"/>
                <w:sz w:val="17"/>
              </w:rPr>
              <w:t>Total</w:t>
            </w:r>
            <w:r>
              <w:rPr>
                <w:rFonts w:ascii="Times New Roman;sans-serif" w:hAnsi="Times New Roman;sans-serif"/>
                <w:b/>
                <w:color w:val="000000"/>
                <w:sz w:val="11"/>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Same Property operating expenses</w:t>
            </w:r>
            <w:r>
              <w:rPr>
                <w:rFonts w:ascii="Times New Roman;sans-serif" w:hAnsi="Times New Roman;sans-serif"/>
                <w:b w:val="false"/>
                <w:color w:val="000000"/>
                <w:sz w:val="11"/>
              </w:rPr>
              <w:t>(b)(d)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Real Property NOI</w:t>
            </w:r>
            <w:r>
              <w:rPr>
                <w:rFonts w:ascii="Times New Roman;sans-serif" w:hAnsi="Times New Roman;sans-serif"/>
                <w:b/>
                <w:color w:val="000000"/>
                <w:sz w:val="11"/>
              </w:rPr>
              <w: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Number of properties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Sites, wet slips and dry storage spaces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2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Real Property Operations - Same Property Portfolio (Continued)</w:t>
      </w:r>
    </w:p>
    <w:p>
      <w:pPr>
        <w:pStyle w:val="TextBody"/>
        <w:bidi w:val="0"/>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results for our MH and RV properties reflect constant currency for comparative purposes. Canadian currency figures in the prior comparative period have been translated at the average exchange rate during the three and six months ended June 30, 2023 of $0.7445 and $0.7420 USD per Canadian dollar, respectively.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We net certain utilities revenues (which include utility reimbursement revenues from residents) against related utility expenses in property operating expenses as follows (in millions):</w:t>
      </w:r>
    </w:p>
    <w:tbl>
      <w:tblPr>
        <w:tblW w:w="10205" w:type="dxa"/>
        <w:jc w:val="left"/>
        <w:tblInd w:w="0" w:type="dxa"/>
        <w:tblLayout w:type="fixed"/>
        <w:tblCellMar>
          <w:top w:w="28" w:type="dxa"/>
          <w:left w:w="28" w:type="dxa"/>
          <w:bottom w:w="28" w:type="dxa"/>
          <w:right w:w="28" w:type="dxa"/>
        </w:tblCellMar>
      </w:tblPr>
      <w:tblGrid>
        <w:gridCol w:w="747"/>
        <w:gridCol w:w="655"/>
        <w:gridCol w:w="65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466"/>
        <w:gridCol w:w="156"/>
      </w:tblGrid>
      <w:tr>
        <w:trPr/>
        <w:tc>
          <w:tcPr>
            <w:tcW w:w="7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June 30, 2022</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5"/>
        <w:gridCol w:w="627"/>
        <w:gridCol w:w="630"/>
        <w:gridCol w:w="196"/>
        <w:gridCol w:w="46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466"/>
        <w:gridCol w:w="155"/>
      </w:tblGrid>
      <w:tr>
        <w:trPr/>
        <w:tc>
          <w:tcPr>
            <w:tcW w:w="7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 June 30, 2022</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Marina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ans-serif" w:hAnsi="Times New Roman;sans-serif"/>
                <w:b w:val="false"/>
                <w:color w:val="000000"/>
                <w:sz w:val="17"/>
              </w:rPr>
            </w:pPr>
            <w:r>
              <w:rPr>
                <w:rFonts w:ascii="Times New Roman;sans-serif" w:hAnsi="Times New Roman;sans-serif"/>
                <w:b w:val="false"/>
                <w:color w:val="000000"/>
                <w:sz w:val="17"/>
              </w:rPr>
              <w:t>Utility revenue netted against related utility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ans-serif" w:hAnsi="Times New Roman;sans-serif"/>
          <w:b w:val="false"/>
          <w:color w:val="000000"/>
          <w:sz w:val="10"/>
        </w:rPr>
        <w:t>(c)</w:t>
      </w:r>
      <w:r>
        <w:rPr>
          <w:color w:val="000000"/>
        </w:rPr>
        <w:t xml:space="preserve"> </w:t>
      </w:r>
      <w:r>
        <w:rPr>
          <w:rFonts w:ascii="Times New Roman;sans-serif" w:hAnsi="Times New Roman;sans-serif"/>
          <w:b w:val="false"/>
          <w:color w:val="000000"/>
          <w:sz w:val="16"/>
        </w:rPr>
        <w:t>Percentages are calculated based on unrounded numbers.</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(d)</w:t>
      </w:r>
      <w:r>
        <w:rPr>
          <w:color w:val="000000"/>
        </w:rPr>
        <w:t xml:space="preserve"> </w:t>
      </w:r>
      <w:r>
        <w:rPr>
          <w:rFonts w:ascii="Times New Roman;sans-serif" w:hAnsi="Times New Roman;sans-serif"/>
          <w:b w:val="false"/>
          <w:color w:val="000000"/>
          <w:sz w:val="16"/>
        </w:rPr>
        <w:t>Total Same Property operating expenses consist of the following components for the periods shown (in millions), and exclude amounts invested into recently acquired properties to bring them up to the Company's standards.</w:t>
      </w:r>
    </w:p>
    <w:tbl>
      <w:tblPr>
        <w:tblW w:w="10205" w:type="dxa"/>
        <w:jc w:val="left"/>
        <w:tblInd w:w="0" w:type="dxa"/>
        <w:tblLayout w:type="fixed"/>
        <w:tblCellMar>
          <w:top w:w="28" w:type="dxa"/>
          <w:left w:w="28" w:type="dxa"/>
          <w:bottom w:w="28" w:type="dxa"/>
          <w:right w:w="28" w:type="dxa"/>
        </w:tblCellMar>
      </w:tblPr>
      <w:tblGrid>
        <w:gridCol w:w="498"/>
        <w:gridCol w:w="266"/>
        <w:gridCol w:w="268"/>
        <w:gridCol w:w="200"/>
        <w:gridCol w:w="568"/>
        <w:gridCol w:w="111"/>
        <w:gridCol w:w="109"/>
        <w:gridCol w:w="109"/>
        <w:gridCol w:w="109"/>
        <w:gridCol w:w="200"/>
        <w:gridCol w:w="568"/>
        <w:gridCol w:w="111"/>
        <w:gridCol w:w="109"/>
        <w:gridCol w:w="109"/>
        <w:gridCol w:w="109"/>
        <w:gridCol w:w="196"/>
        <w:gridCol w:w="376"/>
        <w:gridCol w:w="109"/>
        <w:gridCol w:w="109"/>
        <w:gridCol w:w="109"/>
        <w:gridCol w:w="109"/>
        <w:gridCol w:w="233"/>
        <w:gridCol w:w="233"/>
        <w:gridCol w:w="459"/>
        <w:gridCol w:w="109"/>
        <w:gridCol w:w="109"/>
        <w:gridCol w:w="109"/>
        <w:gridCol w:w="200"/>
        <w:gridCol w:w="568"/>
        <w:gridCol w:w="111"/>
        <w:gridCol w:w="109"/>
        <w:gridCol w:w="109"/>
        <w:gridCol w:w="109"/>
        <w:gridCol w:w="200"/>
        <w:gridCol w:w="568"/>
        <w:gridCol w:w="111"/>
        <w:gridCol w:w="109"/>
        <w:gridCol w:w="109"/>
        <w:gridCol w:w="109"/>
        <w:gridCol w:w="196"/>
        <w:gridCol w:w="466"/>
        <w:gridCol w:w="109"/>
        <w:gridCol w:w="109"/>
        <w:gridCol w:w="109"/>
        <w:gridCol w:w="109"/>
        <w:gridCol w:w="233"/>
        <w:gridCol w:w="233"/>
        <w:gridCol w:w="525"/>
      </w:tblGrid>
      <w:tr>
        <w:trPr/>
        <w:tc>
          <w:tcPr>
            <w:tcW w:w="4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Payroll and benefits</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Supplies and repairs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Utilities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Legal, state / local taxes, and insurance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48.6 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Same Property Operating Expenses</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20" w:after="100"/>
        <w:jc w:val="both"/>
        <w:rPr>
          <w:rFonts w:ascii="Times New Roman;sans-serif" w:hAnsi="Times New Roman;sans-serif"/>
          <w:b w:val="false"/>
          <w:i/>
          <w:color w:val="000000"/>
          <w:sz w:val="20"/>
        </w:rPr>
      </w:pPr>
      <w:r>
        <w:rPr>
          <w:rFonts w:ascii="Times New Roman;sans-serif" w:hAnsi="Times New Roman;sans-serif"/>
          <w:b w:val="false"/>
          <w:i/>
          <w:color w:val="000000"/>
          <w:sz w:val="20"/>
        </w:rPr>
        <w:t>Same Property Summary (in whole units)</w:t>
      </w:r>
    </w:p>
    <w:tbl>
      <w:tblPr>
        <w:tblW w:w="8758" w:type="dxa"/>
        <w:jc w:val="left"/>
        <w:tblInd w:w="0" w:type="dxa"/>
        <w:tblLayout w:type="fixed"/>
        <w:tblCellMar>
          <w:top w:w="28" w:type="dxa"/>
          <w:left w:w="28" w:type="dxa"/>
          <w:bottom w:w="28" w:type="dxa"/>
          <w:right w:w="28" w:type="dxa"/>
        </w:tblCellMar>
      </w:tblPr>
      <w:tblGrid>
        <w:gridCol w:w="1162"/>
        <w:gridCol w:w="1021"/>
        <w:gridCol w:w="1026"/>
        <w:gridCol w:w="109"/>
        <w:gridCol w:w="109"/>
        <w:gridCol w:w="109"/>
        <w:gridCol w:w="196"/>
        <w:gridCol w:w="556"/>
        <w:gridCol w:w="241"/>
        <w:gridCol w:w="109"/>
        <w:gridCol w:w="109"/>
        <w:gridCol w:w="109"/>
        <w:gridCol w:w="205"/>
        <w:gridCol w:w="441"/>
        <w:gridCol w:w="241"/>
        <w:gridCol w:w="109"/>
        <w:gridCol w:w="109"/>
        <w:gridCol w:w="109"/>
        <w:gridCol w:w="109"/>
        <w:gridCol w:w="109"/>
        <w:gridCol w:w="196"/>
        <w:gridCol w:w="556"/>
        <w:gridCol w:w="241"/>
        <w:gridCol w:w="109"/>
        <w:gridCol w:w="109"/>
        <w:gridCol w:w="109"/>
        <w:gridCol w:w="205"/>
        <w:gridCol w:w="441"/>
        <w:gridCol w:w="241"/>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As of</w:t>
            </w:r>
          </w:p>
        </w:tc>
        <w:tc>
          <w:tcPr>
            <w:tcW w:w="1477" w:type="dxa"/>
            <w:gridSpan w:val="8"/>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1477" w:type="dxa"/>
            <w:gridSpan w:val="8"/>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MH and Annual RV 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31,340 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Transient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23,270 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54,610 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54,310 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MH and Annual RV 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Occupancy</w:t>
            </w:r>
            <w:r>
              <w:rPr>
                <w:rFonts w:ascii="Times New Roman;sans-serif" w:hAnsi="Times New Roman;sans-serif"/>
                <w:b w:val="false"/>
                <w:color w:val="000000"/>
                <w:sz w:val="11"/>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 in monthly base rent</w:t>
            </w:r>
            <w:r>
              <w:rPr>
                <w:rFonts w:ascii="Times New Roman;sans-serif" w:hAnsi="Times New Roman;sans-serif"/>
                <w:b w:val="false"/>
                <w:color w:val="000000"/>
                <w:sz w:val="11"/>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Rental Program Statistics included in 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Number of occupied sites, end of period</w:t>
            </w:r>
            <w:r>
              <w:rPr>
                <w:rFonts w:ascii="Times New Roman;sans-serif" w:hAnsi="Times New Roman;sans-serif"/>
                <w:b w:val="false"/>
                <w:color w:val="000000"/>
                <w:sz w:val="11"/>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Monthly rent per site - MH Rental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 change</w:t>
            </w:r>
            <w:r>
              <w:rPr>
                <w:rFonts w:ascii="Times New Roman;sans-serif" w:hAnsi="Times New Roman;sans-serif"/>
                <w:b w:val="false"/>
                <w:color w:val="000000"/>
                <w:sz w:val="11"/>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Not meaningful. N/A = Not applicable.</w:t>
      </w:r>
    </w:p>
    <w:p>
      <w:pPr>
        <w:pStyle w:val="TextBody"/>
        <w:bidi w:val="0"/>
        <w:spacing w:lineRule="auto" w:line="288" w:before="20" w:after="60"/>
        <w:ind w:left="0" w:right="0" w:hanging="180"/>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Same Property adjusted blended occupancy for MH and RV combined increased to 98.7% at June 30, 2023, from 97.0% at June 30, 2022. The 170 basis point increase was driven by MH expansion fills and the conversion of transient RV sites to annual sites.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(b)</w:t>
      </w:r>
      <w:r>
        <w:rPr>
          <w:color w:val="000000"/>
        </w:rPr>
        <w:t xml:space="preserve"> </w:t>
      </w:r>
      <w:r>
        <w:rPr>
          <w:rFonts w:ascii="Times New Roman;sans-serif" w:hAnsi="Times New Roman;sans-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 xml:space="preserve">(c) </w:t>
      </w:r>
      <w:r>
        <w:rPr>
          <w:rFonts w:ascii="Times New Roman;sans-serif" w:hAnsi="Times New Roman;sans-serif"/>
          <w:b w:val="false"/>
          <w:color w:val="000000"/>
          <w:sz w:val="16"/>
        </w:rPr>
        <w:t>Occupied rental program sites in Same Property are included in total sites.</w:t>
      </w:r>
    </w:p>
    <w:p>
      <w:pPr>
        <w:pStyle w:val="TextBody"/>
        <w:bidi w:val="0"/>
        <w:spacing w:before="0" w:after="0"/>
        <w:jc w:val="both"/>
        <w:rPr/>
      </w:pPr>
      <w:r>
        <w:rPr/>
      </w:r>
    </w:p>
    <w:p>
      <w:pPr>
        <w:pStyle w:val="TextBody"/>
        <w:bidi w:val="0"/>
        <w:spacing w:lineRule="auto" w:line="28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$8.2 million, or 5.7%, when compared to the same period in 2022 is primarily due to an increase in Real property (excluding transient) revenue of $12.9 million, or 6.7%, partially offset by an increase in property operating expenses. Real property (excluding transient) revenue increased primarily due to a 5.7%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increase in NOI of $2.4 million, or 3.2%, when compared to the same period in 2022 is primarily due to an increase in Real property (excluding transient) revenue of $9.5 million, or 16.2%, partially offset by a decrease in Real property-transient revenue of $4.6 million, or 6.1%, and an increase in property operating expenses of $2.5 million, or 4.1%. The increase in Real property - (excluding transient) revenue was primarily due to an 8.6%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Marina segment increase in NOI of $6.6 million, or 11.9%, when compared to the same period in 2022 is primarily due to the $6.2 million, or 8.1%, increase in Real property (excluding transient)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MH segment increase in NOI of $15.4 million, or 5.4%, when compared to the same period in 2022 is primarily due to an increase in Real property (excluding transient) revenue of $25.4 million, or 6.6%, partially offset by an increase in property operating expenses. Real property (excluding transient) revenue increased primarily due to a 5.7% increase in monthly base rent.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RV segment increase in NOI of $4.3 million, or 3.7%, when compared to the same period in 2022 is primarily due to an increase in Real property (excluding transient) revenue of $17.0 million, or 15.9%, partially offset by a decrease in Real property-transient revenue of $6.7 million, or 6.0%; an increase in property operating expenses by $6.0 million, or 5.8%. The increase in Real property - (excluding transient) revenue was primarily due to an 8.6%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Marina segment increase in NOI of $12.8 million, or 13.2% when compared to the same period in 2022 is primarily due to a $12.4 million, or 8.7% increase in Real property (excluding transient) revenue.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Home Sales Summary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sell new and pre-owned homes to current and prospective residents and customers in our communities. This inventory is purchased from manufacturers, lenders, dealers, former residents or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certain financial and statistical information for our Home Sales Program for the three and six months ended June 30, 2023 and 2022 (in millions, except for average selling price and statistical information):</w:t>
      </w:r>
    </w:p>
    <w:p>
      <w:pPr>
        <w:pStyle w:val="TextBody"/>
        <w:bidi w:val="0"/>
        <w:spacing w:before="0" w:after="0"/>
        <w:jc w:val="both"/>
        <w:rPr/>
      </w:pPr>
      <w:r>
        <w:rPr/>
      </w:r>
    </w:p>
    <w:tbl>
      <w:tblPr>
        <w:tblW w:w="11314" w:type="dxa"/>
        <w:jc w:val="left"/>
        <w:tblInd w:w="0" w:type="dxa"/>
        <w:tblLayout w:type="fixed"/>
        <w:tblCellMar>
          <w:top w:w="28" w:type="dxa"/>
          <w:left w:w="28" w:type="dxa"/>
          <w:bottom w:w="28" w:type="dxa"/>
          <w:right w:w="28" w:type="dxa"/>
        </w:tblCellMar>
      </w:tblPr>
      <w:tblGrid>
        <w:gridCol w:w="266"/>
        <w:gridCol w:w="234"/>
        <w:gridCol w:w="236"/>
        <w:gridCol w:w="196"/>
        <w:gridCol w:w="646"/>
        <w:gridCol w:w="241"/>
        <w:gridCol w:w="109"/>
        <w:gridCol w:w="109"/>
        <w:gridCol w:w="109"/>
        <w:gridCol w:w="196"/>
        <w:gridCol w:w="646"/>
        <w:gridCol w:w="241"/>
        <w:gridCol w:w="109"/>
        <w:gridCol w:w="109"/>
        <w:gridCol w:w="109"/>
        <w:gridCol w:w="196"/>
        <w:gridCol w:w="571"/>
        <w:gridCol w:w="241"/>
        <w:gridCol w:w="109"/>
        <w:gridCol w:w="109"/>
        <w:gridCol w:w="109"/>
        <w:gridCol w:w="240"/>
        <w:gridCol w:w="241"/>
        <w:gridCol w:w="459"/>
        <w:gridCol w:w="109"/>
        <w:gridCol w:w="109"/>
        <w:gridCol w:w="109"/>
        <w:gridCol w:w="196"/>
        <w:gridCol w:w="646"/>
        <w:gridCol w:w="241"/>
        <w:gridCol w:w="109"/>
        <w:gridCol w:w="109"/>
        <w:gridCol w:w="109"/>
        <w:gridCol w:w="196"/>
        <w:gridCol w:w="556"/>
        <w:gridCol w:w="241"/>
        <w:gridCol w:w="109"/>
        <w:gridCol w:w="109"/>
        <w:gridCol w:w="109"/>
        <w:gridCol w:w="196"/>
        <w:gridCol w:w="661"/>
        <w:gridCol w:w="241"/>
        <w:gridCol w:w="109"/>
        <w:gridCol w:w="109"/>
        <w:gridCol w:w="109"/>
        <w:gridCol w:w="240"/>
        <w:gridCol w:w="241"/>
        <w:gridCol w:w="52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North America</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UK</w:t>
            </w:r>
            <w:r>
              <w:rPr>
                <w:rFonts w:ascii="Times New Roman;sans-serif" w:hAnsi="Times New Roman;sans-serif"/>
                <w:b/>
                <w:color w:val="000000"/>
                <w:sz w:val="11"/>
              </w:rPr>
              <w:t>(a)</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42.0 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41.0 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33.8 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Units Sold:*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UK</w:t>
            </w:r>
            <w:r>
              <w:rPr>
                <w:rFonts w:ascii="Times New Roman;sans-serif" w:hAnsi="Times New Roman;sans-serif"/>
                <w:b w:val="false"/>
                <w:color w:val="000000"/>
                <w:sz w:val="11"/>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home sales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2,699 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7"/>
              </w:rPr>
            </w:pPr>
            <w:r>
              <w:rPr>
                <w:rFonts w:ascii="Times New Roman;sans-serif" w:hAnsi="Times New Roman;sans-serif"/>
                <w:b/>
                <w:color w:val="000000"/>
                <w:sz w:val="17"/>
              </w:rPr>
              <w:t>Average Selling Price:*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84,033 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UK</w:t>
            </w:r>
            <w:r>
              <w:rPr>
                <w:rFonts w:ascii="Times New Roman;sans-serif" w:hAnsi="Times New Roman;sans-serif"/>
                <w:b w:val="false"/>
                <w:color w:val="000000"/>
                <w:sz w:val="11"/>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69,705 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bl>
    <w:p>
      <w:pPr>
        <w:pStyle w:val="TextBody"/>
        <w:bidi w:val="0"/>
        <w:spacing w:lineRule="auto" w:line="288" w:before="20" w:after="283"/>
        <w:jc w:val="both"/>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UK amounts for the three and six months ended June 30, 2022 cover the period from April 8, 2022 (date of acquisition) through June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NOI - North America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29.2% decrease in NOI is primarily driven by a 30.0% decrease in total home sales volume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35.6% decrease in NOI is primarily driven by a 29.8% decrease in total home sales volume and a 5.1% decrease in pre-owned home sales gross margin as compared to the same period in 2022.</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NOI - UK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5.7% decrease in NOI is primarily driven by a 10.5% decrease in average selling price, partially offset by an increase in home sales volume, as compared to the same period in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42.0% increase in NOI is primarily driven by a full period of activity related to our properties in the UK during the current period as compared to a shorter period of activity from April 8, 2022 through June 30, 2022 due to the acquisition of Park Holidays on April 8,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Other Items - Statements of Operations</w:t>
      </w:r>
      <w:r>
        <w:rPr>
          <w:rFonts w:ascii="Times New Roman;sans-serif" w:hAnsi="Times New Roman;sans-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other income and expenses for the three and six months ended June 30, 2023 and 2022 (in millions):</w:t>
      </w:r>
    </w:p>
    <w:p>
      <w:pPr>
        <w:pStyle w:val="TextBody"/>
        <w:bidi w:val="0"/>
        <w:spacing w:before="0" w:after="0"/>
        <w:jc w:val="both"/>
        <w:rPr/>
      </w:pPr>
      <w:r>
        <w:rPr/>
      </w:r>
    </w:p>
    <w:tbl>
      <w:tblPr>
        <w:tblW w:w="10687" w:type="dxa"/>
        <w:jc w:val="center"/>
        <w:tblInd w:w="0" w:type="dxa"/>
        <w:tblLayout w:type="fixed"/>
        <w:tblCellMar>
          <w:top w:w="28" w:type="dxa"/>
          <w:left w:w="28" w:type="dxa"/>
          <w:bottom w:w="28" w:type="dxa"/>
          <w:right w:w="28" w:type="dxa"/>
        </w:tblCellMar>
      </w:tblPr>
      <w:tblGrid>
        <w:gridCol w:w="552"/>
        <w:gridCol w:w="354"/>
        <w:gridCol w:w="355"/>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284"/>
        <w:gridCol w:w="287"/>
        <w:gridCol w:w="459"/>
        <w:gridCol w:w="109"/>
        <w:gridCol w:w="109"/>
        <w:gridCol w:w="109"/>
        <w:gridCol w:w="196"/>
        <w:gridCol w:w="556"/>
        <w:gridCol w:w="109"/>
        <w:gridCol w:w="109"/>
        <w:gridCol w:w="109"/>
        <w:gridCol w:w="109"/>
        <w:gridCol w:w="196"/>
        <w:gridCol w:w="556"/>
        <w:gridCol w:w="109"/>
        <w:gridCol w:w="109"/>
        <w:gridCol w:w="109"/>
        <w:gridCol w:w="109"/>
        <w:gridCol w:w="196"/>
        <w:gridCol w:w="481"/>
        <w:gridCol w:w="109"/>
        <w:gridCol w:w="109"/>
        <w:gridCol w:w="109"/>
        <w:gridCol w:w="109"/>
        <w:gridCol w:w="284"/>
        <w:gridCol w:w="287"/>
        <w:gridCol w:w="520"/>
      </w:tblGrid>
      <w:tr>
        <w:trPr/>
        <w:tc>
          <w:tcPr>
            <w:tcW w:w="5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Change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Service, retail, dining and entertainment,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(28.3)</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Brokerage commissions and other,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Business combinations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(98.7)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7.3 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 (see Note 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on mandatorily redeemable preferred OP units /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 (see Note 15)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(78.9)</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income /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 (see Note 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from nonconsolidated affiliates (see Note 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 (see Note 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Current tax expense (see Note 12)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Deferred tax benefit (see Note 12)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Preferred return to preferred OP units / equity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 (loss) attributable to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N/M</w:t>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Only items determined by management to be material, of interest, or unique to the periods disclosed above are explained below.</w:t>
      </w:r>
    </w:p>
    <w:p>
      <w:pPr>
        <w:pStyle w:val="TextBody"/>
        <w:bidi w:val="0"/>
        <w:spacing w:lineRule="auto" w:line="288" w:before="0" w:after="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N/M = Percentage change is not meaningful.</w:t>
      </w:r>
    </w:p>
    <w:p>
      <w:pPr>
        <w:pStyle w:val="TextBody"/>
        <w:bidi w:val="0"/>
        <w:spacing w:lineRule="auto" w:line="288" w:before="0" w:after="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N/A = Percentage change is not applicable.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Service, retail, dining and entertainment, net</w:t>
      </w:r>
      <w:r>
        <w:rPr>
          <w:color w:val="000000"/>
        </w:rPr>
        <w:t xml:space="preserve"> </w:t>
      </w:r>
      <w:r>
        <w:rPr>
          <w:rFonts w:ascii="Times New Roman;sans-serif" w:hAnsi="Times New Roman;sans-serif"/>
          <w:b w:val="false"/>
          <w:color w:val="000000"/>
          <w:sz w:val="20"/>
        </w:rPr>
        <w:t>- for the three and six months ended June 30, 2023, decreased due to increased costs related to retail, dining and entertainment activities at our UK operations and increased costs of providing services at our Marina properties.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 for the three and six months ended June 30, 2023, increased primarily due to a higher interest rate charged and a larger loan balance provided to a real estate operator to fund investing and financing activities in the current period as compared to the same period in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Business combinations</w:t>
      </w:r>
      <w:r>
        <w:rPr>
          <w:color w:val="000000"/>
        </w:rPr>
        <w:t xml:space="preserve"> </w:t>
      </w:r>
      <w:r>
        <w:rPr>
          <w:rFonts w:ascii="Times New Roman;sans-serif" w:hAnsi="Times New Roman;sans-serif"/>
          <w:b w:val="false"/>
          <w:color w:val="000000"/>
          <w:sz w:val="20"/>
        </w:rPr>
        <w:t>- for the three and six months ended June 30, 2023, decreased primarily as a result of the decrease in acquisition activity during 2023 as compared to the same period in 2022. Refer to Note 3,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Asset impairments</w:t>
      </w:r>
      <w:r>
        <w:rPr>
          <w:color w:val="000000"/>
        </w:rPr>
        <w:t xml:space="preserve"> </w:t>
      </w:r>
      <w:r>
        <w:rPr>
          <w:rFonts w:ascii="Times New Roman;sans-serif" w:hAnsi="Times New Roman;sans-serif"/>
          <w:b w:val="false"/>
          <w:color w:val="000000"/>
          <w:sz w:val="20"/>
        </w:rPr>
        <w:t>- for the three and six months ended June 30, 2023, were primarily due to impairment of a held for sale property with a selling price below carrying value. Refer to Note 3, "Real Estate Acquisitions and Dispositions," in our accompanying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the three and six months ended June 30, 2023, increased due to the higher debt balance and increased interest rates as compared to the same period in 2022. Refer to Note 8, "Debt and Line of Credit," of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remeasurement of marketable securities</w:t>
      </w:r>
      <w:r>
        <w:rPr>
          <w:color w:val="000000"/>
        </w:rPr>
        <w:t xml:space="preserve"> </w:t>
      </w:r>
      <w:r>
        <w:rPr>
          <w:rFonts w:ascii="Times New Roman;sans-serif" w:hAnsi="Times New Roman;sans-serif"/>
          <w:b w:val="false"/>
          <w:color w:val="000000"/>
          <w:sz w:val="20"/>
        </w:rPr>
        <w:t>- for the three and six months ended June 30, 2023 was a gain of $5.8 million and loss of $14.1 million, as compared to a loss of $32.3 million and $66.8 million during the same periods in 2022 due to the fluctuation in the price of our publicly traded marketable securities. Refer to Note 15, "Fair Value of Financial Instruments,"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on foreign currency exchanges</w:t>
      </w:r>
      <w:r>
        <w:rPr>
          <w:color w:val="000000"/>
        </w:rPr>
        <w:t xml:space="preserve"> </w:t>
      </w:r>
      <w:r>
        <w:rPr>
          <w:rFonts w:ascii="Times New Roman;sans-serif" w:hAnsi="Times New Roman;sans-serif"/>
          <w:b w:val="false"/>
          <w:color w:val="000000"/>
          <w:sz w:val="20"/>
        </w:rPr>
        <w:t>- for the three months ended June 30, 2023, was a gain of $2.7 million, primarily due to the fluctuation of exchange rates on our foreign currencies. For the three and six months ended June 30, 2023 and 2022, was a gain of $9.0 million and $6.8 million, respectively, primarily due to the U.S. dollar strengthening against the Pound sterling.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Gain / (loss) on dispositions of properties</w:t>
      </w:r>
      <w:r>
        <w:rPr>
          <w:color w:val="000000"/>
        </w:rPr>
        <w:t xml:space="preserve"> </w:t>
      </w:r>
      <w:r>
        <w:rPr>
          <w:rFonts w:ascii="Times New Roman;sans-serif" w:hAnsi="Times New Roman;sans-serif"/>
          <w:b w:val="false"/>
          <w:color w:val="000000"/>
          <w:sz w:val="20"/>
        </w:rPr>
        <w:t>- for the six months ended June 30, 2023, decreased due to the loss on sale of two properties as compared to a gain on the sale of three properties during the same period in 2022. Refer to Note 3,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Gain / (loss) on remeasurement of investment in nonconsolidated affiliates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for the</w:t>
      </w:r>
      <w:r>
        <w:rPr>
          <w:color w:val="000000"/>
        </w:rPr>
        <w:t xml:space="preserve"> </w:t>
      </w:r>
      <w:r>
        <w:rPr>
          <w:rFonts w:ascii="Times New Roman;sans-serif" w:hAnsi="Times New Roman;sans-serif"/>
          <w:b w:val="false"/>
          <w:color w:val="000000"/>
          <w:sz w:val="20"/>
        </w:rPr>
        <w:t>six months ended June 30, 2023, was a loss of $4.5 million as compared to a gain of $0.5 million during the same period in 2022 due to the fluctuation of the fair value of our nonconsolidated affiliates. Refer to Note 6, "Investments in Nonconsolidated Affiliates," and Note 15, "Fair Value of Financial Instruments,"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Current tax expense</w:t>
      </w:r>
      <w:r>
        <w:rPr>
          <w:color w:val="000000"/>
        </w:rPr>
        <w:t xml:space="preserve"> </w:t>
      </w:r>
      <w:r>
        <w:rPr>
          <w:rFonts w:ascii="Times New Roman;sans-serif" w:hAnsi="Times New Roman;sans-serif"/>
          <w:b w:val="false"/>
          <w:color w:val="000000"/>
          <w:sz w:val="20"/>
        </w:rPr>
        <w:t>- for the six months ended June 30, 2023, increased primarily due to income tax expense on a full period of activity related to our properties in the UK during the current period as compared to activity from April 8, 2022, acquisition of Park Holidays during the same period in 2022. Refer to Note 3,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Deferred tax benefit</w:t>
      </w:r>
      <w:r>
        <w:rPr>
          <w:color w:val="000000"/>
        </w:rPr>
        <w:t xml:space="preserve"> </w:t>
      </w:r>
      <w:r>
        <w:rPr>
          <w:rFonts w:ascii="Times New Roman;sans-serif" w:hAnsi="Times New Roman;sans-serif"/>
          <w:b w:val="false"/>
          <w:color w:val="000000"/>
          <w:sz w:val="20"/>
        </w:rPr>
        <w:t>- for the three and six months ended June 30, 2023, was $7.7 million and $12.3 million resulting from activity related to our acquisition of Park Holidays in the UK. Refer to Note 12, "Income Taxes," in our accompanying Consolidated Financial Statements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 OF NET INCOME ATTRIBUTABLE TO SUI COMMON SHAREHOLDERS TO FFO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Net income attributable to SUI common shareholders to FFO for the three and six months ended June 30, 2023 and 2022 (in millions, except for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84"/>
        <w:gridCol w:w="1590"/>
        <w:gridCol w:w="1598"/>
        <w:gridCol w:w="233"/>
        <w:gridCol w:w="663"/>
        <w:gridCol w:w="129"/>
        <w:gridCol w:w="109"/>
        <w:gridCol w:w="109"/>
        <w:gridCol w:w="109"/>
        <w:gridCol w:w="233"/>
        <w:gridCol w:w="663"/>
        <w:gridCol w:w="129"/>
        <w:gridCol w:w="109"/>
        <w:gridCol w:w="109"/>
        <w:gridCol w:w="109"/>
        <w:gridCol w:w="233"/>
        <w:gridCol w:w="663"/>
        <w:gridCol w:w="129"/>
        <w:gridCol w:w="109"/>
        <w:gridCol w:w="109"/>
        <w:gridCol w:w="109"/>
        <w:gridCol w:w="231"/>
        <w:gridCol w:w="657"/>
        <w:gridCol w:w="189"/>
      </w:tblGrid>
      <w:tr>
        <w:trPr/>
        <w:tc>
          <w:tcPr>
            <w:tcW w:w="18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0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Income Attributable to SUI Common Shareholders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on nonconsolidated affiliates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impairments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marketable securities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investment in nonconsolidated affiliates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remeasurement of notes receivable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 loss on dispositions of properties, including tax effect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Returns on preferred OP units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 Income / (loss) attributable to noncontrolling interests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dispositions of assets,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FFO Attributable to SUI Common Shareholders and Dilutive Convertible Securities</w:t>
            </w:r>
            <w:r>
              <w:rPr>
                <w:rFonts w:ascii="Times New Roman;sans-serif" w:hAnsi="Times New Roman;sans-serif"/>
                <w:b w:val="false"/>
                <w:color w:val="000000"/>
                <w:sz w:val="11"/>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401.8 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Business combination expense and other acquisition related costs</w:t>
            </w:r>
            <w:r>
              <w:rPr>
                <w:rFonts w:ascii="Times New Roman;sans-serif" w:hAnsi="Times New Roman;sans-serif"/>
                <w:b w:val="false"/>
                <w:color w:val="000000"/>
                <w:sz w:val="11"/>
              </w:rPr>
              <w:t>(2)</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debt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Catastrophic event-related charges,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Loss of earnings - catastrophic event-related charges, net</w:t>
            </w:r>
            <w:r>
              <w:rPr>
                <w:rFonts w:ascii="Times New Roman;sans-serif" w:hAnsi="Times New Roman;sans-serif"/>
                <w:b w:val="false"/>
                <w:color w:val="000000"/>
                <w:sz w:val="11"/>
              </w:rPr>
              <w:t>(3)</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foreign currency exchanges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Other adjustments, net</w:t>
            </w:r>
            <w:r>
              <w:rPr>
                <w:rFonts w:ascii="Times New Roman;sans-serif" w:hAnsi="Times New Roman;sans-serif"/>
                <w:b w:val="false"/>
                <w:color w:val="000000"/>
                <w:sz w:val="11"/>
              </w:rPr>
              <w:t>(4)</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7"/>
              </w:rPr>
              <w:t>Core FFO Attributable to SUI Common Shareholders and Dilutive Convertible Securities</w:t>
            </w:r>
            <w:r>
              <w:rPr>
                <w:rFonts w:ascii="Times New Roman;sans-serif" w:hAnsi="Times New Roman;sans-serif"/>
                <w:b w:val="false"/>
                <w:color w:val="000000"/>
                <w:sz w:val="11"/>
              </w:rPr>
              <w:t>(1)</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249.6 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409.9 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417.9 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Weighted Average Common Shares Outstanding - Diluted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FFO Attributable to SUI Common Shareholders and Dilutive Convertible Securities Per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Core FFO Attributable to SUI Common Shareholders and Dilutive Convertible Securities Per Share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507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Excludes the effect of certain anti-dilutive convertible securities.</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These costs represent (i) nonrecurring integration expenses associated with acquisitions during the three and six months ended June 30, 2023, and 2022, (ii) costs associated with potential acquisitions that will not close, (iii) costs associated with the termination of the bridge loan commitment during the three months ended March 31, 2022 related to the acquisition of Park Holidays and (iv) business combination expenses incurred to bring recently acquired properties up to the Company's operating standards, including items such as tree trimming and painting costs that do not meet the Company's capitalization policy.</w:t>
      </w:r>
    </w:p>
    <w:p>
      <w:pPr>
        <w:pStyle w:val="TextBody"/>
        <w:bidi w:val="0"/>
        <w:spacing w:lineRule="auto" w:line="288" w:before="0" w:after="60"/>
        <w:ind w:left="0" w:right="0" w:hanging="180"/>
        <w:jc w:val="both"/>
        <w:rPr/>
      </w:pPr>
      <w:r>
        <w:rPr>
          <w:rFonts w:ascii="Times New Roman;sans-serif" w:hAnsi="Times New Roman;sans-serif"/>
          <w:b w:val="false"/>
          <w:color w:val="000000"/>
          <w:sz w:val="10"/>
        </w:rPr>
        <w:t>(3)</w:t>
      </w:r>
      <w:r>
        <w:rPr>
          <w:rFonts w:ascii="Times New Roman;sans-serif" w:hAnsi="Times New Roman;sans-serif"/>
          <w:b w:val="false"/>
          <w:color w:val="000000"/>
          <w:sz w:val="16"/>
        </w:rPr>
        <w:t>Adjustment related to estimated loss of earnings in excess of the applicable business interruption deductible in relation to our three Florida Keys communities that were impaired by Hurricane Irma and our three Fort Myers Florida RV communities that were impaired by Hurricane Ian, which had not yet been received from our insurer.</w:t>
      </w:r>
    </w:p>
    <w:p>
      <w:pPr>
        <w:pStyle w:val="TextBody"/>
        <w:bidi w:val="0"/>
        <w:spacing w:lineRule="auto" w:line="288" w:before="0" w:after="0"/>
        <w:ind w:left="0" w:right="0" w:hanging="180"/>
        <w:jc w:val="both"/>
        <w:rPr/>
      </w:pPr>
      <w:r>
        <w:rPr>
          <w:rFonts w:ascii="Times New Roman;sans-serif" w:hAnsi="Times New Roman;sans-serif"/>
          <w:b w:val="false"/>
          <w:color w:val="000000"/>
          <w:sz w:val="10"/>
        </w:rPr>
        <w:t>(4)</w:t>
      </w:r>
      <w:r>
        <w:rPr>
          <w:rFonts w:ascii="Times New Roman;sans-serif" w:hAnsi="Times New Roman;sans-serif"/>
          <w:b w:val="false"/>
          <w:color w:val="000000"/>
          <w:sz w:val="16"/>
        </w:rPr>
        <w:t>Other adjustments, net relates primarily to deferred tax benefits and long term lease termination (benefit)/expense during three and six months ended June 30, 2023 and 2022.</w:t>
      </w:r>
    </w:p>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Short-term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short-term liquidity demands historically have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and Note 9, "Equity and Temporary Equity,"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Our investment grade credit ratings of BBB and Baa3 from S&amp;P Global and Moody's, respectively, remain unchanged from the initial rating. We plan to continue to capitalize on our unsecured bond market access to optimize our cost of capital and increase our financial flexibility.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market and economic conditions, including relating to, among other things, interest rates, currency fluctuations, equity valuations and inflation, may adversely affect our ability to obtain debt and equity capital in the short term on attractive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The current higher interest rate environment may make it more expensive to finance acquisitions and fund developments and expansion. We will continue to evaluate acquisition and development opportunities that meet our underwriting criteria.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acquired one MH community totaling 68 sites and 72 development sites, and one marina totaling 24 wet slips and dry storage spaces, for a total purchase price of approximately $107.0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focused on property ground-up development and expansion opportunities adjacent to our existing properties. During the six months ended June 30, 2023, we acquired three land parcels located in the U.S. and the UK for the potential development of nearly 1,250 sites, expanded our existing communities by nearly 250 sites and delivered over 200 sites at three ground-up development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expand our properties utilizing our inventory of owned and entitled land. We have nearly 15,720 MH and RV sites suitable for future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3, "Real Estate Acquisitions and Dispositions," in our accompanying Consolidated Financial Statements for additional detail on acquisitions completed to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(excluding Acquisition cost)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include lot modifications, growth projects, rebranding, acquisition-related capital expenditures, expansion and development construction costs, rental home purchases and recurring capital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 activity is summarized as follows (in millions):</w:t>
      </w:r>
    </w:p>
    <w:p>
      <w:pPr>
        <w:pStyle w:val="TextBody"/>
        <w:bidi w:val="0"/>
        <w:spacing w:before="0" w:after="0"/>
        <w:jc w:val="both"/>
        <w:rPr/>
      </w:pPr>
      <w:r>
        <w:rPr/>
      </w:r>
    </w:p>
    <w:tbl>
      <w:tblPr>
        <w:tblW w:w="7166" w:type="dxa"/>
        <w:jc w:val="left"/>
        <w:tblInd w:w="0" w:type="dxa"/>
        <w:tblLayout w:type="fixed"/>
        <w:tblCellMar>
          <w:top w:w="28" w:type="dxa"/>
          <w:left w:w="28" w:type="dxa"/>
          <w:bottom w:w="28" w:type="dxa"/>
          <w:right w:w="28" w:type="dxa"/>
        </w:tblCellMar>
      </w:tblPr>
      <w:tblGrid>
        <w:gridCol w:w="1646"/>
        <w:gridCol w:w="1447"/>
        <w:gridCol w:w="1451"/>
        <w:gridCol w:w="256"/>
        <w:gridCol w:w="727"/>
        <w:gridCol w:w="142"/>
        <w:gridCol w:w="109"/>
        <w:gridCol w:w="109"/>
        <w:gridCol w:w="109"/>
        <w:gridCol w:w="253"/>
        <w:gridCol w:w="718"/>
        <w:gridCol w:w="199"/>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Recurring Capital Expenditures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Non-Recurring Capital Expenditure and Related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Lot Modifications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Growth Projects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Rebranding</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Capital improvements to recent acquisitions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Expansion and Development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Program</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Non-Recurring Capital Expenditure and Related Activities</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373.0 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 Capital Expenditure and Related Activities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564.7 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Recurring capital expenditures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recurring capital expenditures are necessary to maintain asset quality, including purchasing and replacing assets used to operate the communities and marinas. Recurring capital expenditures at our MH and RV properties include items such as: major road, driveway and pool improvements; clubhouse renovations; adding or replacing streetlights; playground equipment; signage; maintenance facilities; manager housing and property vehicles. Recurring capital expenditures at our marinas include items such as: dredging, dock repairs and improvements, and equipment maintenance and upgrades. The minimum capitalized amount is five hundred dollars.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Non-Recurring Capital Expenditures and Related Activities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Lot modifications</w:t>
      </w:r>
      <w:r>
        <w:rPr>
          <w:color w:val="000000"/>
        </w:rPr>
        <w:t xml:space="preserve"> </w:t>
      </w:r>
      <w:r>
        <w:rPr>
          <w:rFonts w:ascii="Times New Roman;sans-serif" w:hAnsi="Times New Roman;sans-serif"/>
          <w:b w:val="false"/>
          <w:color w:val="000000"/>
          <w:sz w:val="20"/>
        </w:rPr>
        <w:t>- lot modification capital expenditures are incurred to modify the foundational structures required to set a new home after a previous home has been 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Growth projects</w:t>
      </w:r>
      <w:r>
        <w:rPr>
          <w:color w:val="000000"/>
        </w:rPr>
        <w:t xml:space="preserve"> </w:t>
      </w:r>
      <w:r>
        <w:rPr>
          <w:rFonts w:ascii="Times New Roman;sans-serif" w:hAnsi="Times New Roman;sans-serif"/>
          <w:b w:val="false"/>
          <w:color w:val="000000"/>
          <w:sz w:val="20"/>
        </w:rPr>
        <w:t>- growth projects consist of revenue generating or expense reducing activities at MH, RV and marina properties. These include, but are not limited to, utility efficiency and renewable energy projects, site, slip or amenity upgrades such as the addition of a garage, shed or boat lift, and other special capital projects that substantiate an incremental rental increase.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Rebranding</w:t>
      </w:r>
      <w:r>
        <w:rPr>
          <w:color w:val="000000"/>
        </w:rPr>
        <w:t xml:space="preserve"> </w:t>
      </w:r>
      <w:r>
        <w:rPr>
          <w:rFonts w:ascii="Times New Roman;sans-serif" w:hAnsi="Times New Roman;sans-serif"/>
          <w:b w:val="false"/>
          <w:color w:val="000000"/>
          <w:sz w:val="20"/>
        </w:rPr>
        <w:t>- rebranding includes new signage at our RV communities and costs of building an RV mobile application and updated website.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Acquisitions -</w:t>
      </w:r>
      <w:r>
        <w:rPr>
          <w:color w:val="000000"/>
        </w:rPr>
        <w:t xml:space="preserve"> </w:t>
      </w:r>
      <w:r>
        <w:rPr>
          <w:rFonts w:ascii="Times New Roman;sans-serif" w:hAnsi="Times New Roman;sans-serif"/>
          <w:b w:val="false"/>
          <w:color w:val="000000"/>
          <w:sz w:val="20"/>
        </w:rPr>
        <w:t>Total acquisition investments represent the purchase price paid for operating properties and land parcels for future ground-up development and expansions activities, plus any capital improvements identified during due diligence needed to bring acquired properties up to the Company's operating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 improvements subsequent to acquisition often require 24 to 36 months to complete after closing and include upgrading clubhouses; landscaping; new street light systems; new mail delivery systems; pool renovations including larger decks, heaters and furniture; new maintenance facilities; lot modifications; and new signage including main signs and internal road signs.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Expansion and development expenditures</w:t>
      </w:r>
      <w:r>
        <w:rPr>
          <w:color w:val="000000"/>
        </w:rPr>
        <w:t xml:space="preserve"> </w:t>
      </w:r>
      <w:r>
        <w:rPr>
          <w:rFonts w:ascii="Times New Roman;sans-serif" w:hAnsi="Times New Roman;sans-serif"/>
          <w:b w:val="false"/>
          <w:color w:val="000000"/>
          <w:sz w:val="20"/>
        </w:rPr>
        <w:t>- consist primarily of construction costs such as roads, activities, and amenities, and costs necessary to complete home and RV site improvements, such as driveways, sidewalks and landscaping at our MH and RV communities. Expenditures also include costs to rebuild after damage has been incurred at MH, RV or marina properties, and research and development.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Rental program</w:t>
      </w:r>
      <w:r>
        <w:rPr>
          <w:color w:val="000000"/>
        </w:rPr>
        <w:t xml:space="preserve"> </w:t>
      </w:r>
      <w:r>
        <w:rPr>
          <w:rFonts w:ascii="Times New Roman;sans-serif" w:hAnsi="Times New Roman;sans-serif"/>
          <w:b w:val="false"/>
          <w:color w:val="000000"/>
          <w:sz w:val="20"/>
        </w:rPr>
        <w:t>- consists of investment in the acquisition of homes intended for the Rental Program and the purchase of vacation rental homes at our RV communities. Expenditures for these investments depend upon the condition of the markets for repossessions and new home sales, rental homes and vacation rental homes.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are summarized as follows (in millions):</w:t>
      </w:r>
    </w:p>
    <w:p>
      <w:pPr>
        <w:pStyle w:val="TextBody"/>
        <w:bidi w:val="0"/>
        <w:spacing w:before="0" w:after="0"/>
        <w:jc w:val="both"/>
        <w:rPr/>
      </w:pPr>
      <w:r>
        <w:rPr/>
      </w:r>
    </w:p>
    <w:tbl>
      <w:tblPr>
        <w:tblW w:w="8336" w:type="dxa"/>
        <w:jc w:val="left"/>
        <w:tblInd w:w="0" w:type="dxa"/>
        <w:tblLayout w:type="fixed"/>
        <w:tblCellMar>
          <w:top w:w="28" w:type="dxa"/>
          <w:left w:w="28" w:type="dxa"/>
          <w:bottom w:w="28" w:type="dxa"/>
          <w:right w:w="28" w:type="dxa"/>
        </w:tblCellMar>
      </w:tblPr>
      <w:tblGrid>
        <w:gridCol w:w="2072"/>
        <w:gridCol w:w="1818"/>
        <w:gridCol w:w="1825"/>
        <w:gridCol w:w="235"/>
        <w:gridCol w:w="759"/>
        <w:gridCol w:w="131"/>
        <w:gridCol w:w="109"/>
        <w:gridCol w:w="109"/>
        <w:gridCol w:w="109"/>
        <w:gridCol w:w="205"/>
        <w:gridCol w:w="803"/>
        <w:gridCol w:w="161"/>
      </w:tblGrid>
      <w:tr>
        <w:trPr/>
        <w:tc>
          <w:tcPr>
            <w:tcW w:w="207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Six Months Ended</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for Investing Activities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(581.8)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Financing Activities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2,056.9 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Cash Equivalents and Restricted Cash</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decreased by $21.7 million from $90.4 million as of December 31, 2022, to $68.7 million as of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Operating activities</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Net cash provided by operating activities decreased by $82.1 million to $449.9 million for the six months ended June 30, 2023, compared to $532.0 million for the six months ended June 30, 2022. The decrease in operating cash flow was primarily due to an increase in interest expense during the six months ended June 30, 2023 as compared to the corresponding period in 2022 due to the changing macroeconomic environment, partially offset by improved Same Property operating performance at our MH and RV communities and marinas.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net cash flows provided by operating activities from continuing operations may be adversely impacted by, among other things: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market and economic conditions in our current markets generally, and specifically in the metropolitan areas of our current markets;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lower occupancy and rental rates of our properties;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substantial increases in insurance premiums;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increases in other operating costs, such as wage and benefit costs, real estate taxes and utilities;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decreased sales of manufactured homes;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current volatility in economic conditions and the financial markets;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effects of outbreaks of disease and related restrictions on business operations. See "Risk Factors" in Part I, Item 1A of our 2022 Annual Report.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Investing activities</w:t>
      </w:r>
      <w:r>
        <w:rPr>
          <w:color w:val="000000"/>
        </w:rPr>
        <w:t xml:space="preserve"> </w:t>
      </w:r>
      <w:r>
        <w:rPr>
          <w:rFonts w:ascii="Times New Roman;sans-serif" w:hAnsi="Times New Roman;sans-serif"/>
          <w:b w:val="false"/>
          <w:color w:val="000000"/>
          <w:sz w:val="20"/>
        </w:rPr>
        <w:t>- Net cash used for investing activities decreased by $1.9 billion to $581.8 million for the six months ended June 30, 2023, compared to $2.5 billion for the six months ended June 30, 2022. The decrease in Net cash used for investing activities was primarily driven by a decrease in cash deployed to acquire properties during the six months ended June 30, 2023 as compared to the corresponding period in 2022. Refer to the Consolidated Statements of Cash Flows for detail on the net cash used for investing activities during the six months ended June 30, 2023 and 2022. Refer to Note 3, "Real Estate Acquisitions and Dispositions," and Note 4, "Notes and Other Receivables," in our accompanying Consolidated Financial Statements for additional information on acquisitions and issuance of notes and other receivables.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u w:val="single"/>
        </w:rPr>
        <w:t>Financing activities</w:t>
      </w:r>
      <w:r>
        <w:rPr>
          <w:color w:val="000000"/>
        </w:rPr>
        <w:t xml:space="preserve"> </w:t>
      </w:r>
      <w:r>
        <w:rPr>
          <w:rFonts w:ascii="Times New Roman;sans-serif" w:hAnsi="Times New Roman;sans-serif"/>
          <w:b w:val="false"/>
          <w:color w:val="000000"/>
          <w:sz w:val="20"/>
        </w:rPr>
        <w:t>- Net cash provided by financing activities decreased by $1.9 billion to $109.4 million for the six months ended June 30, 2023, compared to $2.1 billion for the six months ended June 30, 2022. The decrease in Net cash provided by financing activities was primarily driven by a decrease in borrowings on our Senior Credit Facility, net of repayments, and a decrease in issuance of common stock, OP units and preferred OP units, net, during the six months ended June 30, 2023 as compared to the corresponding period in 2022. Refer to the Consolidated Statements of Cash Flows for detail on the net cash provided by financing activities during the six months ended June 30, 2023 and 2022. Refer to Note 8, "Debt and Line of Credit," and Note 9, "Equity and Temporary Equity,"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interest rate variability associated with our outstanding floating rate debt and any maturing debt that has to be refinanced. Interest rate movements impact our borrowing costs and, while as of June 30, 2023, over 82% of our total debt was fixed rate financing, including the impact of hedge activity, increases in interest costs are likely to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and Debt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Equity Offerings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we entered into the November 2021 Forward Sale Agreements in connection with an underwritten registered public offering of 4,025,000 shares of our common stock at a public offering price of $185.00 per share. In April 2022, we completed the physical settlement of the 4,025,000 shares of common stock and received aggregate net proceeds of $705.4 million. We used the net proceeds to repay borrowings outstanding under our Senior Credit Facility, and for working capital and general corporate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an At the Market Offering Sales Agreement (the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prior sales agreement upon entering into the Sales Agreement. Through June 30, 2023, we had entered into forward sales agreements under our Sales Agreement for an aggregate gross sales price of $160.6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entered into forward sale agreements with respect to 15,000 shares of common stock under our Sales Agreement for $2.6 million. Additionally, we settled all of our outstanding forward sale agreements with respect to 1,526,212 shares of common stock which includes 620,109; 600,503; 290,600; and 15,000 shares of common stock from the three months ended December 31, 2021, March 31, June 30 and September 30, 2022 forward sale agreements, respectively. The net proceeds of $275.5 million from the settlement of these forward sale agreements were used to repay borrowings outstanding under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we completed the physical settlement of 1,200,000 shares of common stock under our prior at the market offering program and received net proceeds of $229.5 million. Additionally, we entered into forward sales agreements with respect 290,600 shares of common stock for $50.1 million, under our Sales Agreement. These forward sale agreements were settled during the three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we entered into forward sales agreements with respect to 600,503 shares of common stock for $107.9 million, under our Sales Agreement. These forward sale agreements were settled during the three months ended September 30,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entered into forward sale agreements with respect to 1,820,109 shares of common stock under our prior at the market offering program for $356.5 million. We completed the physical settlement of 1,200,000 and 620,109 shares of common stock during the three months ended June 30, 2022 and September 30,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entered into mortgage term loans totaling $184.1 million related to 27 properties which mature from February 13, 2026 to April 1, 2033, and have a weighted average fixed interest rate of 5.39%. We used the net proceeds to repay borrowings outstanding under our Senior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entered into a new $20.6 million construction loan, which was undrawn as of June 30, 2023 and a $3.4 million mortgage term loan that are jointly secured by one property. Both loans mature on August 10, 2047 and have a fixed interest rate of 3.65%. Additionally, we entered into a mortgage term loan of $226.0 million related to 18 existing encumbered properties which mature between June 15, 2026, and December 15, 2029, and have a fixed interest rate of 4.5%.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2022, we repaid $318.0 million of term loans collateralized by 35 properties. These loans had a weighted average interest rate of 4.81% and were set to mature from December 6, 2022 through September 6,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outstanding senior unsecured notes (in millions). All senior unsecured notes include interest payments on a semi-annual basis in arrears.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69"/>
        <w:gridCol w:w="1640"/>
        <w:gridCol w:w="1657"/>
        <w:gridCol w:w="109"/>
        <w:gridCol w:w="109"/>
        <w:gridCol w:w="109"/>
        <w:gridCol w:w="273"/>
        <w:gridCol w:w="965"/>
        <w:gridCol w:w="151"/>
        <w:gridCol w:w="109"/>
        <w:gridCol w:w="109"/>
        <w:gridCol w:w="109"/>
        <w:gridCol w:w="220"/>
        <w:gridCol w:w="780"/>
        <w:gridCol w:w="122"/>
        <w:gridCol w:w="109"/>
        <w:gridCol w:w="109"/>
        <w:gridCol w:w="109"/>
        <w:gridCol w:w="290"/>
        <w:gridCol w:w="1023"/>
        <w:gridCol w:w="234"/>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Carrying Amount</w:t>
            </w:r>
          </w:p>
        </w:tc>
      </w:tr>
      <w:tr>
        <w:trPr/>
        <w:tc>
          <w:tcPr>
            <w:tcW w:w="5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December 31, 2022</w:t>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7"/>
              </w:rPr>
              <w:t>5.7% notes, issued in January 2023 and due in January 2033</w:t>
            </w:r>
            <w:r>
              <w:rPr>
                <w:rFonts w:ascii="Times New Roman;sans-serif" w:hAnsi="Times New Roman;sans-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N/A</w:t>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4.2% notes, issued in April 2022 and due in April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2.3% notes, issued in October 2021 and due in November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446.2 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2.7% notes, issued in June 2021 and October 2021, and due in July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2,176.2 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In January 2023, the Operating Partnership issued $400.0 million of senior unsecured notes with an interest rate of 5.7% and a 10-year term, due January 15, 2033 (the "2033 Notes"). Interest on the notes is payable semi-annually in arrears on January 15 and July 15 of each year, beginning on July 15, 2023. The net proceeds from the offering were $395.3 million, after deducting underwriters' discounts and estimated offering expenses. We used the net proceeds from the offering to repay borrowings outstanding under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Line of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2022, the Operating Partnership as borrower, SUI as guarantor, and certain lenders entered into the Credit Facility Amendment, which amended our Senior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Amendment increased the aggregate amount of our Senior Credit Facility to $4.2 billion with the ability to upsize the total borrowings by an additional $800.0 million, subject to certain conditions. The increased aggregate amount under the Senior Credit Facility consists of the following: (a) a revolving loan in an amount up to $3.05 billion and (b) a term loan facility of $1.15 billion, with the ability to draw funds from the combined facilities in U.S. dollars, Pound sterling, Euros, Canadian dollars and Australian dollars, subject to certain limitations. The Credit Facility Amendment extended the maturity date of the revolving loan facility to April 7, 2026. At our option that maturity date may be extended two additional six-month periods. In addition, the Credit Facility Amendment established the maturity date of the term loan facility under the Credit Facility Amendment as April 7, 2025, which may not be further extended.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Credit Facility Amendment, the Senior Credit Facility permitted aggregate borrowings of up to $2.0 billion, with an accordion feature that allowed for additional commitments of up to $1.0 billion, subject to the satisfaction of certain conditions. Prior to the amendment, $500.0 million of available borrowings under the Senior Credit Facility were scheduled to mature on October 11, 2024, with the remainder scheduled to mature on June 14,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bears interest at a floating rate based on the Adjusted Term SOFR, the Adjusted Eurocurrency Rate, the Daily RFR, the Australian BBSY, the Daily SONIA Rate or the Canadian Dollar Offered Rate, as applicable, plus a margin, in all cases, which can range from 0.725% to 1.6%, subject to certain adjustments. As of June 30, 2023, the margins based on our credit ratings were 0.85% on the revolving loan facility and 0.95% on the term loan facility. During the six months ended June 30, 2023 and year ended December 31, 2022, we achieved sustainability related requirements resulting in a favorable 0.04% and 0.01% adjustments, respectively, to both margins.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lenders' option, the Senior Credit Facility will become immediately due and payable upon an event of default under the Credit Facility Amendment. We had $884.8 million and $1.1 billion of borrowings outstanding under the revolving loan as of June 30, 2023 and December 31, 2022, respectively. We also had $1.1 billion of borrowings outstanding under the term loan on the Senior Credit Facility as of June 30, 2023 and December 31, 2022, respectively. These balances are recorded in Unsecured debt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provides us with the ability to issue letters of credit. Our issuance of letters of credit does not increase our borrowings outstanding under the Senior Credit Facility, but does reduce the borrowing amount available. We had $16.7 million and $2.6 million of outstanding letters of credit at June 30,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Covenants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Senior Credit Facility, we are subject to various financial and other covenants. The most restrictive financial covenants for the Senior Credit Facility are as follows:</w:t>
      </w:r>
    </w:p>
    <w:p>
      <w:pPr>
        <w:pStyle w:val="TextBody"/>
        <w:bidi w:val="0"/>
        <w:spacing w:before="0" w:after="0"/>
        <w:jc w:val="both"/>
        <w:rPr/>
      </w:pPr>
      <w:r>
        <w:rPr/>
      </w:r>
    </w:p>
    <w:tbl>
      <w:tblPr>
        <w:tblW w:w="6040" w:type="dxa"/>
        <w:jc w:val="left"/>
        <w:tblInd w:w="0" w:type="dxa"/>
        <w:tblLayout w:type="fixed"/>
        <w:tblCellMar>
          <w:top w:w="28" w:type="dxa"/>
          <w:left w:w="28" w:type="dxa"/>
          <w:bottom w:w="28" w:type="dxa"/>
          <w:right w:w="28" w:type="dxa"/>
        </w:tblCellMar>
      </w:tblPr>
      <w:tblGrid>
        <w:gridCol w:w="997"/>
        <w:gridCol w:w="877"/>
        <w:gridCol w:w="886"/>
        <w:gridCol w:w="109"/>
        <w:gridCol w:w="109"/>
        <w:gridCol w:w="109"/>
        <w:gridCol w:w="345"/>
        <w:gridCol w:w="345"/>
        <w:gridCol w:w="346"/>
        <w:gridCol w:w="109"/>
        <w:gridCol w:w="109"/>
        <w:gridCol w:w="109"/>
        <w:gridCol w:w="465"/>
        <w:gridCol w:w="465"/>
        <w:gridCol w:w="660"/>
      </w:tblGrid>
      <w:tr>
        <w:trP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June 30, 2023</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34.4%</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3.44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12.8%</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the following covenants with respect to the senior unsecured notes payable:</w:t>
      </w:r>
    </w:p>
    <w:p>
      <w:pPr>
        <w:pStyle w:val="TextBody"/>
        <w:bidi w:val="0"/>
        <w:spacing w:before="0" w:after="0"/>
        <w:jc w:val="both"/>
        <w:rPr/>
      </w:pPr>
      <w:r>
        <w:rPr/>
      </w:r>
    </w:p>
    <w:tbl>
      <w:tblPr>
        <w:tblW w:w="7689"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465"/>
        <w:gridCol w:w="465"/>
        <w:gridCol w:w="660"/>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As of June 30, 2023</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41.0%</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18.1%</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4.12</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337.2%</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were in compliance with the above covenants and do not anticipate that we will be unable to meet these covenants in the near term.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Bridge Loan 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terminated our commitment letter with Citigroup, pursuant to which, Citigroup (on behalf of its affiliates), previously committed to lend us up to £950.0 million in Pound sterling, or approximately $1.2 billion converted at the March 31, 2022 exchange rate (the "Bridge Loan"). As of the date of termination, we did not have any borrowings outstanding under the Bridge Loan.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or on outstanding floating rate debt. We do not enter into derivative instruments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entered into one interest rate swap contract to hedge variable rate borrowings of £100.0 million (equivalent to $126.6 million as of June 30, 2023). The interest rate swap locked in a total fixed rate, inclusive of spread, of 4.81% through the maturity date of April 7, 2025. We also entered into one forward starting interest rate swap contract with an aggregate notional value of $50.0 million to hedge interest rate risk associated with a potential future debt offering.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in connection with the 2033 Notes issuance, we settled two $100.0 million 10-year treasury rate lock contracts and one $50.0 million forward swap totaling $250.0 million and received a net settlement payment of $7.4 million. This lowered the effective interest rate on the 2033 Notes from 5.7% to 5.5%. As of the settlement date, the net accumulated gain included in AOCI is being reclassified into earnings as a reduction to Interest expense on a straight-line basis over the 10-year term of the hedged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 and 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Long-term Financing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unrestricted cash on hand of $49.0 million, $2.1 billion of remaining capacity on the Senior Credit Facility, and a total of 517 unencumbered MH, RV and marina properties.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indebtedness as maturities become due. See "Risk Factors" in Part I, Item 1A of our 2022 Annual Report. If we are unable to obtain additional debt or equity financing on acceptable terms, our business, results of operations and financial condition would be adversely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our net debt to enterprise value was 30.9% (assuming conversion of all common OP units, Series A-1 preferred OP units, Series A-3 preferred OP units, Series C preferred OP units, Series D preferred OP units, Series E preferred OP units, Series F preferred OP units, Series G preferred OP units, Series H preferred OP units, Series J preferred OP units and Series K preferred OP units to shares of common stock). Our debt has a weighted average interest rate of 4.02% and a weighted average years to maturity of 7.1.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nonconsolidated affiliates, which are accounted for under the equity-method of accounting, have incurred indebtedness.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GTSC</w:t>
      </w:r>
      <w:r>
        <w:rPr>
          <w:color w:val="000000"/>
        </w:rPr>
        <w:t xml:space="preserve"> </w:t>
      </w:r>
      <w:r>
        <w:rPr>
          <w:rFonts w:ascii="Times New Roman;sans-serif" w:hAnsi="Times New Roman;sans-serif"/>
          <w:b w:val="false"/>
          <w:color w:val="000000"/>
          <w:sz w:val="20"/>
        </w:rPr>
        <w:t>- During September 2019, GTSC entered into a warehouse line of credit with a maximum loan amount of $125.0 million. The line of credit was subsequently amended, with the maximum amount increased to $325.0 million as of December 31, 2022, with an option to increase to $375.0 million subject to the lender's consent. As of June 30, 2023 and December 31, 2022, the aggregate carrying amount of debt, including both our and our partner's share, incurred by GTSC was $293.1 million (of which our proportionate share is $117.2 million), and $275.0 million (of which our proportionate share is $110.0 million), respectively. The debt bears interest at a variable rate based on a Commercial Paper or adjusted SOFR plus a margin ranging from 1.65% to 2.5% per annum and matures on December 15,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pPr>
      <w:r>
        <w:rPr>
          <w:rFonts w:ascii="Times New Roman;sans-serif" w:hAnsi="Times New Roman;sans-serif"/>
          <w:b w:val="false"/>
          <w:i/>
          <w:color w:val="000000"/>
          <w:sz w:val="20"/>
        </w:rPr>
        <w:t>Sungenia JV</w:t>
      </w:r>
      <w:r>
        <w:rPr>
          <w:color w:val="000000"/>
        </w:rPr>
        <w:t xml:space="preserve"> </w:t>
      </w:r>
      <w:r>
        <w:rPr>
          <w:rFonts w:ascii="Times New Roman;sans-serif" w:hAnsi="Times New Roman;sans-serif"/>
          <w:b w:val="false"/>
          <w:color w:val="000000"/>
          <w:sz w:val="20"/>
        </w:rPr>
        <w:t>- During May 2020, Sungenia JV, entered into a debt facility agreement with a maximum loan amount of $27.0 million Australian dollars, or $17.9 million converted at the June 30, 2023 exchange rate. During July 2022, the maximum amount was increased to $50.0 million Australian dollars, or $33.2 million converted at the June 30, 2023 exchange rate. As of June 30, 2023 and December 31, 2022, the aggregate carrying amount of the debt, including both our and our partners' share, incurred by Sungenia JV was $23.2 million (of which our proportionate share is approximately $11.6 million), and $7.9 million (of which our proportionate share is $4.0 million), respectively. The debt bears interest at a variable rate based on the BBSY rate plus a margin ranging from 1.35% to 1.4%, subject to adjustment for additional future commitments, per annum and matures on June 30,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document, some of which are beyond our control. These risks and uncertainties and other factors may cause our actual results to be materially different from any future results expressed or implied by such forward-looking statements. In addition to the risks disclosed under "Risk Factors" in our 2022 Annual Report, and in our other filings with the SEC, from time to time, such risks, uncertainties and other factors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7"/>
        <w:gridCol w:w="2866"/>
        <w:gridCol w:w="40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general economic conditions, including inflation, deflation and energy costs, the real estate industry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Difficulties in our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exchange rates, including between the U.S. dollar and each of the Canadian dollar, Australian dollar and Pound sterling;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in interest rates and operating costs, including insurance premiums and real estate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Risks related to natural disasters such as hurricanes, earthquakes, floods, droughts and wildfires;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volatility of the capital markets and the market price of shares of our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judgments or settlements;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purchasers of manufactured homes and boats to obtain financing;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level of repossessions by manufactured home and boat lenders.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exposure to loss resulting from changes in market factors such as interest rates, foreign currency exchange rates, commodity prices and equity prices.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rate debt totaled $1.4 billion and $1.7 billion as of June 30, 2023 and 2022, respectively, after adjusting for the impact of hedging in place through the use of interest rate swaps. As of June 30, 2023 and 2022, our variable debt bore interest at the Adjusted Term SOFR, the Adjusted Eurocurrency Rate, the Daily RFR, the Australian BBSY rate, the Daily SONIA Rate or the Canadian Dollar Offered Rate, and the Eurodollar rate or Prime rate plus a margin. If the above rate increased or decreased by 1.0%, our interest expense would have increased or decreased by $6.9 million and $6.8 million for the six months ended June 30, 2023 and 2022, respectively, based on the $1.4 billion average balance outstanding under our variable rate debt facilities for the six months ended June 30, 2023 and 2022, respectively. Our variable rate debt, interest expense and average balance outstanding under our variable rate debt facility includes the impact of hedge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UK and Canada, and our equity investment and joint venture in Australia, into U.S. dollars. Fluctuations in foreign currency exchange rates can therefore create volatility in our results of operations and may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our shareholder's equity included $900.4 million and $1.2 billion from our investments and operations in the UK, Canada and Australia which collectively represented 11.6% and 14.9% of total shareholder's equity, respectively. Based on our sensitivity analysis, a 10.0% strengthening of the U.S. dollar against the Pound sterling, Canadian dollar and Australian dollar would have caused a reduction of $90.0 million and $117.9 million to our total shareholder's equity at June 30, 2023 and December 31, 2022,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CEO and CFO, evaluated the effectiveness of our disclosure controls and procedures (pursuant to Rules 13a-15(e) or 15d-15(e) of the Exchange Act) at June 30, 2023. Based upon this evaluation, our CEO and CFO concluded that our disclosure controls and procedures were effective as of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Arising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"Legal Proceedings" in Part 1 - Item 1 - Note 16, "Commitments and Contingencies," in our accompanying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risk factors described in Part 1, Item 1A., "Risk Factors," in our 2022 Annual Report, which could materially affect our business, financial condition or future results. There have been no material changes to the disclosure on these matters as set forth in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OP units have converted the following units during the three months ended June 30, 2023:</w:t>
      </w:r>
    </w:p>
    <w:p>
      <w:pPr>
        <w:pStyle w:val="TextBody"/>
        <w:bidi w:val="0"/>
        <w:spacing w:before="0" w:after="0"/>
        <w:jc w:val="left"/>
        <w:rPr/>
      </w:pPr>
      <w:r>
        <w:rPr/>
      </w:r>
    </w:p>
    <w:tbl>
      <w:tblPr>
        <w:tblW w:w="7941"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39"/>
        <w:gridCol w:w="439"/>
        <w:gridCol w:w="441"/>
        <w:gridCol w:w="109"/>
        <w:gridCol w:w="109"/>
        <w:gridCol w:w="109"/>
        <w:gridCol w:w="634"/>
        <w:gridCol w:w="634"/>
        <w:gridCol w:w="636"/>
        <w:gridCol w:w="175"/>
        <w:gridCol w:w="175"/>
        <w:gridCol w:w="175"/>
        <w:gridCol w:w="403"/>
        <w:gridCol w:w="403"/>
        <w:gridCol w:w="573"/>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June 30, 2023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Units / Shares Converted</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7"/>
              </w:rPr>
              <w:t>Common Stock</w:t>
            </w:r>
            <w:r>
              <w:rPr>
                <w:rFonts w:ascii="Times New Roman;sans-serif" w:hAnsi="Times New Roman;sans-serif"/>
                <w:b w:val="false"/>
                <w:color w:val="000000"/>
                <w:sz w:val="11"/>
              </w:rPr>
              <w:t>(1)</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702 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2.4390 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221 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0.6452 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11,289 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0.6098 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0.6061 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606 </w:t>
            </w:r>
          </w:p>
        </w:tc>
        <w:tc>
          <w:tcPr>
            <w:tcW w:w="5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common stock repurchases during the three months ended June 30,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3"/>
        <w:gridCol w:w="328"/>
        <w:gridCol w:w="331"/>
        <w:gridCol w:w="109"/>
        <w:gridCol w:w="109"/>
        <w:gridCol w:w="109"/>
        <w:gridCol w:w="430"/>
        <w:gridCol w:w="430"/>
        <w:gridCol w:w="432"/>
        <w:gridCol w:w="109"/>
        <w:gridCol w:w="109"/>
        <w:gridCol w:w="109"/>
        <w:gridCol w:w="263"/>
        <w:gridCol w:w="869"/>
        <w:gridCol w:w="146"/>
        <w:gridCol w:w="109"/>
        <w:gridCol w:w="109"/>
        <w:gridCol w:w="109"/>
        <w:gridCol w:w="754"/>
        <w:gridCol w:w="754"/>
        <w:gridCol w:w="756"/>
        <w:gridCol w:w="109"/>
        <w:gridCol w:w="109"/>
        <w:gridCol w:w="109"/>
        <w:gridCol w:w="783"/>
        <w:gridCol w:w="1622"/>
        <w:gridCol w:w="626"/>
      </w:tblGrid>
      <w:tr>
        <w:trPr/>
        <w:tc>
          <w:tcPr>
            <w:tcW w:w="3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Maximum number (or approximate dollar value) of shares that may yet be purchased under the plans or programs</w:t>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w:t>
            </w:r>
          </w:p>
        </w:tc>
      </w:tr>
      <w:tr>
        <w:trPr/>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April 1, 2023 - April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7,628 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139.32 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May 1, 2023 -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372 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8,000 </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138.83 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withheld 8,000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2"/>
        <w:gridCol w:w="274"/>
        <w:gridCol w:w="276"/>
        <w:gridCol w:w="1769"/>
        <w:gridCol w:w="1669"/>
        <w:gridCol w:w="1684"/>
        <w:gridCol w:w="1291"/>
        <w:gridCol w:w="1291"/>
        <w:gridCol w:w="163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512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42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Method of Filing</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Sun Communities, Inc. Articles of Restatement</w:t>
              </w:r>
            </w:hyperlink>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Annual Report on Form 10-K filed on February 22, 2018</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Fourth Amended and Restated Bylaws</w:t>
              </w:r>
            </w:hyperlink>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February 21, 2023</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ans-serif" w:hAnsi="Times New Roman;sans-serif"/>
                  <w:b w:val="false"/>
                  <w:color w:val="000080"/>
                  <w:sz w:val="20"/>
                  <w:u w:val="single"/>
                </w:rPr>
                <w:t>Sun Communities, Inc. Articles of Amendment</w:t>
              </w:r>
            </w:hyperlink>
            <w:hyperlink r:id="rId6">
              <w:r>
                <w:rPr>
                  <w:rStyle w:val="InternetLink"/>
                  <w:rFonts w:ascii="Times New Roman;sans-serif" w:hAnsi="Times New Roman;sans-serif"/>
                  <w:b w:val="false"/>
                  <w:color w:val="000080"/>
                  <w:sz w:val="20"/>
                  <w:u w:val="single"/>
                </w:rPr>
                <w:t xml:space="preserve"> effective May 18, 2023</w:t>
              </w:r>
            </w:hyperlink>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to Sun Communities, Inc.’s Current Report on Form 8-K filed on May 19, 2023</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21-2023630listofis.htm">
              <w:r>
                <w:rPr>
                  <w:rStyle w:val="InternetLink"/>
                  <w:rFonts w:ascii="Times New Roman;sans-serif" w:hAnsi="Times New Roman;sans-serif"/>
                  <w:b w:val="false"/>
                  <w:color w:val="0000FF"/>
                  <w:sz w:val="20"/>
                  <w:u w:val="single"/>
                </w:rPr>
                <w:t>List of issuers of guaranteed securities</w:t>
              </w:r>
            </w:hyperlink>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2023630ceocerti.htm">
              <w:r>
                <w:rPr>
                  <w:rStyle w:val="InternetLink"/>
                  <w:rFonts w:ascii="Times New Roman;sans-serif" w:hAnsi="Times New Roman;sans-serif"/>
                  <w:b w:val="false"/>
                  <w:color w:val="0000FF"/>
                  <w:sz w:val="20"/>
                  <w:u w:val="single"/>
                </w:rPr>
                <w:t>Certification of Chief Executive Officer pursuant to Securities Exchange Act Rules 13a-14(a)/15(d)-14(a), as adopted pursuant to Section 302 of the Sarbanes-Oxley Act of 2002.</w:t>
              </w:r>
            </w:hyperlink>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2023630cfocerti.htm">
              <w:r>
                <w:rPr>
                  <w:rStyle w:val="InternetLink"/>
                  <w:rFonts w:ascii="Times New Roman;sans-serif" w:hAnsi="Times New Roman;sans-serif"/>
                  <w:b w:val="false"/>
                  <w:color w:val="0000FF"/>
                  <w:sz w:val="20"/>
                  <w:u w:val="single"/>
                </w:rPr>
                <w:t>Certification of Chief Financial Officer pursuant to Securities Exchange Act Rules 13a-14(a)/15(d)-14(a), as adopted pursuant to Section 302 of the Sarbanes-Oxley Act of 2002.</w:t>
              </w:r>
            </w:hyperlink>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w:anchor="exhibit321-2023630ceoandcf.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12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4221"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12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4221"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862"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122"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4221"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have been omitted pursuance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tc>
      </w:tr>
      <w:tr>
        <w:trPr/>
        <w:tc>
          <w:tcPr>
            <w:tcW w:w="862" w:type="dxa"/>
            <w:gridSpan w:val="3"/>
            <w:tcBorders/>
            <w:vAlign w:val="center"/>
          </w:tcPr>
          <w:p>
            <w:pPr>
              <w:pStyle w:val="TableContents"/>
              <w:bidi w:val="0"/>
              <w:spacing w:before="0" w:after="283"/>
              <w:jc w:val="left"/>
              <w:rPr>
                <w:sz w:val="4"/>
                <w:szCs w:val="4"/>
              </w:rPr>
            </w:pPr>
            <w:r>
              <w:rPr>
                <w:sz w:val="4"/>
                <w:szCs w:val="4"/>
              </w:rPr>
            </w:r>
          </w:p>
        </w:tc>
        <w:tc>
          <w:tcPr>
            <w:tcW w:w="9343"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SUN COMMUNITIES,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35"/>
        <w:gridCol w:w="470"/>
        <w:gridCol w:w="475"/>
        <w:gridCol w:w="128"/>
        <w:gridCol w:w="128"/>
        <w:gridCol w:w="130"/>
        <w:gridCol w:w="2442"/>
        <w:gridCol w:w="2442"/>
        <w:gridCol w:w="3455"/>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3455"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July 27, 2023</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Treasurer and Secretary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List of Issuers of Guaranteed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27, 2023, the debt instruments indicated below are fully and unconditionally guaranteed by Sun Communities, Inc.</w:t>
      </w:r>
    </w:p>
    <w:p>
      <w:pPr>
        <w:pStyle w:val="TextBody"/>
        <w:bidi w:val="0"/>
        <w:spacing w:before="0" w:after="0"/>
        <w:jc w:val="left"/>
        <w:rPr/>
      </w:pPr>
      <w:r>
        <w:rPr/>
      </w:r>
    </w:p>
    <w:tbl>
      <w:tblPr>
        <w:tblW w:w="971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 Senior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 Senior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Michigan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Gary A. Shiffman,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695" w:type="dxa"/>
        <w:jc w:val="center"/>
        <w:tblInd w:w="0" w:type="dxa"/>
        <w:tblLayout w:type="fixed"/>
        <w:tblCellMar>
          <w:top w:w="28" w:type="dxa"/>
          <w:left w:w="28" w:type="dxa"/>
          <w:bottom w:w="28" w:type="dxa"/>
          <w:right w:w="28" w:type="dxa"/>
        </w:tblCellMar>
      </w:tblPr>
      <w:tblGrid>
        <w:gridCol w:w="656"/>
        <w:gridCol w:w="576"/>
        <w:gridCol w:w="582"/>
        <w:gridCol w:w="109"/>
        <w:gridCol w:w="109"/>
        <w:gridCol w:w="109"/>
        <w:gridCol w:w="1039"/>
        <w:gridCol w:w="1039"/>
        <w:gridCol w:w="147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July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Fernando Castro-Caratini,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5968" w:type="dxa"/>
        <w:jc w:val="left"/>
        <w:tblInd w:w="0" w:type="dxa"/>
        <w:tblLayout w:type="fixed"/>
        <w:tblCellMar>
          <w:top w:w="28" w:type="dxa"/>
          <w:left w:w="28" w:type="dxa"/>
          <w:bottom w:w="28" w:type="dxa"/>
          <w:right w:w="28" w:type="dxa"/>
        </w:tblCellMar>
      </w:tblPr>
      <w:tblGrid>
        <w:gridCol w:w="656"/>
        <w:gridCol w:w="576"/>
        <w:gridCol w:w="582"/>
        <w:gridCol w:w="1217"/>
        <w:gridCol w:w="1217"/>
        <w:gridCol w:w="172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July 27, 2023</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(Adopted Under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officers, Gary A. Shiffman and Fernando Castro-Caratini, hereby certify that to the best of their knowledge: (a) this Quarterly Report on Form 10-Q of Sun Communities, Inc., for the period ended June 30, 2023,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bidi w:val="0"/>
        <w:spacing w:before="0" w:after="0"/>
        <w:jc w:val="both"/>
        <w:rPr/>
      </w:pPr>
      <w:r>
        <w:rPr/>
      </w:r>
    </w:p>
    <w:tbl>
      <w:tblPr>
        <w:tblW w:w="5384" w:type="dxa"/>
        <w:jc w:val="left"/>
        <w:tblInd w:w="0" w:type="dxa"/>
        <w:tblLayout w:type="fixed"/>
        <w:tblCellMar>
          <w:top w:w="28" w:type="dxa"/>
          <w:left w:w="28" w:type="dxa"/>
          <w:bottom w:w="28" w:type="dxa"/>
          <w:right w:w="28" w:type="dxa"/>
        </w:tblCellMar>
      </w:tblPr>
      <w:tblGrid>
        <w:gridCol w:w="1491"/>
        <w:gridCol w:w="1312"/>
        <w:gridCol w:w="1321"/>
        <w:gridCol w:w="368"/>
        <w:gridCol w:w="368"/>
        <w:gridCol w:w="524"/>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Gary A. Shiffman</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Gary A. Shiffman, Chief Executive Officer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Fernando Castro-Caratini</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Fernando Castro-Caratini, Chief Financial Officer</w:t>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12593/000091259318000049/exhibit31-suncommunitiesin.htm" TargetMode="External"/><Relationship Id="rId4" Type="http://schemas.openxmlformats.org/officeDocument/2006/relationships/hyperlink" Target="https://www.sec.gov/Archives/edgar/data/912593/000091259323000066/suncommunitiesinc-fourtham.htm" TargetMode="External"/><Relationship Id="rId5" Type="http://schemas.openxmlformats.org/officeDocument/2006/relationships/hyperlink" Target="https://www.sec.gov/Archives/edgar/data/912593/000091259323000182/articlesofamendment-increa.htm" TargetMode="External"/><Relationship Id="rId6" Type="http://schemas.openxmlformats.org/officeDocument/2006/relationships/hyperlink" Target="https://www.sec.gov/Archives/edgar/data/912593/000091259323000182/articlesofamendment-incre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34366</Words>
  <Characters>182646</Characters>
  <CharactersWithSpaces>213438</CharactersWithSpaces>
  <Paragraphs>6903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