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SUN COMMUNITIES,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Dodge &amp; Cox</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9,095,325.00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9,500,781.00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9,500,781.00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0"/>
        <w:gridCol w:w="8950"/>
        <w:gridCol w:w="155"/>
      </w:tblGrid>
      <w:tr>
        <w:trPr/>
        <w:tc>
          <w:tcPr>
            <w:tcW w:w="1100" w:type="dxa"/>
            <w:tcBorders/>
            <w:vAlign w:val="center"/>
          </w:tcPr>
          <w:p>
            <w:pPr>
              <w:pStyle w:val="TableContents"/>
              <w:bidi w:val="0"/>
              <w:spacing w:before="0" w:after="283"/>
              <w:jc w:val="left"/>
              <w:rPr/>
            </w:pPr>
            <w:r>
              <w:rPr/>
              <w:t>Item 1.</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issuer: </w:t>
            </w:r>
          </w:p>
          <w:p>
            <w:pPr>
              <w:pStyle w:val="TableContents"/>
              <w:bidi w:val="0"/>
              <w:spacing w:before="0" w:after="0"/>
              <w:jc w:val="left"/>
              <w:rPr/>
            </w:pPr>
            <w:r>
              <w:rPr/>
              <w:t>SUN COMMUNITIES, INC</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27777 Franklin Rd, Suite 300, Southfield, Michigan 48034</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2.</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Dodge &amp; Cox</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555 California Street 40th Floor, San Francisco, CA 94104</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jc w:val="left"/>
              <w:rPr/>
            </w:pPr>
            <w:r>
              <w:rPr/>
              <w:t xml:space="preserve">Citizenship: </w:t>
            </w:r>
          </w:p>
          <w:p>
            <w:pPr>
              <w:pStyle w:val="TableContents"/>
              <w:bidi w:val="0"/>
              <w:spacing w:before="0" w:after="0"/>
              <w:jc w:val="left"/>
              <w:rPr/>
            </w:pPr>
            <w:r>
              <w:rPr/>
              <w:t>California, USA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3.</w:t>
            </w:r>
          </w:p>
        </w:tc>
        <w:tc>
          <w:tcPr>
            <w:tcW w:w="895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(f)</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(g)</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(h)</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(j)</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(k)</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9105" w:type="dxa"/>
            <w:gridSpan w:val="2"/>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4.</w:t>
            </w:r>
          </w:p>
        </w:tc>
        <w:tc>
          <w:tcPr>
            <w:tcW w:w="895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9,500,781</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9,095,325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9,500,781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5.</w:t>
            </w:r>
          </w:p>
        </w:tc>
        <w:tc>
          <w:tcPr>
            <w:tcW w:w="895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6.</w:t>
            </w:r>
          </w:p>
        </w:tc>
        <w:tc>
          <w:tcPr>
            <w:tcW w:w="895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clients of Dodge &amp; Cox, including investment companies registered under the Investment Company Act of 1940 and other managed accounts, have the right to receive or power to direct the receipt of dividends from, and the proceeds from the sale of, SUN COMMUNITIES, INC. Dodge &amp; Cox Stock Fund, an investment company registered under the Investment Company Act of 1940, has an interest of 6,736,000 or 5.5%, of the class of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7.</w:t>
            </w:r>
          </w:p>
        </w:tc>
        <w:tc>
          <w:tcPr>
            <w:tcW w:w="895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8.</w:t>
            </w:r>
          </w:p>
        </w:tc>
        <w:tc>
          <w:tcPr>
            <w:tcW w:w="895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9.</w:t>
            </w:r>
          </w:p>
        </w:tc>
        <w:tc>
          <w:tcPr>
            <w:tcW w:w="895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Dodge &amp; Cox</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Katherine M. Primas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889</Words>
  <Characters>4520</Characters>
  <CharactersWithSpaces>5399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