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76" w:lineRule="exact"/>
        <w:rPr>
          <w:sz w:val="24"/>
          <w:szCs w:val="24"/>
          <w:color w:val="auto"/>
        </w:rPr>
      </w:pPr>
    </w:p>
    <w:p>
      <w:pPr>
        <w:jc w:val="center"/>
        <w:ind w:left="3660" w:right="920" w:hanging="2729"/>
        <w:spacing w:after="0" w:line="282" w:lineRule="auto"/>
        <w:tabs>
          <w:tab w:leader="none" w:pos="114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jc w:val="center"/>
        <w:ind w:left="3780" w:right="920" w:hanging="2856"/>
        <w:spacing w:after="0" w:line="273" w:lineRule="auto"/>
        <w:tabs>
          <w:tab w:leader="none" w:pos="113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8"/>
          <w:szCs w:val="18"/>
          <w:color w:val="auto"/>
        </w:rPr>
      </w:pPr>
    </w:p>
    <w:p>
      <w:pPr>
        <w:ind w:left="460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1-12616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77470</wp:posOffset>
            </wp:positionV>
            <wp:extent cx="197167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167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SUN COMMUNITIES,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Maryland</w:t>
            </w:r>
          </w:p>
        </w:tc>
        <w:tc>
          <w:tcPr>
            <w:tcW w:w="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6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38-2730780</w:t>
            </w:r>
          </w:p>
        </w:tc>
      </w:tr>
      <w:tr>
        <w:trPr>
          <w:trHeight w:val="230"/>
        </w:trPr>
        <w:tc>
          <w:tcPr>
            <w:tcW w:w="42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(State of Incorporation)</w:t>
            </w:r>
          </w:p>
        </w:tc>
        <w:tc>
          <w:tcPr>
            <w:tcW w:w="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60" w:type="dxa"/>
            <w:vAlign w:val="bottom"/>
          </w:tcPr>
          <w:p>
            <w:pPr>
              <w:jc w:val="center"/>
              <w:ind w:right="310"/>
              <w:spacing w:after="0"/>
              <w:rPr>
                <w:sz w:val="20"/>
                <w:szCs w:val="20"/>
                <w:color w:val="auto"/>
              </w:rPr>
            </w:pPr>
            <w:r>
              <w:rPr>
                <w:rFonts w:ascii="Arial" w:cs="Arial" w:eastAsia="Arial" w:hAnsi="Arial"/>
                <w:sz w:val="18"/>
                <w:szCs w:val="18"/>
                <w:color w:val="auto"/>
                <w:w w:val="94"/>
              </w:rPr>
              <w:t>(I.R.S. Employer Identification No.)</w:t>
            </w:r>
          </w:p>
        </w:tc>
      </w:tr>
      <w:tr>
        <w:trPr>
          <w:trHeight w:val="350"/>
        </w:trPr>
        <w:tc>
          <w:tcPr>
            <w:tcW w:w="4240" w:type="dxa"/>
            <w:vAlign w:val="bottom"/>
            <w:gridSpan w:val="2"/>
          </w:tcPr>
          <w:p>
            <w:pPr>
              <w:ind w:left="620"/>
              <w:spacing w:after="0"/>
              <w:rPr>
                <w:sz w:val="20"/>
                <w:szCs w:val="20"/>
                <w:color w:val="auto"/>
              </w:rPr>
            </w:pPr>
            <w:r>
              <w:rPr>
                <w:rFonts w:ascii="Arial" w:cs="Arial" w:eastAsia="Arial" w:hAnsi="Arial"/>
                <w:sz w:val="18"/>
                <w:szCs w:val="18"/>
                <w:b w:val="1"/>
                <w:bCs w:val="1"/>
                <w:color w:val="auto"/>
              </w:rPr>
              <w:t>27777 Franklin Rd, Suite 300,   Southfield,</w:t>
            </w:r>
          </w:p>
        </w:tc>
        <w:tc>
          <w:tcPr>
            <w:tcW w:w="3260" w:type="dxa"/>
            <w:vAlign w:val="bottom"/>
            <w:gridSpan w:val="4"/>
          </w:tcPr>
          <w:p>
            <w:pPr>
              <w:ind w:left="20"/>
              <w:spacing w:after="0"/>
              <w:rPr>
                <w:sz w:val="20"/>
                <w:szCs w:val="20"/>
                <w:color w:val="auto"/>
              </w:rPr>
            </w:pPr>
            <w:r>
              <w:rPr>
                <w:rFonts w:ascii="Arial" w:cs="Arial" w:eastAsia="Arial" w:hAnsi="Arial"/>
                <w:sz w:val="18"/>
                <w:szCs w:val="18"/>
                <w:b w:val="1"/>
                <w:bCs w:val="1"/>
                <w:color w:val="auto"/>
              </w:rPr>
              <w:t>Michigan</w:t>
            </w:r>
          </w:p>
        </w:tc>
        <w:tc>
          <w:tcPr>
            <w:tcW w:w="366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48034</w:t>
            </w:r>
          </w:p>
        </w:tc>
      </w:tr>
      <w:tr>
        <w:trPr>
          <w:trHeight w:val="230"/>
        </w:trPr>
        <w:tc>
          <w:tcPr>
            <w:tcW w:w="4240" w:type="dxa"/>
            <w:vAlign w:val="bottom"/>
            <w:gridSpan w:val="2"/>
          </w:tcPr>
          <w:p>
            <w:pPr>
              <w:ind w:left="1280"/>
              <w:spacing w:after="0"/>
              <w:rPr>
                <w:sz w:val="20"/>
                <w:szCs w:val="20"/>
                <w:color w:val="auto"/>
              </w:rPr>
            </w:pPr>
            <w:r>
              <w:rPr>
                <w:rFonts w:ascii="Arial" w:cs="Arial" w:eastAsia="Arial" w:hAnsi="Arial"/>
                <w:sz w:val="18"/>
                <w:szCs w:val="18"/>
                <w:color w:val="auto"/>
                <w:w w:val="92"/>
              </w:rPr>
              <w:t>(Address of Principal Executive Offices)</w:t>
            </w:r>
          </w:p>
        </w:tc>
        <w:tc>
          <w:tcPr>
            <w:tcW w:w="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60" w:type="dxa"/>
            <w:vAlign w:val="bottom"/>
          </w:tcPr>
          <w:p>
            <w:pPr>
              <w:jc w:val="center"/>
              <w:ind w:right="290"/>
              <w:spacing w:after="0"/>
              <w:rPr>
                <w:sz w:val="20"/>
                <w:szCs w:val="20"/>
                <w:color w:val="auto"/>
              </w:rPr>
            </w:pPr>
            <w:r>
              <w:rPr>
                <w:rFonts w:ascii="Arial" w:cs="Arial" w:eastAsia="Arial" w:hAnsi="Arial"/>
                <w:sz w:val="18"/>
                <w:szCs w:val="18"/>
                <w:color w:val="auto"/>
                <w:w w:val="94"/>
              </w:rPr>
              <w:t>(Zip Code)</w:t>
            </w:r>
          </w:p>
        </w:tc>
      </w:tr>
      <w:tr>
        <w:trPr>
          <w:trHeight w:val="310"/>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(248) 208-2500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30"/>
        </w:trPr>
        <w:tc>
          <w:tcPr>
            <w:tcW w:w="7500" w:type="dxa"/>
            <w:vAlign w:val="bottom"/>
            <w:gridSpan w:val="6"/>
          </w:tcPr>
          <w:p>
            <w:pPr>
              <w:jc w:val="center"/>
              <w:ind w:left="3570"/>
              <w:spacing w:after="0"/>
              <w:rPr>
                <w:sz w:val="20"/>
                <w:szCs w:val="20"/>
                <w:color w:val="auto"/>
              </w:rPr>
            </w:pPr>
            <w:r>
              <w:rPr>
                <w:rFonts w:ascii="Arial" w:cs="Arial" w:eastAsia="Arial" w:hAnsi="Arial"/>
                <w:sz w:val="18"/>
                <w:szCs w:val="18"/>
                <w:color w:val="auto"/>
                <w:w w:val="89"/>
              </w:rPr>
              <w:t>(Registrant's telephone number, including area code)</w:t>
            </w:r>
          </w:p>
        </w:tc>
        <w:tc>
          <w:tcPr>
            <w:tcW w:w="3660" w:type="dxa"/>
            <w:vAlign w:val="bottom"/>
          </w:tcPr>
          <w:p>
            <w:pPr>
              <w:spacing w:after="0"/>
              <w:rPr>
                <w:sz w:val="20"/>
                <w:szCs w:val="20"/>
                <w:color w:val="auto"/>
              </w:rPr>
            </w:pPr>
          </w:p>
        </w:tc>
      </w:tr>
      <w:tr>
        <w:trPr>
          <w:trHeight w:val="459"/>
        </w:trPr>
        <w:tc>
          <w:tcPr>
            <w:tcW w:w="1116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56"/>
        </w:trPr>
        <w:tc>
          <w:tcPr>
            <w:tcW w:w="42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Title of each class</w:t>
            </w:r>
          </w:p>
        </w:tc>
        <w:tc>
          <w:tcPr>
            <w:tcW w:w="40" w:type="dxa"/>
            <w:vAlign w:val="bottom"/>
          </w:tcPr>
          <w:p>
            <w:pPr>
              <w:spacing w:after="0"/>
              <w:rPr>
                <w:sz w:val="22"/>
                <w:szCs w:val="22"/>
                <w:color w:val="auto"/>
              </w:rPr>
            </w:pPr>
          </w:p>
        </w:tc>
        <w:tc>
          <w:tcPr>
            <w:tcW w:w="3220" w:type="dxa"/>
            <w:vAlign w:val="bottom"/>
            <w:gridSpan w:val="3"/>
          </w:tcPr>
          <w:p>
            <w:pPr>
              <w:jc w:val="center"/>
              <w:ind w:right="640"/>
              <w:spacing w:after="0"/>
              <w:rPr>
                <w:sz w:val="20"/>
                <w:szCs w:val="20"/>
                <w:color w:val="auto"/>
              </w:rPr>
            </w:pPr>
            <w:r>
              <w:rPr>
                <w:rFonts w:ascii="Arial" w:cs="Arial" w:eastAsia="Arial" w:hAnsi="Arial"/>
                <w:sz w:val="18"/>
                <w:szCs w:val="18"/>
                <w:color w:val="auto"/>
                <w:w w:val="91"/>
              </w:rPr>
              <w:t>Trading Symbol(s)</w:t>
            </w:r>
          </w:p>
        </w:tc>
        <w:tc>
          <w:tcPr>
            <w:tcW w:w="3660" w:type="dxa"/>
            <w:vAlign w:val="bottom"/>
          </w:tcPr>
          <w:p>
            <w:pPr>
              <w:jc w:val="center"/>
              <w:ind w:right="3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SUI</w:t>
            </w:r>
          </w:p>
        </w:tc>
        <w:tc>
          <w:tcPr>
            <w:tcW w:w="2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66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91"/>
              </w:rPr>
              <w:t>New York Stock Exchange</w:t>
            </w:r>
          </w:p>
        </w:tc>
      </w:tr>
    </w:tbl>
    <w:p>
      <w:pPr>
        <w:spacing w:after="0" w:line="33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56" w:right="339" w:bottom="1440" w:gutter="0" w:footer="0" w:header="0"/>
        </w:sectPr>
      </w:pPr>
    </w:p>
    <w:p>
      <w:pPr>
        <w:spacing w:after="0" w:line="8" w:lineRule="exact"/>
        <w:rPr>
          <w:sz w:val="24"/>
          <w:szCs w:val="24"/>
          <w:color w:val="auto"/>
        </w:rPr>
      </w:pPr>
    </w:p>
    <w:p>
      <w:pPr>
        <w:ind w:left="2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46" w:lineRule="exact"/>
        <w:rPr>
          <w:sz w:val="24"/>
          <w:szCs w:val="24"/>
          <w:color w:val="auto"/>
        </w:rPr>
      </w:pPr>
    </w:p>
    <w:p>
      <w:pPr>
        <w:sectPr>
          <w:pgSz w:w="11900" w:h="16838" w:orient="portrait"/>
          <w:cols w:equalWidth="0" w:num="5">
            <w:col w:w="1860" w:space="600"/>
            <w:col w:w="1200" w:space="720"/>
            <w:col w:w="1520" w:space="600"/>
            <w:col w:w="1960" w:space="540"/>
            <w:col w:w="2240"/>
          </w:cols>
          <w:pgMar w:left="320" w:top="1356" w:right="339" w:bottom="1440" w:gutter="0" w:footer="0" w:header="0"/>
          <w:type w:val="continuous"/>
        </w:sectPr>
      </w:pPr>
    </w:p>
    <w:p>
      <w:pPr>
        <w:ind w:left="9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2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6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2260" w:space="720"/>
            <w:col w:w="1360" w:space="720"/>
            <w:col w:w="1620" w:space="720"/>
            <w:col w:w="1780" w:space="720"/>
            <w:col w:w="1340"/>
          </w:cols>
          <w:pgMar w:left="320" w:top="1356" w:right="339" w:bottom="1440" w:gutter="0" w:footer="0" w:header="0"/>
          <w:type w:val="continuous"/>
        </w:sectPr>
      </w:pPr>
    </w:p>
    <w:p>
      <w:pPr>
        <w:ind w:right="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per share, outstanding as of October 19, 2023: 124,445,238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0320" w:type="dxa"/>
            <w:vAlign w:val="bottom"/>
          </w:tcPr>
          <w:p>
            <w:pPr>
              <w:ind w:left="4620"/>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00" w:type="dxa"/>
            <w:vAlign w:val="bottom"/>
          </w:tcPr>
          <w:p>
            <w:pPr>
              <w:spacing w:after="0"/>
              <w:rPr>
                <w:sz w:val="24"/>
                <w:szCs w:val="24"/>
                <w:color w:val="auto"/>
              </w:rPr>
            </w:pPr>
          </w:p>
        </w:tc>
        <w:tc>
          <w:tcPr>
            <w:tcW w:w="10320" w:type="dxa"/>
            <w:vAlign w:val="bottom"/>
          </w:tcPr>
          <w:p>
            <w:pPr>
              <w:ind w:left="332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Financial Statements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700" w:type="dxa"/>
            <w:vAlign w:val="bottom"/>
          </w:tcPr>
          <w:p>
            <w:pPr>
              <w:spacing w:after="0"/>
              <w:rPr>
                <w:sz w:val="16"/>
                <w:szCs w:val="16"/>
                <w:color w:val="auto"/>
              </w:rPr>
            </w:pPr>
          </w:p>
        </w:tc>
        <w:tc>
          <w:tcPr>
            <w:tcW w:w="10320" w:type="dxa"/>
            <w:vAlign w:val="bottom"/>
          </w:tcPr>
          <w:p>
            <w:pPr>
              <w:ind w:left="180"/>
              <w:spacing w:after="0" w:line="190" w:lineRule="exact"/>
              <w:rPr>
                <w:sz w:val="20"/>
                <w:szCs w:val="20"/>
                <w:color w:val="auto"/>
              </w:rPr>
            </w:pPr>
            <w:r>
              <w:rPr>
                <w:rFonts w:ascii="Arial" w:cs="Arial" w:eastAsia="Arial" w:hAnsi="Arial"/>
                <w:sz w:val="18"/>
                <w:szCs w:val="18"/>
                <w:color w:val="auto"/>
              </w:rPr>
              <w:t>Consolidated Balance Sheets as of September 30, 2023 (Unaudited) and December 31, 2022</w:t>
            </w:r>
          </w:p>
        </w:tc>
        <w:tc>
          <w:tcPr>
            <w:tcW w:w="180" w:type="dxa"/>
            <w:vAlign w:val="bottom"/>
            <w:gridSpan w:val="2"/>
          </w:tcPr>
          <w:p>
            <w:pPr>
              <w:jc w:val="right"/>
              <w:spacing w:after="0" w:line="190" w:lineRule="exact"/>
              <w:rPr>
                <w:sz w:val="20"/>
                <w:szCs w:val="20"/>
                <w:color w:val="auto"/>
              </w:rPr>
            </w:pPr>
            <w:r>
              <w:rPr>
                <w:rFonts w:ascii="Arial" w:cs="Arial" w:eastAsia="Arial" w:hAnsi="Arial"/>
                <w:sz w:val="18"/>
                <w:szCs w:val="18"/>
                <w:color w:val="0000FF"/>
              </w:rPr>
              <w:t>1</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Operations for the Three and Nine Months Ended September 30, 2023 and 2022 (Unaudited)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2</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w w:val="94"/>
              </w:rPr>
              <w:t>Consolidated Statements of Comprehensive Income for the Three and Nine Months Ended September 30, 2023 and 2022 (Unaudited)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Equity for the Three and Nine Months Ended September 30, 2023 and 2022 (Unaudited)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4</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Cash Flows for the Nine Months Ended September 30, 2023 and 2022 (Unaudited)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6</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 (Unaudited)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8</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1032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1032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69</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1032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70</w:t>
            </w: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260" w:type="dxa"/>
            <w:vAlign w:val="bottom"/>
          </w:tcPr>
          <w:p>
            <w:pPr>
              <w:ind w:left="3420"/>
              <w:spacing w:after="0"/>
              <w:rPr>
                <w:sz w:val="20"/>
                <w:szCs w:val="20"/>
                <w:color w:val="auto"/>
              </w:rPr>
            </w:pPr>
            <w:r>
              <w:rPr>
                <w:rFonts w:ascii="Arial" w:cs="Arial" w:eastAsia="Arial" w:hAnsi="Arial"/>
                <w:sz w:val="18"/>
                <w:szCs w:val="18"/>
                <w:b w:val="1"/>
                <w:bCs w:val="1"/>
                <w:color w:val="auto"/>
              </w:rPr>
              <w:t>PART II – OTHER INFORMATION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780" w:type="dxa"/>
            <w:vAlign w:val="bottom"/>
          </w:tcPr>
          <w:p>
            <w:pPr>
              <w:ind w:left="20"/>
              <w:spacing w:after="0"/>
              <w:rPr>
                <w:sz w:val="20"/>
                <w:szCs w:val="20"/>
                <w:color w:val="auto"/>
              </w:rPr>
            </w:pPr>
            <w:r>
              <w:rPr>
                <w:rFonts w:ascii="Arial" w:cs="Arial" w:eastAsia="Arial" w:hAnsi="Arial"/>
                <w:sz w:val="18"/>
                <w:szCs w:val="18"/>
                <w:color w:val="auto"/>
              </w:rPr>
              <w:t>Item 1.</w:t>
            </w:r>
          </w:p>
        </w:tc>
        <w:tc>
          <w:tcPr>
            <w:tcW w:w="1026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71</w:t>
            </w:r>
          </w:p>
        </w:tc>
        <w:tc>
          <w:tcPr>
            <w:tcW w:w="20" w:type="dxa"/>
            <w:vAlign w:val="bottom"/>
          </w:tcPr>
          <w:p>
            <w:pPr>
              <w:spacing w:after="0"/>
              <w:rPr>
                <w:sz w:val="24"/>
                <w:szCs w:val="24"/>
                <w:color w:val="auto"/>
              </w:rPr>
            </w:pPr>
          </w:p>
        </w:tc>
      </w:tr>
      <w:tr>
        <w:trPr>
          <w:trHeight w:val="209"/>
        </w:trPr>
        <w:tc>
          <w:tcPr>
            <w:tcW w:w="780" w:type="dxa"/>
            <w:vAlign w:val="bottom"/>
          </w:tcPr>
          <w:p>
            <w:pPr>
              <w:ind w:left="20"/>
              <w:spacing w:after="0"/>
              <w:rPr>
                <w:sz w:val="20"/>
                <w:szCs w:val="20"/>
                <w:color w:val="auto"/>
              </w:rPr>
            </w:pPr>
            <w:r>
              <w:rPr>
                <w:rFonts w:ascii="Arial" w:cs="Arial" w:eastAsia="Arial" w:hAnsi="Arial"/>
                <w:sz w:val="18"/>
                <w:szCs w:val="18"/>
                <w:color w:val="auto"/>
              </w:rPr>
              <w:t>Item 1A.</w:t>
            </w:r>
          </w:p>
        </w:tc>
        <w:tc>
          <w:tcPr>
            <w:tcW w:w="1026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71</w:t>
            </w:r>
          </w:p>
        </w:tc>
        <w:tc>
          <w:tcPr>
            <w:tcW w:w="20" w:type="dxa"/>
            <w:vAlign w:val="bottom"/>
          </w:tcPr>
          <w:p>
            <w:pPr>
              <w:spacing w:after="0"/>
              <w:rPr>
                <w:sz w:val="18"/>
                <w:szCs w:val="18"/>
                <w:color w:val="auto"/>
              </w:rPr>
            </w:pPr>
          </w:p>
        </w:tc>
      </w:tr>
      <w:tr>
        <w:trPr>
          <w:trHeight w:val="209"/>
        </w:trPr>
        <w:tc>
          <w:tcPr>
            <w:tcW w:w="780" w:type="dxa"/>
            <w:vAlign w:val="bottom"/>
          </w:tcPr>
          <w:p>
            <w:pPr>
              <w:ind w:left="20"/>
              <w:spacing w:after="0"/>
              <w:rPr>
                <w:sz w:val="20"/>
                <w:szCs w:val="20"/>
                <w:color w:val="auto"/>
              </w:rPr>
            </w:pPr>
            <w:r>
              <w:rPr>
                <w:rFonts w:ascii="Arial" w:cs="Arial" w:eastAsia="Arial" w:hAnsi="Arial"/>
                <w:sz w:val="18"/>
                <w:szCs w:val="18"/>
                <w:color w:val="auto"/>
              </w:rPr>
              <w:t>Item 2.</w:t>
            </w:r>
          </w:p>
        </w:tc>
        <w:tc>
          <w:tcPr>
            <w:tcW w:w="10260" w:type="dxa"/>
            <w:vAlign w:val="bottom"/>
          </w:tcPr>
          <w:p>
            <w:pPr>
              <w:ind w:left="12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72</w:t>
            </w:r>
          </w:p>
        </w:tc>
        <w:tc>
          <w:tcPr>
            <w:tcW w:w="20" w:type="dxa"/>
            <w:vAlign w:val="bottom"/>
          </w:tcPr>
          <w:p>
            <w:pPr>
              <w:spacing w:after="0"/>
              <w:rPr>
                <w:sz w:val="18"/>
                <w:szCs w:val="18"/>
                <w:color w:val="auto"/>
              </w:rPr>
            </w:pPr>
          </w:p>
        </w:tc>
      </w:tr>
      <w:tr>
        <w:trPr>
          <w:trHeight w:val="210"/>
        </w:trPr>
        <w:tc>
          <w:tcPr>
            <w:tcW w:w="780" w:type="dxa"/>
            <w:vAlign w:val="bottom"/>
          </w:tcPr>
          <w:p>
            <w:pPr>
              <w:ind w:left="20"/>
              <w:spacing w:after="0"/>
              <w:rPr>
                <w:sz w:val="20"/>
                <w:szCs w:val="20"/>
                <w:color w:val="auto"/>
              </w:rPr>
            </w:pPr>
            <w:r>
              <w:rPr>
                <w:rFonts w:ascii="Arial" w:cs="Arial" w:eastAsia="Arial" w:hAnsi="Arial"/>
                <w:sz w:val="18"/>
                <w:szCs w:val="18"/>
                <w:color w:val="auto"/>
              </w:rPr>
              <w:t>Item 6.</w:t>
            </w:r>
          </w:p>
        </w:tc>
        <w:tc>
          <w:tcPr>
            <w:tcW w:w="10260" w:type="dxa"/>
            <w:vAlign w:val="bottom"/>
          </w:tcPr>
          <w:p>
            <w:pPr>
              <w:ind w:left="12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73</w:t>
            </w:r>
          </w:p>
        </w:tc>
        <w:tc>
          <w:tcPr>
            <w:tcW w:w="20" w:type="dxa"/>
            <w:vAlign w:val="bottom"/>
          </w:tcPr>
          <w:p>
            <w:pPr>
              <w:spacing w:after="0"/>
              <w:rPr>
                <w:sz w:val="18"/>
                <w:szCs w:val="18"/>
                <w:color w:val="auto"/>
              </w:rPr>
            </w:pPr>
          </w:p>
        </w:tc>
      </w:tr>
      <w:tr>
        <w:trPr>
          <w:trHeight w:val="209"/>
        </w:trPr>
        <w:tc>
          <w:tcPr>
            <w:tcW w:w="780" w:type="dxa"/>
            <w:vAlign w:val="bottom"/>
          </w:tcPr>
          <w:p>
            <w:pPr>
              <w:spacing w:after="0"/>
              <w:rPr>
                <w:sz w:val="18"/>
                <w:szCs w:val="18"/>
                <w:color w:val="auto"/>
              </w:rPr>
            </w:pPr>
          </w:p>
        </w:tc>
        <w:tc>
          <w:tcPr>
            <w:tcW w:w="10260" w:type="dxa"/>
            <w:vAlign w:val="bottom"/>
          </w:tcPr>
          <w:p>
            <w:pPr>
              <w:ind w:left="12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74</w:t>
            </w:r>
          </w:p>
        </w:tc>
        <w:tc>
          <w:tcPr>
            <w:tcW w:w="20" w:type="dxa"/>
            <w:vAlign w:val="bottom"/>
          </w:tcPr>
          <w:p>
            <w:pPr>
              <w:spacing w:after="0"/>
              <w:rPr>
                <w:sz w:val="18"/>
                <w:szCs w:val="18"/>
                <w:color w:val="auto"/>
              </w:rPr>
            </w:pPr>
          </w:p>
        </w:tc>
      </w:tr>
      <w:tr>
        <w:trPr>
          <w:trHeight w:val="1283"/>
        </w:trPr>
        <w:tc>
          <w:tcPr>
            <w:tcW w:w="78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32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millions, except for per share amounts)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5"/>
              </w:rPr>
              <w:t>(Unaudited)</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September 30, 2023</w:t>
            </w:r>
          </w:p>
        </w:tc>
        <w:tc>
          <w:tcPr>
            <w:tcW w:w="140" w:type="dxa"/>
            <w:vAlign w:val="bottom"/>
          </w:tcPr>
          <w:p>
            <w:pPr>
              <w:spacing w:after="0"/>
              <w:rPr>
                <w:sz w:val="17"/>
                <w:szCs w:val="17"/>
                <w:color w:val="auto"/>
              </w:rPr>
            </w:pPr>
          </w:p>
        </w:tc>
        <w:tc>
          <w:tcPr>
            <w:tcW w:w="1460" w:type="dxa"/>
            <w:vAlign w:val="bottom"/>
          </w:tcPr>
          <w:p>
            <w:pPr>
              <w:jc w:val="right"/>
              <w:ind w:right="104"/>
              <w:spacing w:after="0"/>
              <w:rPr>
                <w:sz w:val="20"/>
                <w:szCs w:val="20"/>
                <w:color w:val="auto"/>
              </w:rPr>
            </w:pPr>
            <w:r>
              <w:rPr>
                <w:rFonts w:ascii="Arial" w:cs="Arial" w:eastAsia="Arial" w:hAnsi="Arial"/>
                <w:sz w:val="15"/>
                <w:szCs w:val="15"/>
                <w:b w:val="1"/>
                <w:bCs w:val="1"/>
                <w:color w:val="auto"/>
                <w:w w:val="93"/>
              </w:rPr>
              <w:t>December 31, 2022</w:t>
            </w:r>
          </w:p>
        </w:tc>
      </w:tr>
      <w:tr>
        <w:trPr>
          <w:trHeight w:val="200"/>
        </w:trPr>
        <w:tc>
          <w:tcPr>
            <w:tcW w:w="7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Land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3,996.4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4,322.3</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Land improvements and buildings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11,418.4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10,903.4</w:t>
            </w: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Rental homes and improvements</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725.6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645.2</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Furniture, fixtures and equipment</w:t>
            </w: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995.1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839.0</w:t>
            </w:r>
          </w:p>
        </w:tc>
      </w:tr>
      <w:tr>
        <w:trPr>
          <w:trHeight w:val="192"/>
        </w:trPr>
        <w:tc>
          <w:tcPr>
            <w:tcW w:w="7920" w:type="dxa"/>
            <w:vAlign w:val="bottom"/>
          </w:tcPr>
          <w:p>
            <w:pPr>
              <w:ind w:left="220"/>
              <w:spacing w:after="0"/>
              <w:rPr>
                <w:sz w:val="20"/>
                <w:szCs w:val="20"/>
                <w:color w:val="auto"/>
              </w:rPr>
            </w:pPr>
            <w:r>
              <w:rPr>
                <w:rFonts w:ascii="Arial" w:cs="Arial" w:eastAsia="Arial" w:hAnsi="Arial"/>
                <w:sz w:val="15"/>
                <w:szCs w:val="15"/>
                <w:color w:val="auto"/>
              </w:rPr>
              <w:t>Investment property</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17,135.5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16,709.9</w:t>
            </w:r>
          </w:p>
        </w:tc>
      </w:tr>
      <w:tr>
        <w:trPr>
          <w:trHeight w:val="206"/>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Accumulated depreciation</w:t>
            </w: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(3,144.8)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(2,738.9)</w:t>
            </w:r>
          </w:p>
        </w:tc>
      </w:tr>
      <w:tr>
        <w:trPr>
          <w:trHeight w:val="192"/>
        </w:trPr>
        <w:tc>
          <w:tcPr>
            <w:tcW w:w="7920" w:type="dxa"/>
            <w:vAlign w:val="bottom"/>
          </w:tcPr>
          <w:p>
            <w:pPr>
              <w:ind w:left="220"/>
              <w:spacing w:after="0"/>
              <w:rPr>
                <w:sz w:val="20"/>
                <w:szCs w:val="20"/>
                <w:color w:val="auto"/>
              </w:rPr>
            </w:pPr>
            <w:r>
              <w:rPr>
                <w:rFonts w:ascii="Arial" w:cs="Arial" w:eastAsia="Arial" w:hAnsi="Arial"/>
                <w:sz w:val="15"/>
                <w:szCs w:val="15"/>
                <w:color w:val="auto"/>
              </w:rPr>
              <w:t>Investment property, net (see Note 7 at VIEs)</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13,990.7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13,971.0</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cash equivalents and restricted cash (see Note 7 at VIEs)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90.4</w:t>
            </w: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Marketable securities (see Note 15)</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112.8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127.3</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Inventory of manufactured homes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202.7</w:t>
            </w: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Notes and other receivables, net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832.2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617.3</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Goodwill</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1,084.1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1,018.4</w:t>
            </w: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Other intangible assets, net (see Note 7 at VIEs)</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374.7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402.0</w:t>
            </w:r>
          </w:p>
        </w:tc>
      </w:tr>
      <w:tr>
        <w:trPr>
          <w:trHeight w:val="203"/>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assets, net (see Note 7 at VIEs)</w:t>
            </w: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929.0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655.1</w:t>
            </w:r>
          </w:p>
        </w:tc>
      </w:tr>
      <w:tr>
        <w:trPr>
          <w:trHeight w:val="200"/>
        </w:trPr>
        <w:tc>
          <w:tcPr>
            <w:tcW w:w="7920" w:type="dxa"/>
            <w:vAlign w:val="bottom"/>
          </w:tcPr>
          <w:p>
            <w:pPr>
              <w:ind w:left="460"/>
              <w:spacing w:after="0"/>
              <w:rPr>
                <w:sz w:val="20"/>
                <w:szCs w:val="20"/>
                <w:color w:val="auto"/>
              </w:rPr>
            </w:pPr>
            <w:r>
              <w:rPr>
                <w:rFonts w:ascii="Arial" w:cs="Arial" w:eastAsia="Arial" w:hAnsi="Arial"/>
                <w:sz w:val="15"/>
                <w:szCs w:val="15"/>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17,605.3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17,084.2</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Secured debt (see Note 8; Note 7 at VIEs)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3,359.5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3,217.8</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Unsecured debt (see Note 8; Note 7 at VIEs)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3,979.4</w:t>
            </w: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Distributions payable</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118.2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111.3</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Advanced reservation deposits and rent (see Note 7 at VIEs)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352.1</w:t>
            </w: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Accrued expenses and accounts payable (see Note 7 at VIEs)</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380.2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396.3</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liabilities (see Note 7 at VIEs)</w:t>
            </w: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928.9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935.9</w:t>
            </w:r>
          </w:p>
        </w:tc>
      </w:tr>
      <w:tr>
        <w:trPr>
          <w:trHeight w:val="192"/>
        </w:trPr>
        <w:tc>
          <w:tcPr>
            <w:tcW w:w="7920" w:type="dxa"/>
            <w:vAlign w:val="bottom"/>
            <w:tcBorders>
              <w:bottom w:val="single" w:sz="8" w:color="CCEEFF"/>
            </w:tcBorders>
          </w:tcPr>
          <w:p>
            <w:pPr>
              <w:ind w:left="460"/>
              <w:spacing w:after="0"/>
              <w:rPr>
                <w:sz w:val="20"/>
                <w:szCs w:val="20"/>
                <w:color w:val="auto"/>
              </w:rPr>
            </w:pPr>
            <w:r>
              <w:rPr>
                <w:rFonts w:ascii="Arial" w:cs="Arial" w:eastAsia="Arial" w:hAnsi="Arial"/>
                <w:sz w:val="15"/>
                <w:szCs w:val="15"/>
                <w:b w:val="1"/>
                <w:bCs w:val="1"/>
                <w:color w:val="auto"/>
              </w:rPr>
              <w:t>Total Liabilities</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9,465.0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8,992.8</w:t>
            </w:r>
          </w:p>
        </w:tc>
      </w:tr>
      <w:tr>
        <w:trPr>
          <w:trHeight w:val="18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Commitments and contingencies (see Note 16)</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Temporary equity (see Note 9; Note 7 at VIEs)</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304.5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202.9</w:t>
            </w:r>
          </w:p>
        </w:tc>
      </w:tr>
      <w:tr>
        <w:trPr>
          <w:trHeight w:val="207"/>
        </w:trPr>
        <w:tc>
          <w:tcPr>
            <w:tcW w:w="7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Shareholders' Equity</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62"/>
        </w:trPr>
        <w:tc>
          <w:tcPr>
            <w:tcW w:w="7920" w:type="dxa"/>
            <w:vAlign w:val="bottom"/>
          </w:tcPr>
          <w:p>
            <w:pPr>
              <w:ind w:left="20"/>
              <w:spacing w:after="0" w:line="162" w:lineRule="exact"/>
              <w:rPr>
                <w:sz w:val="20"/>
                <w:szCs w:val="20"/>
                <w:color w:val="auto"/>
              </w:rPr>
            </w:pPr>
            <w:r>
              <w:rPr>
                <w:rFonts w:ascii="Arial" w:cs="Arial" w:eastAsia="Arial" w:hAnsi="Arial"/>
                <w:sz w:val="15"/>
                <w:szCs w:val="15"/>
                <w:color w:val="auto"/>
                <w:w w:val="93"/>
              </w:rPr>
              <w:t>Common stock, $0.01 par value. Authorized: 360.0 shares; Issued and outstanding: 124.4 at September 30, 2023 and 124.0 at</w:t>
            </w: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8"/>
        </w:trPr>
        <w:tc>
          <w:tcPr>
            <w:tcW w:w="7920" w:type="dxa"/>
            <w:vAlign w:val="bottom"/>
          </w:tcPr>
          <w:p>
            <w:pPr>
              <w:ind w:left="20"/>
              <w:spacing w:after="0"/>
              <w:rPr>
                <w:sz w:val="20"/>
                <w:szCs w:val="20"/>
                <w:color w:val="auto"/>
              </w:rPr>
            </w:pPr>
            <w:r>
              <w:rPr>
                <w:rFonts w:ascii="Arial" w:cs="Arial" w:eastAsia="Arial" w:hAnsi="Arial"/>
                <w:sz w:val="15"/>
                <w:szCs w:val="15"/>
                <w:color w:val="auto"/>
              </w:rPr>
              <w:t>December 31, 2022</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Additional paid-in capital</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9,549.7</w:t>
            </w: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Accumulated other comprehensive income / (loss)</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(9.9)</w:t>
            </w:r>
          </w:p>
        </w:tc>
      </w:tr>
      <w:tr>
        <w:trPr>
          <w:trHeight w:val="206"/>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Distributions in excess of accumulated earnings</w:t>
            </w: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(1,848.2)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(1,731.2)</w:t>
            </w:r>
          </w:p>
        </w:tc>
      </w:tr>
      <w:tr>
        <w:trPr>
          <w:trHeight w:val="192"/>
        </w:trPr>
        <w:tc>
          <w:tcPr>
            <w:tcW w:w="7920" w:type="dxa"/>
            <w:vAlign w:val="bottom"/>
          </w:tcPr>
          <w:p>
            <w:pPr>
              <w:ind w:left="340"/>
              <w:spacing w:after="0"/>
              <w:rPr>
                <w:sz w:val="20"/>
                <w:szCs w:val="20"/>
                <w:color w:val="auto"/>
              </w:rPr>
            </w:pPr>
            <w:r>
              <w:rPr>
                <w:rFonts w:ascii="Arial" w:cs="Arial" w:eastAsia="Arial" w:hAnsi="Arial"/>
                <w:sz w:val="15"/>
                <w:szCs w:val="15"/>
                <w:b w:val="1"/>
                <w:bCs w:val="1"/>
                <w:color w:val="auto"/>
              </w:rPr>
              <w:t>Total SUI shareholders' equity</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7,739.8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7,809.8</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Noncontrolling interests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8"/>
        </w:trPr>
        <w:tc>
          <w:tcPr>
            <w:tcW w:w="79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Common and preferred OP units</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78.7</w:t>
            </w:r>
          </w:p>
        </w:tc>
      </w:tr>
      <w:tr>
        <w:trPr>
          <w:trHeight w:val="200"/>
        </w:trPr>
        <w:tc>
          <w:tcPr>
            <w:tcW w:w="7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Total noncontrolling interests</w:t>
            </w: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78.7</w:t>
            </w:r>
          </w:p>
        </w:tc>
      </w:tr>
      <w:tr>
        <w:trPr>
          <w:trHeight w:val="192"/>
        </w:trPr>
        <w:tc>
          <w:tcPr>
            <w:tcW w:w="7920" w:type="dxa"/>
            <w:vAlign w:val="bottom"/>
            <w:tcBorders>
              <w:bottom w:val="single" w:sz="8" w:color="CCEEFF"/>
            </w:tcBorders>
          </w:tcPr>
          <w:p>
            <w:pPr>
              <w:ind w:left="460"/>
              <w:spacing w:after="0"/>
              <w:rPr>
                <w:sz w:val="20"/>
                <w:szCs w:val="20"/>
                <w:color w:val="auto"/>
              </w:rPr>
            </w:pPr>
            <w:r>
              <w:rPr>
                <w:rFonts w:ascii="Arial" w:cs="Arial" w:eastAsia="Arial" w:hAnsi="Arial"/>
                <w:sz w:val="15"/>
                <w:szCs w:val="15"/>
                <w:b w:val="1"/>
                <w:bCs w:val="1"/>
                <w:color w:val="auto"/>
              </w:rPr>
              <w:t>Total Shareholders' Equity</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7,835.8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7,888.5</w:t>
            </w:r>
          </w:p>
        </w:tc>
      </w:tr>
      <w:tr>
        <w:trPr>
          <w:trHeight w:val="225"/>
        </w:trPr>
        <w:tc>
          <w:tcPr>
            <w:tcW w:w="7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Total Liabilities, Temporary Equity and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17,605.3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17,084.2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for per share amounts)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5"/>
          </w:tcPr>
          <w:p>
            <w:pPr>
              <w:ind w:left="44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2380" w:type="dxa"/>
            <w:vAlign w:val="bottom"/>
            <w:gridSpan w:val="4"/>
          </w:tcPr>
          <w:p>
            <w:pPr>
              <w:jc w:val="right"/>
              <w:ind w:right="524"/>
              <w:spacing w:after="0"/>
              <w:rPr>
                <w:sz w:val="20"/>
                <w:szCs w:val="20"/>
                <w:color w:val="auto"/>
              </w:rPr>
            </w:pPr>
            <w:r>
              <w:rPr>
                <w:rFonts w:ascii="Arial" w:cs="Arial" w:eastAsia="Arial" w:hAnsi="Arial"/>
                <w:sz w:val="15"/>
                <w:szCs w:val="15"/>
                <w:b w:val="1"/>
                <w:bCs w:val="1"/>
                <w:color w:val="auto"/>
              </w:rPr>
              <w:t>Nine Months Ended</w:t>
            </w:r>
          </w:p>
        </w:tc>
      </w:tr>
      <w:tr>
        <w:trPr>
          <w:trHeight w:val="156"/>
        </w:trPr>
        <w:tc>
          <w:tcPr>
            <w:tcW w:w="60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20"/>
              <w:spacing w:after="0" w:line="15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64"/>
              <w:spacing w:after="0" w:line="156" w:lineRule="exact"/>
              <w:rPr>
                <w:sz w:val="20"/>
                <w:szCs w:val="20"/>
                <w:color w:val="auto"/>
              </w:rPr>
            </w:pPr>
            <w:r>
              <w:rPr>
                <w:rFonts w:ascii="Arial" w:cs="Arial" w:eastAsia="Arial" w:hAnsi="Arial"/>
                <w:sz w:val="15"/>
                <w:szCs w:val="15"/>
                <w:b w:val="1"/>
                <w:bCs w:val="1"/>
                <w:color w:val="auto"/>
                <w:w w:val="89"/>
              </w:rPr>
              <w:t>September 30,</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20"/>
              <w:spacing w:after="0" w:line="156" w:lineRule="exact"/>
              <w:rPr>
                <w:sz w:val="20"/>
                <w:szCs w:val="20"/>
                <w:color w:val="auto"/>
              </w:rPr>
            </w:pPr>
            <w:r>
              <w:rPr>
                <w:rFonts w:ascii="Arial" w:cs="Arial" w:eastAsia="Arial" w:hAnsi="Arial"/>
                <w:sz w:val="15"/>
                <w:szCs w:val="15"/>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64"/>
              <w:spacing w:after="0" w:line="156" w:lineRule="exact"/>
              <w:rPr>
                <w:sz w:val="20"/>
                <w:szCs w:val="20"/>
                <w:color w:val="auto"/>
              </w:rPr>
            </w:pPr>
            <w:r>
              <w:rPr>
                <w:rFonts w:ascii="Arial" w:cs="Arial" w:eastAsia="Arial" w:hAnsi="Arial"/>
                <w:sz w:val="15"/>
                <w:szCs w:val="15"/>
                <w:b w:val="1"/>
                <w:bCs w:val="1"/>
                <w:color w:val="auto"/>
                <w:w w:val="91"/>
              </w:rPr>
              <w:t>September 30,</w:t>
            </w:r>
          </w:p>
        </w:tc>
      </w:tr>
      <w:tr>
        <w:trPr>
          <w:trHeight w:val="202"/>
        </w:trPr>
        <w:tc>
          <w:tcPr>
            <w:tcW w:w="60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2022</w:t>
            </w:r>
          </w:p>
        </w:tc>
      </w:tr>
      <w:tr>
        <w:trPr>
          <w:trHeight w:val="200"/>
        </w:trPr>
        <w:tc>
          <w:tcPr>
            <w:tcW w:w="6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6000" w:type="dxa"/>
            <w:vAlign w:val="bottom"/>
          </w:tcPr>
          <w:p>
            <w:pPr>
              <w:ind w:left="200"/>
              <w:spacing w:after="0"/>
              <w:rPr>
                <w:sz w:val="20"/>
                <w:szCs w:val="20"/>
                <w:color w:val="auto"/>
              </w:rPr>
            </w:pPr>
            <w:r>
              <w:rPr>
                <w:rFonts w:ascii="Arial" w:cs="Arial" w:eastAsia="Arial" w:hAnsi="Arial"/>
                <w:sz w:val="15"/>
                <w:szCs w:val="15"/>
                <w:color w:val="auto"/>
              </w:rPr>
              <w:t>Real property</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618.8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585.7</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1,586.4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1,461.6</w:t>
            </w:r>
          </w:p>
        </w:tc>
      </w:tr>
      <w:tr>
        <w:trPr>
          <w:trHeight w:val="207"/>
        </w:trPr>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Home sales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358.1</w:t>
            </w:r>
          </w:p>
        </w:tc>
      </w:tr>
      <w:tr>
        <w:trPr>
          <w:trHeight w:val="198"/>
        </w:trPr>
        <w:tc>
          <w:tcPr>
            <w:tcW w:w="6000" w:type="dxa"/>
            <w:vAlign w:val="bottom"/>
          </w:tcPr>
          <w:p>
            <w:pPr>
              <w:ind w:left="200"/>
              <w:spacing w:after="0"/>
              <w:rPr>
                <w:sz w:val="20"/>
                <w:szCs w:val="20"/>
                <w:color w:val="auto"/>
              </w:rPr>
            </w:pPr>
            <w:r>
              <w:rPr>
                <w:rFonts w:ascii="Arial" w:cs="Arial" w:eastAsia="Arial" w:hAnsi="Arial"/>
                <w:sz w:val="15"/>
                <w:szCs w:val="15"/>
                <w:color w:val="auto"/>
              </w:rPr>
              <w:t>Service, retail, dining and entertainment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174.2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498.9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423.0</w:t>
            </w:r>
          </w:p>
        </w:tc>
      </w:tr>
      <w:tr>
        <w:trPr>
          <w:trHeight w:val="207"/>
        </w:trPr>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Interest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w:t>
            </w:r>
          </w:p>
        </w:tc>
      </w:tr>
      <w:tr>
        <w:trPr>
          <w:trHeight w:val="198"/>
        </w:trPr>
        <w:tc>
          <w:tcPr>
            <w:tcW w:w="60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Brokerage commissions and other, net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45.3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w:t>
            </w:r>
          </w:p>
        </w:tc>
      </w:tr>
      <w:tr>
        <w:trPr>
          <w:trHeight w:val="200"/>
        </w:trPr>
        <w:tc>
          <w:tcPr>
            <w:tcW w:w="6000" w:type="dxa"/>
            <w:vAlign w:val="bottom"/>
            <w:shd w:val="clear" w:color="auto" w:fill="CCEEFF"/>
          </w:tcPr>
          <w:p>
            <w:pPr>
              <w:ind w:left="340"/>
              <w:spacing w:after="0"/>
              <w:rPr>
                <w:sz w:val="20"/>
                <w:szCs w:val="20"/>
                <w:color w:val="auto"/>
              </w:rPr>
            </w:pPr>
            <w:r>
              <w:rPr>
                <w:rFonts w:ascii="Arial" w:cs="Arial" w:eastAsia="Arial" w:hAnsi="Arial"/>
                <w:sz w:val="15"/>
                <w:szCs w:val="15"/>
                <w:b w:val="1"/>
                <w:bCs w:val="1"/>
                <w:color w:val="auto"/>
              </w:rPr>
              <w:t>Total Revenues</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983.2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932.6</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2,497.9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2,295.4</w:t>
            </w:r>
          </w:p>
        </w:tc>
      </w:tr>
      <w:tr>
        <w:trPr>
          <w:trHeight w:val="192"/>
        </w:trPr>
        <w:tc>
          <w:tcPr>
            <w:tcW w:w="6000" w:type="dxa"/>
            <w:vAlign w:val="bottom"/>
          </w:tcPr>
          <w:p>
            <w:pPr>
              <w:spacing w:after="0"/>
              <w:rPr>
                <w:sz w:val="20"/>
                <w:szCs w:val="20"/>
                <w:color w:val="auto"/>
              </w:rPr>
            </w:pPr>
            <w:r>
              <w:rPr>
                <w:rFonts w:ascii="Arial" w:cs="Arial" w:eastAsia="Arial" w:hAnsi="Arial"/>
                <w:sz w:val="15"/>
                <w:szCs w:val="15"/>
                <w:b w:val="1"/>
                <w:bCs w:val="1"/>
                <w:color w:val="auto"/>
              </w:rPr>
              <w:t>Expenses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7"/>
        </w:trPr>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Property operating and maintenance</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469.2</w:t>
            </w:r>
          </w:p>
        </w:tc>
      </w:tr>
      <w:tr>
        <w:trPr>
          <w:trHeight w:val="198"/>
        </w:trPr>
        <w:tc>
          <w:tcPr>
            <w:tcW w:w="6000" w:type="dxa"/>
            <w:vAlign w:val="bottom"/>
          </w:tcPr>
          <w:p>
            <w:pPr>
              <w:ind w:left="200"/>
              <w:spacing w:after="0"/>
              <w:rPr>
                <w:sz w:val="20"/>
                <w:szCs w:val="20"/>
                <w:color w:val="auto"/>
              </w:rPr>
            </w:pPr>
            <w:r>
              <w:rPr>
                <w:rFonts w:ascii="Arial" w:cs="Arial" w:eastAsia="Arial" w:hAnsi="Arial"/>
                <w:sz w:val="15"/>
                <w:szCs w:val="15"/>
                <w:color w:val="auto"/>
              </w:rPr>
              <w:t>Real estate tax</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89.4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83.2</w:t>
            </w:r>
          </w:p>
        </w:tc>
      </w:tr>
      <w:tr>
        <w:trPr>
          <w:trHeight w:val="207"/>
        </w:trPr>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Home costs and selling</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224.9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235.2</w:t>
            </w:r>
          </w:p>
        </w:tc>
      </w:tr>
      <w:tr>
        <w:trPr>
          <w:trHeight w:val="198"/>
        </w:trPr>
        <w:tc>
          <w:tcPr>
            <w:tcW w:w="6000" w:type="dxa"/>
            <w:vAlign w:val="bottom"/>
          </w:tcPr>
          <w:p>
            <w:pPr>
              <w:ind w:left="200"/>
              <w:spacing w:after="0"/>
              <w:rPr>
                <w:sz w:val="20"/>
                <w:szCs w:val="20"/>
                <w:color w:val="auto"/>
              </w:rPr>
            </w:pPr>
            <w:r>
              <w:rPr>
                <w:rFonts w:ascii="Arial" w:cs="Arial" w:eastAsia="Arial" w:hAnsi="Arial"/>
                <w:sz w:val="15"/>
                <w:szCs w:val="15"/>
                <w:color w:val="auto"/>
              </w:rPr>
              <w:t>Service, retail, dining and entertainment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144.9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450.4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363.3</w:t>
            </w:r>
          </w:p>
        </w:tc>
      </w:tr>
      <w:tr>
        <w:trPr>
          <w:trHeight w:val="207"/>
        </w:trPr>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General and administrative</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187.0</w:t>
            </w:r>
          </w:p>
        </w:tc>
      </w:tr>
      <w:tr>
        <w:trPr>
          <w:trHeight w:val="198"/>
        </w:trPr>
        <w:tc>
          <w:tcPr>
            <w:tcW w:w="6000" w:type="dxa"/>
            <w:vAlign w:val="bottom"/>
          </w:tcPr>
          <w:p>
            <w:pPr>
              <w:ind w:left="200"/>
              <w:spacing w:after="0"/>
              <w:rPr>
                <w:sz w:val="20"/>
                <w:szCs w:val="20"/>
                <w:color w:val="auto"/>
              </w:rPr>
            </w:pPr>
            <w:r>
              <w:rPr>
                <w:rFonts w:ascii="Arial" w:cs="Arial" w:eastAsia="Arial" w:hAnsi="Arial"/>
                <w:sz w:val="15"/>
                <w:szCs w:val="15"/>
                <w:color w:val="auto"/>
              </w:rPr>
              <w:t>Catastrophic event-related charges, net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12.3</w:t>
            </w:r>
          </w:p>
        </w:tc>
      </w:tr>
      <w:tr>
        <w:trPr>
          <w:trHeight w:val="207"/>
        </w:trPr>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Business combinations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w:t>
            </w:r>
          </w:p>
        </w:tc>
      </w:tr>
      <w:tr>
        <w:trPr>
          <w:trHeight w:val="198"/>
        </w:trPr>
        <w:tc>
          <w:tcPr>
            <w:tcW w:w="6000" w:type="dxa"/>
            <w:vAlign w:val="bottom"/>
          </w:tcPr>
          <w:p>
            <w:pPr>
              <w:ind w:left="200"/>
              <w:spacing w:after="0"/>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149.7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482.3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447.7</w:t>
            </w:r>
          </w:p>
        </w:tc>
      </w:tr>
      <w:tr>
        <w:trPr>
          <w:trHeight w:val="207"/>
        </w:trPr>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Asset impairments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198"/>
        </w:trPr>
        <w:tc>
          <w:tcPr>
            <w:tcW w:w="6000" w:type="dxa"/>
            <w:vAlign w:val="bottom"/>
          </w:tcPr>
          <w:p>
            <w:pPr>
              <w:ind w:left="200"/>
              <w:spacing w:after="0"/>
              <w:rPr>
                <w:sz w:val="20"/>
                <w:szCs w:val="20"/>
                <w:color w:val="auto"/>
              </w:rPr>
            </w:pPr>
            <w:r>
              <w:rPr>
                <w:rFonts w:ascii="Arial" w:cs="Arial" w:eastAsia="Arial" w:hAnsi="Arial"/>
                <w:sz w:val="15"/>
                <w:szCs w:val="15"/>
                <w:color w:val="auto"/>
              </w:rPr>
              <w:t>Loss on extinguishment of debt (see Note 8)</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07"/>
        </w:trPr>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Interest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162.2</w:t>
            </w:r>
          </w:p>
        </w:tc>
      </w:tr>
      <w:tr>
        <w:trPr>
          <w:trHeight w:val="198"/>
        </w:trPr>
        <w:tc>
          <w:tcPr>
            <w:tcW w:w="60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Interest on mandatorily redeemable preferred OP units / equity</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2.7</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r>
      <w:tr>
        <w:trPr>
          <w:trHeight w:val="200"/>
        </w:trPr>
        <w:tc>
          <w:tcPr>
            <w:tcW w:w="6000" w:type="dxa"/>
            <w:vAlign w:val="bottom"/>
            <w:shd w:val="clear" w:color="auto" w:fill="CCEEFF"/>
          </w:tcPr>
          <w:p>
            <w:pPr>
              <w:ind w:left="340"/>
              <w:spacing w:after="0"/>
              <w:rPr>
                <w:sz w:val="20"/>
                <w:szCs w:val="20"/>
                <w:color w:val="auto"/>
              </w:rPr>
            </w:pPr>
            <w:r>
              <w:rPr>
                <w:rFonts w:ascii="Arial" w:cs="Arial" w:eastAsia="Arial" w:hAnsi="Arial"/>
                <w:sz w:val="15"/>
                <w:szCs w:val="15"/>
                <w:b w:val="1"/>
                <w:bCs w:val="1"/>
                <w:color w:val="auto"/>
              </w:rPr>
              <w:t>Total Expenses</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795.8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2,223.6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1,993.8</w:t>
            </w:r>
          </w:p>
        </w:tc>
      </w:tr>
      <w:tr>
        <w:trPr>
          <w:trHeight w:val="192"/>
        </w:trPr>
        <w:tc>
          <w:tcPr>
            <w:tcW w:w="6000" w:type="dxa"/>
            <w:vAlign w:val="bottom"/>
          </w:tcPr>
          <w:p>
            <w:pPr>
              <w:spacing w:after="0"/>
              <w:rPr>
                <w:sz w:val="20"/>
                <w:szCs w:val="20"/>
                <w:color w:val="auto"/>
              </w:rPr>
            </w:pPr>
            <w:r>
              <w:rPr>
                <w:rFonts w:ascii="Arial" w:cs="Arial" w:eastAsia="Arial" w:hAnsi="Arial"/>
                <w:sz w:val="15"/>
                <w:szCs w:val="15"/>
                <w:b w:val="1"/>
                <w:bCs w:val="1"/>
                <w:color w:val="auto"/>
              </w:rPr>
              <w:t>Income Before Other Items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169.5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274.3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301.6</w:t>
            </w:r>
          </w:p>
        </w:tc>
      </w:tr>
      <w:tr>
        <w:trPr>
          <w:trHeight w:val="207"/>
        </w:trPr>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Gain / (loss) on remeasurement of marketable securities (see Note 15)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(74.0)</w:t>
            </w:r>
          </w:p>
        </w:tc>
      </w:tr>
      <w:tr>
        <w:trPr>
          <w:trHeight w:val="198"/>
        </w:trPr>
        <w:tc>
          <w:tcPr>
            <w:tcW w:w="6000" w:type="dxa"/>
            <w:vAlign w:val="bottom"/>
          </w:tcPr>
          <w:p>
            <w:pPr>
              <w:ind w:left="200"/>
              <w:spacing w:after="0"/>
              <w:rPr>
                <w:sz w:val="20"/>
                <w:szCs w:val="20"/>
                <w:color w:val="auto"/>
              </w:rPr>
            </w:pPr>
            <w:r>
              <w:rPr>
                <w:rFonts w:ascii="Arial" w:cs="Arial" w:eastAsia="Arial" w:hAnsi="Arial"/>
                <w:sz w:val="15"/>
                <w:szCs w:val="15"/>
                <w:color w:val="auto"/>
              </w:rPr>
              <w:t>Gain / (loss) on foreign currency exchanges</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21.7</w:t>
            </w:r>
          </w:p>
        </w:tc>
      </w:tr>
      <w:tr>
        <w:trPr>
          <w:trHeight w:val="207"/>
        </w:trPr>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Gain / (loss) on dispositions of properties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r>
      <w:tr>
        <w:trPr>
          <w:trHeight w:val="198"/>
        </w:trPr>
        <w:tc>
          <w:tcPr>
            <w:tcW w:w="6000" w:type="dxa"/>
            <w:vAlign w:val="bottom"/>
          </w:tcPr>
          <w:p>
            <w:pPr>
              <w:ind w:left="200"/>
              <w:spacing w:after="0"/>
              <w:rPr>
                <w:sz w:val="20"/>
                <w:szCs w:val="20"/>
                <w:color w:val="auto"/>
              </w:rPr>
            </w:pPr>
            <w:r>
              <w:rPr>
                <w:rFonts w:ascii="Arial" w:cs="Arial" w:eastAsia="Arial" w:hAnsi="Arial"/>
                <w:sz w:val="15"/>
                <w:szCs w:val="15"/>
                <w:color w:val="auto"/>
              </w:rPr>
              <w:t>Other income / (expense), net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07"/>
        </w:trPr>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Gain / (loss) on remeasurement of notes receivable (see Note 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25"/>
        </w:trPr>
        <w:tc>
          <w:tcPr>
            <w:tcW w:w="6000" w:type="dxa"/>
            <w:vAlign w:val="bottom"/>
          </w:tcPr>
          <w:p>
            <w:pPr>
              <w:ind w:left="200"/>
              <w:spacing w:after="0"/>
              <w:rPr>
                <w:sz w:val="20"/>
                <w:szCs w:val="20"/>
                <w:color w:val="auto"/>
              </w:rPr>
            </w:pPr>
            <w:r>
              <w:rPr>
                <w:rFonts w:ascii="Arial" w:cs="Arial" w:eastAsia="Arial" w:hAnsi="Arial"/>
                <w:sz w:val="15"/>
                <w:szCs w:val="15"/>
                <w:color w:val="auto"/>
              </w:rPr>
              <w:t>Income from nonconsolidated affiliates (see Note 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34"/>
        </w:trPr>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w w:val="99"/>
              </w:rPr>
              <w:t>Gain / (loss) on remeasurement of investment in nonconsolidated affiliates (see Note 6)</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25"/>
        </w:trPr>
        <w:tc>
          <w:tcPr>
            <w:tcW w:w="6000" w:type="dxa"/>
            <w:vAlign w:val="bottom"/>
          </w:tcPr>
          <w:p>
            <w:pPr>
              <w:ind w:left="200"/>
              <w:spacing w:after="0"/>
              <w:rPr>
                <w:sz w:val="20"/>
                <w:szCs w:val="20"/>
                <w:color w:val="auto"/>
              </w:rPr>
            </w:pPr>
            <w:r>
              <w:rPr>
                <w:rFonts w:ascii="Arial" w:cs="Arial" w:eastAsia="Arial" w:hAnsi="Arial"/>
                <w:sz w:val="15"/>
                <w:szCs w:val="15"/>
                <w:color w:val="auto"/>
              </w:rPr>
              <w:t>Current tax expense (see Note 12)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(12.5)</w:t>
            </w:r>
          </w:p>
        </w:tc>
      </w:tr>
      <w:tr>
        <w:trPr>
          <w:trHeight w:val="207"/>
        </w:trPr>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Deferred tax benefit (see Note 12)</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w:t>
            </w:r>
          </w:p>
        </w:tc>
      </w:tr>
      <w:tr>
        <w:trPr>
          <w:trHeight w:val="192"/>
        </w:trPr>
        <w:tc>
          <w:tcPr>
            <w:tcW w:w="6000" w:type="dxa"/>
            <w:vAlign w:val="bottom"/>
          </w:tcPr>
          <w:p>
            <w:pPr>
              <w:spacing w:after="0"/>
              <w:rPr>
                <w:sz w:val="20"/>
                <w:szCs w:val="20"/>
                <w:color w:val="auto"/>
              </w:rPr>
            </w:pPr>
            <w:r>
              <w:rPr>
                <w:rFonts w:ascii="Arial" w:cs="Arial" w:eastAsia="Arial" w:hAnsi="Arial"/>
                <w:sz w:val="15"/>
                <w:szCs w:val="15"/>
                <w:b w:val="1"/>
                <w:bCs w:val="1"/>
                <w:color w:val="auto"/>
              </w:rPr>
              <w:t>Net Income</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177.0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245.0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259.8</w:t>
            </w:r>
          </w:p>
        </w:tc>
      </w:tr>
      <w:tr>
        <w:trPr>
          <w:trHeight w:val="207"/>
        </w:trPr>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Less: Preferred return to preferred OP units / equity interests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r>
      <w:tr>
        <w:trPr>
          <w:trHeight w:val="198"/>
        </w:trPr>
        <w:tc>
          <w:tcPr>
            <w:tcW w:w="60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Less: Income attributable to noncontrolling interests</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w:t>
            </w:r>
          </w:p>
        </w:tc>
      </w:tr>
      <w:tr>
        <w:trPr>
          <w:trHeight w:val="225"/>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Income Attributable to SUI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222.8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common shares outstanding - basic</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119.2</w:t>
            </w:r>
          </w:p>
        </w:tc>
      </w:tr>
      <w:tr>
        <w:trPr>
          <w:trHeight w:val="198"/>
        </w:trPr>
        <w:tc>
          <w:tcPr>
            <w:tcW w:w="6000" w:type="dxa"/>
            <w:vAlign w:val="bottom"/>
          </w:tcPr>
          <w:p>
            <w:pPr>
              <w:spacing w:after="0"/>
              <w:rPr>
                <w:sz w:val="20"/>
                <w:szCs w:val="20"/>
                <w:color w:val="auto"/>
              </w:rPr>
            </w:pPr>
            <w:r>
              <w:rPr>
                <w:rFonts w:ascii="Arial" w:cs="Arial" w:eastAsia="Arial" w:hAnsi="Arial"/>
                <w:sz w:val="15"/>
                <w:szCs w:val="15"/>
                <w:color w:val="auto"/>
              </w:rPr>
              <w:t>Weighted average common shares outstanding - diluted</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122.8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123.4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121.9</w:t>
            </w:r>
          </w:p>
        </w:tc>
      </w:tr>
      <w:tr>
        <w:trPr>
          <w:trHeight w:val="166"/>
        </w:trPr>
        <w:tc>
          <w:tcPr>
            <w:tcW w:w="6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9"/>
        </w:trPr>
        <w:tc>
          <w:tcPr>
            <w:tcW w:w="6000" w:type="dxa"/>
            <w:vAlign w:val="bottom"/>
          </w:tcPr>
          <w:p>
            <w:pPr>
              <w:spacing w:after="0"/>
              <w:rPr>
                <w:sz w:val="20"/>
                <w:szCs w:val="20"/>
                <w:color w:val="auto"/>
              </w:rPr>
            </w:pPr>
            <w:r>
              <w:rPr>
                <w:rFonts w:ascii="Arial" w:cs="Arial" w:eastAsia="Arial" w:hAnsi="Arial"/>
                <w:sz w:val="15"/>
                <w:szCs w:val="15"/>
                <w:color w:val="auto"/>
              </w:rPr>
              <w:t>Basic earnings per share (see Note 13)</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1.31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1.32</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1.79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1.98</w:t>
            </w:r>
          </w:p>
        </w:tc>
      </w:tr>
      <w:tr>
        <w:trPr>
          <w:trHeight w:val="233"/>
        </w:trPr>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Diluted earnings per share (see Note 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w:t>
            </w: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64"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millions)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ind w:left="52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2540" w:type="dxa"/>
            <w:vAlign w:val="bottom"/>
            <w:gridSpan w:val="4"/>
          </w:tcPr>
          <w:p>
            <w:pPr>
              <w:jc w:val="right"/>
              <w:ind w:right="604"/>
              <w:spacing w:after="0"/>
              <w:rPr>
                <w:sz w:val="20"/>
                <w:szCs w:val="20"/>
                <w:color w:val="auto"/>
              </w:rPr>
            </w:pPr>
            <w:r>
              <w:rPr>
                <w:rFonts w:ascii="Arial" w:cs="Arial" w:eastAsia="Arial" w:hAnsi="Arial"/>
                <w:sz w:val="15"/>
                <w:szCs w:val="15"/>
                <w:b w:val="1"/>
                <w:bCs w:val="1"/>
                <w:color w:val="auto"/>
              </w:rPr>
              <w:t>Nine Months Ended</w:t>
            </w:r>
          </w:p>
        </w:tc>
      </w:tr>
      <w:tr>
        <w:trPr>
          <w:trHeight w:val="156"/>
        </w:trPr>
        <w:tc>
          <w:tcPr>
            <w:tcW w:w="5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60"/>
              <w:spacing w:after="0" w:line="156" w:lineRule="exact"/>
              <w:rPr>
                <w:sz w:val="20"/>
                <w:szCs w:val="20"/>
                <w:color w:val="auto"/>
              </w:rPr>
            </w:pPr>
            <w:r>
              <w:rPr>
                <w:rFonts w:ascii="Arial" w:cs="Arial" w:eastAsia="Arial" w:hAnsi="Arial"/>
                <w:sz w:val="15"/>
                <w:szCs w:val="15"/>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04"/>
              <w:spacing w:after="0" w:line="156" w:lineRule="exact"/>
              <w:rPr>
                <w:sz w:val="20"/>
                <w:szCs w:val="20"/>
                <w:color w:val="auto"/>
              </w:rPr>
            </w:pPr>
            <w:r>
              <w:rPr>
                <w:rFonts w:ascii="Arial" w:cs="Arial" w:eastAsia="Arial" w:hAnsi="Arial"/>
                <w:sz w:val="15"/>
                <w:szCs w:val="15"/>
                <w:b w:val="1"/>
                <w:bCs w:val="1"/>
                <w:color w:val="auto"/>
                <w:w w:val="93"/>
              </w:rPr>
              <w:t>September 30,</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40"/>
              <w:spacing w:after="0" w:line="156" w:lineRule="exact"/>
              <w:rPr>
                <w:sz w:val="20"/>
                <w:szCs w:val="20"/>
                <w:color w:val="auto"/>
              </w:rPr>
            </w:pPr>
            <w:r>
              <w:rPr>
                <w:rFonts w:ascii="Arial" w:cs="Arial" w:eastAsia="Arial" w:hAnsi="Arial"/>
                <w:sz w:val="15"/>
                <w:szCs w:val="15"/>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04"/>
              <w:spacing w:after="0" w:line="156" w:lineRule="exact"/>
              <w:rPr>
                <w:sz w:val="20"/>
                <w:szCs w:val="20"/>
                <w:color w:val="auto"/>
              </w:rPr>
            </w:pPr>
            <w:r>
              <w:rPr>
                <w:rFonts w:ascii="Arial" w:cs="Arial" w:eastAsia="Arial" w:hAnsi="Arial"/>
                <w:sz w:val="15"/>
                <w:szCs w:val="15"/>
                <w:b w:val="1"/>
                <w:bCs w:val="1"/>
                <w:color w:val="auto"/>
                <w:w w:val="93"/>
              </w:rPr>
              <w:t>September 30,</w:t>
            </w:r>
          </w:p>
        </w:tc>
      </w:tr>
      <w:tr>
        <w:trPr>
          <w:trHeight w:val="202"/>
        </w:trPr>
        <w:tc>
          <w:tcPr>
            <w:tcW w:w="57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2022</w:t>
            </w:r>
          </w:p>
        </w:tc>
      </w:tr>
      <w:tr>
        <w:trPr>
          <w:trHeight w:val="200"/>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259.8</w:t>
            </w:r>
          </w:p>
        </w:tc>
      </w:tr>
      <w:tr>
        <w:trPr>
          <w:trHeight w:val="198"/>
        </w:trPr>
        <w:tc>
          <w:tcPr>
            <w:tcW w:w="5700" w:type="dxa"/>
            <w:vAlign w:val="bottom"/>
          </w:tcPr>
          <w:p>
            <w:pPr>
              <w:ind w:left="140"/>
              <w:spacing w:after="0"/>
              <w:rPr>
                <w:sz w:val="20"/>
                <w:szCs w:val="20"/>
                <w:color w:val="auto"/>
              </w:rPr>
            </w:pPr>
            <w:r>
              <w:rPr>
                <w:rFonts w:ascii="Arial" w:cs="Arial" w:eastAsia="Arial" w:hAnsi="Arial"/>
                <w:sz w:val="15"/>
                <w:szCs w:val="15"/>
                <w:color w:val="auto"/>
              </w:rPr>
              <w:t>Foreign Currency Translation</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57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Foreign currency translation gain / (loss) arising during period</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(151.2)</w:t>
            </w:r>
          </w:p>
        </w:tc>
      </w:tr>
      <w:tr>
        <w:trPr>
          <w:trHeight w:val="198"/>
        </w:trPr>
        <w:tc>
          <w:tcPr>
            <w:tcW w:w="5700" w:type="dxa"/>
            <w:vAlign w:val="bottom"/>
          </w:tcPr>
          <w:p>
            <w:pPr>
              <w:ind w:left="240"/>
              <w:spacing w:after="0"/>
              <w:rPr>
                <w:sz w:val="20"/>
                <w:szCs w:val="20"/>
                <w:color w:val="auto"/>
              </w:rPr>
            </w:pPr>
            <w:r>
              <w:rPr>
                <w:rFonts w:ascii="Arial" w:cs="Arial" w:eastAsia="Arial" w:hAnsi="Arial"/>
                <w:sz w:val="15"/>
                <w:szCs w:val="15"/>
                <w:color w:val="auto"/>
                <w:w w:val="95"/>
              </w:rPr>
              <w:t>Adjustment for accumulated foreign currency translation loss reclassified into earnings</w:t>
            </w:r>
          </w:p>
        </w:tc>
        <w:tc>
          <w:tcPr>
            <w:tcW w:w="1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57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Net foreign currency translation gain / (loss)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(84.2)</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(151.2)</w:t>
            </w:r>
          </w:p>
        </w:tc>
      </w:tr>
      <w:tr>
        <w:trPr>
          <w:trHeight w:val="178"/>
        </w:trPr>
        <w:tc>
          <w:tcPr>
            <w:tcW w:w="5700" w:type="dxa"/>
            <w:vAlign w:val="bottom"/>
          </w:tcPr>
          <w:p>
            <w:pPr>
              <w:ind w:left="140"/>
              <w:spacing w:after="0"/>
              <w:rPr>
                <w:sz w:val="20"/>
                <w:szCs w:val="20"/>
                <w:color w:val="auto"/>
              </w:rPr>
            </w:pPr>
            <w:r>
              <w:rPr>
                <w:rFonts w:ascii="Arial" w:cs="Arial" w:eastAsia="Arial" w:hAnsi="Arial"/>
                <w:sz w:val="15"/>
                <w:szCs w:val="15"/>
                <w:color w:val="auto"/>
              </w:rPr>
              <w:t>Cash Flow Hedges</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7"/>
        </w:trPr>
        <w:tc>
          <w:tcPr>
            <w:tcW w:w="57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unrealized gain / (loss) on interest rate derivatives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75.7</w:t>
            </w:r>
          </w:p>
        </w:tc>
      </w:tr>
      <w:tr>
        <w:trPr>
          <w:trHeight w:val="198"/>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Less: Interest rate derivative (gain) / loss reclassified to earnings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w:t>
            </w:r>
          </w:p>
        </w:tc>
      </w:tr>
      <w:tr>
        <w:trPr>
          <w:trHeight w:val="200"/>
        </w:trPr>
        <w:tc>
          <w:tcPr>
            <w:tcW w:w="57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unrealized gain / (loss) on interest rate derivatives</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75.1</w:t>
            </w:r>
          </w:p>
        </w:tc>
      </w:tr>
      <w:tr>
        <w:trPr>
          <w:trHeight w:val="192"/>
        </w:trPr>
        <w:tc>
          <w:tcPr>
            <w:tcW w:w="570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133.7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260.7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183.7</w:t>
            </w:r>
          </w:p>
        </w:tc>
      </w:tr>
      <w:tr>
        <w:trPr>
          <w:trHeight w:val="203"/>
        </w:trPr>
        <w:tc>
          <w:tcPr>
            <w:tcW w:w="57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Less: Comprehensive income attributable to noncontrolling interests</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w:t>
            </w:r>
          </w:p>
        </w:tc>
      </w:tr>
      <w:tr>
        <w:trPr>
          <w:trHeight w:val="200"/>
        </w:trPr>
        <w:tc>
          <w:tcPr>
            <w:tcW w:w="5700" w:type="dxa"/>
            <w:vAlign w:val="bottom"/>
          </w:tcPr>
          <w:p>
            <w:pPr>
              <w:ind w:left="20"/>
              <w:spacing w:after="0"/>
              <w:rPr>
                <w:sz w:val="20"/>
                <w:szCs w:val="20"/>
                <w:color w:val="auto"/>
              </w:rPr>
            </w:pPr>
            <w:r>
              <w:rPr>
                <w:rFonts w:ascii="Arial" w:cs="Arial" w:eastAsia="Arial" w:hAnsi="Arial"/>
                <w:sz w:val="15"/>
                <w:szCs w:val="15"/>
                <w:b w:val="1"/>
                <w:bCs w:val="1"/>
                <w:color w:val="auto"/>
              </w:rPr>
              <w:t>Comprehensive Income attributable to SUI</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134.0</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123.5</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172.9</w:t>
            </w:r>
          </w:p>
        </w:tc>
      </w:tr>
      <w:tr>
        <w:trPr>
          <w:trHeight w:val="21"/>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jc w:val="right"/>
              <w:ind w:right="4"/>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Additional</w:t>
            </w:r>
          </w:p>
        </w:tc>
        <w:tc>
          <w:tcPr>
            <w:tcW w:w="8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4"/>
              </w:rPr>
              <w:t>Distributions</w:t>
            </w:r>
          </w:p>
        </w:tc>
        <w:tc>
          <w:tcPr>
            <w:tcW w:w="1000" w:type="dxa"/>
            <w:vAlign w:val="bottom"/>
            <w:gridSpan w:val="2"/>
          </w:tcPr>
          <w:p>
            <w:pPr>
              <w:jc w:val="right"/>
              <w:ind w:right="24"/>
              <w:spacing w:after="0" w:line="13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8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1"/>
                <w:szCs w:val="11"/>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Temporary</w:t>
            </w:r>
          </w:p>
        </w:tc>
        <w:tc>
          <w:tcPr>
            <w:tcW w:w="8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jc w:val="right"/>
              <w:ind w:right="4"/>
              <w:spacing w:after="0" w:line="149" w:lineRule="exact"/>
              <w:rPr>
                <w:sz w:val="20"/>
                <w:szCs w:val="20"/>
                <w:color w:val="auto"/>
              </w:rPr>
            </w:pPr>
            <w:r>
              <w:rPr>
                <w:rFonts w:ascii="Arial" w:cs="Arial" w:eastAsia="Arial" w:hAnsi="Arial"/>
                <w:sz w:val="14"/>
                <w:szCs w:val="14"/>
                <w:b w:val="1"/>
                <w:bCs w:val="1"/>
                <w:color w:val="auto"/>
                <w:w w:val="92"/>
              </w:rPr>
              <w:t>in Excess of</w:t>
            </w:r>
          </w:p>
        </w:tc>
        <w:tc>
          <w:tcPr>
            <w:tcW w:w="200" w:type="dxa"/>
            <w:vAlign w:val="bottom"/>
          </w:tcPr>
          <w:p>
            <w:pPr>
              <w:spacing w:after="0"/>
              <w:rPr>
                <w:sz w:val="12"/>
                <w:szCs w:val="12"/>
                <w:color w:val="auto"/>
              </w:rPr>
            </w:pPr>
          </w:p>
        </w:tc>
        <w:tc>
          <w:tcPr>
            <w:tcW w:w="800" w:type="dxa"/>
            <w:vAlign w:val="bottom"/>
          </w:tcPr>
          <w:p>
            <w:pPr>
              <w:jc w:val="right"/>
              <w:ind w:right="244"/>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6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600" w:type="dxa"/>
            <w:vAlign w:val="bottom"/>
          </w:tcPr>
          <w:p>
            <w:pPr>
              <w:jc w:val="right"/>
              <w:ind w:right="44"/>
              <w:spacing w:after="0" w:line="145" w:lineRule="exact"/>
              <w:rPr>
                <w:sz w:val="20"/>
                <w:szCs w:val="20"/>
                <w:color w:val="auto"/>
              </w:rPr>
            </w:pPr>
            <w:r>
              <w:rPr>
                <w:rFonts w:ascii="Arial" w:cs="Arial" w:eastAsia="Arial" w:hAnsi="Arial"/>
                <w:sz w:val="14"/>
                <w:szCs w:val="14"/>
                <w:b w:val="1"/>
                <w:bCs w:val="1"/>
                <w:color w:val="auto"/>
                <w:w w:val="98"/>
              </w:rPr>
              <w:t>Paid-in</w:t>
            </w:r>
          </w:p>
        </w:tc>
        <w:tc>
          <w:tcPr>
            <w:tcW w:w="1860" w:type="dxa"/>
            <w:vAlign w:val="bottom"/>
            <w:gridSpan w:val="4"/>
          </w:tcPr>
          <w:p>
            <w:pPr>
              <w:ind w:left="20"/>
              <w:spacing w:after="0" w:line="145" w:lineRule="exact"/>
              <w:rPr>
                <w:sz w:val="20"/>
                <w:szCs w:val="20"/>
                <w:color w:val="auto"/>
              </w:rPr>
            </w:pPr>
            <w:r>
              <w:rPr>
                <w:rFonts w:ascii="Arial" w:cs="Arial" w:eastAsia="Arial" w:hAnsi="Arial"/>
                <w:sz w:val="14"/>
                <w:szCs w:val="14"/>
                <w:b w:val="1"/>
                <w:bCs w:val="1"/>
                <w:color w:val="auto"/>
                <w:w w:val="92"/>
              </w:rPr>
              <w:t>Accumulated Comprehensive</w:t>
            </w:r>
          </w:p>
        </w:tc>
        <w:tc>
          <w:tcPr>
            <w:tcW w:w="120" w:type="dxa"/>
            <w:vAlign w:val="bottom"/>
          </w:tcPr>
          <w:p>
            <w:pPr>
              <w:spacing w:after="0"/>
              <w:rPr>
                <w:sz w:val="12"/>
                <w:szCs w:val="12"/>
                <w:color w:val="auto"/>
              </w:rPr>
            </w:pPr>
          </w:p>
        </w:tc>
        <w:tc>
          <w:tcPr>
            <w:tcW w:w="800" w:type="dxa"/>
            <w:vAlign w:val="bottom"/>
          </w:tcPr>
          <w:p>
            <w:pPr>
              <w:jc w:val="center"/>
              <w:ind w:right="24"/>
              <w:spacing w:after="0" w:line="145" w:lineRule="exact"/>
              <w:rPr>
                <w:sz w:val="20"/>
                <w:szCs w:val="20"/>
                <w:color w:val="auto"/>
              </w:rPr>
            </w:pPr>
            <w:r>
              <w:rPr>
                <w:rFonts w:ascii="Arial" w:cs="Arial" w:eastAsia="Arial" w:hAnsi="Arial"/>
                <w:sz w:val="14"/>
                <w:szCs w:val="14"/>
                <w:b w:val="1"/>
                <w:bCs w:val="1"/>
                <w:color w:val="auto"/>
                <w:w w:val="91"/>
              </w:rPr>
              <w:t>controlling</w:t>
            </w:r>
          </w:p>
        </w:tc>
        <w:tc>
          <w:tcPr>
            <w:tcW w:w="102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Stockholders'</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Equity</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w:t>
            </w:r>
          </w:p>
        </w:tc>
        <w:tc>
          <w:tcPr>
            <w:tcW w:w="80" w:type="dxa"/>
            <w:vAlign w:val="bottom"/>
          </w:tcPr>
          <w:p>
            <w:pPr>
              <w:spacing w:after="0"/>
              <w:rPr>
                <w:sz w:val="17"/>
                <w:szCs w:val="17"/>
                <w:color w:val="auto"/>
              </w:rPr>
            </w:pPr>
          </w:p>
        </w:tc>
        <w:tc>
          <w:tcPr>
            <w:tcW w:w="600" w:type="dxa"/>
            <w:vAlign w:val="bottom"/>
          </w:tcPr>
          <w:p>
            <w:pPr>
              <w:jc w:val="center"/>
              <w:ind w:right="4"/>
              <w:spacing w:after="0"/>
              <w:rPr>
                <w:sz w:val="20"/>
                <w:szCs w:val="20"/>
                <w:color w:val="auto"/>
              </w:rPr>
            </w:pPr>
            <w:r>
              <w:rPr>
                <w:rFonts w:ascii="Arial" w:cs="Arial" w:eastAsia="Arial" w:hAnsi="Arial"/>
                <w:sz w:val="14"/>
                <w:szCs w:val="14"/>
                <w:b w:val="1"/>
                <w:bCs w:val="1"/>
                <w:color w:val="auto"/>
                <w:w w:val="95"/>
              </w:rPr>
              <w:t>($Value)</w:t>
            </w:r>
          </w:p>
        </w:tc>
        <w:tc>
          <w:tcPr>
            <w:tcW w:w="120" w:type="dxa"/>
            <w:vAlign w:val="bottom"/>
          </w:tcPr>
          <w:p>
            <w:pPr>
              <w:spacing w:after="0"/>
              <w:rPr>
                <w:sz w:val="17"/>
                <w:szCs w:val="17"/>
                <w:color w:val="auto"/>
              </w:rPr>
            </w:pPr>
          </w:p>
        </w:tc>
        <w:tc>
          <w:tcPr>
            <w:tcW w:w="600" w:type="dxa"/>
            <w:vAlign w:val="bottom"/>
          </w:tcPr>
          <w:p>
            <w:pPr>
              <w:jc w:val="right"/>
              <w:ind w:right="44"/>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7"/>
                <w:szCs w:val="17"/>
                <w:color w:val="auto"/>
              </w:rPr>
            </w:pPr>
          </w:p>
        </w:tc>
        <w:tc>
          <w:tcPr>
            <w:tcW w:w="740" w:type="dxa"/>
            <w:vAlign w:val="bottom"/>
          </w:tcPr>
          <w:p>
            <w:pPr>
              <w:jc w:val="right"/>
              <w:ind w:right="84"/>
              <w:spacing w:after="0"/>
              <w:rPr>
                <w:sz w:val="20"/>
                <w:szCs w:val="20"/>
                <w:color w:val="auto"/>
              </w:rPr>
            </w:pPr>
            <w:r>
              <w:rPr>
                <w:rFonts w:ascii="Arial" w:cs="Arial" w:eastAsia="Arial" w:hAnsi="Arial"/>
                <w:sz w:val="14"/>
                <w:szCs w:val="14"/>
                <w:b w:val="1"/>
                <w:bCs w:val="1"/>
                <w:color w:val="auto"/>
                <w:w w:val="93"/>
              </w:rPr>
              <w:t>Earnings</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Income / (Loss)</w:t>
            </w:r>
          </w:p>
        </w:tc>
        <w:tc>
          <w:tcPr>
            <w:tcW w:w="120" w:type="dxa"/>
            <w:vAlign w:val="bottom"/>
          </w:tcPr>
          <w:p>
            <w:pPr>
              <w:spacing w:after="0"/>
              <w:rPr>
                <w:sz w:val="17"/>
                <w:szCs w:val="17"/>
                <w:color w:val="auto"/>
              </w:rPr>
            </w:pPr>
          </w:p>
        </w:tc>
        <w:tc>
          <w:tcPr>
            <w:tcW w:w="80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Interests</w:t>
            </w:r>
          </w:p>
        </w:tc>
        <w:tc>
          <w:tcPr>
            <w:tcW w:w="180" w:type="dxa"/>
            <w:vAlign w:val="bottom"/>
          </w:tcPr>
          <w:p>
            <w:pPr>
              <w:spacing w:after="0"/>
              <w:rPr>
                <w:sz w:val="17"/>
                <w:szCs w:val="17"/>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7"/>
                <w:szCs w:val="17"/>
                <w:color w:val="auto"/>
              </w:rPr>
            </w:pPr>
          </w:p>
        </w:tc>
        <w:tc>
          <w:tcPr>
            <w:tcW w:w="600" w:type="dxa"/>
            <w:vAlign w:val="bottom"/>
          </w:tcPr>
          <w:p>
            <w:pPr>
              <w:jc w:val="right"/>
              <w:ind w:right="6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2022</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202.9</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124.0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9,549.7</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(1,731.2)</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78.7</w:t>
            </w: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7,888.5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9"/>
              </w:rPr>
              <w:t>8,091.4</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Issuance of common stock and common OP units, net</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4.4</w:t>
            </w:r>
          </w:p>
        </w:tc>
        <w:tc>
          <w:tcPr>
            <w:tcW w:w="18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66"/>
        </w:trPr>
        <w:tc>
          <w:tcPr>
            <w:tcW w:w="36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w w:val="95"/>
              </w:rPr>
              <w:t>Common stock withheld to satisfy income tax obligations</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related to vesting of restricted stock awards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Conversion of OP units</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7.3</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66"/>
        </w:trPr>
        <w:tc>
          <w:tcPr>
            <w:tcW w:w="36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Issuance of third party equity interests in consolidated</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entities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w w:val="95"/>
              </w:rPr>
              <w:t>Share-based compensation - amortization and forfeitures</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Series K preferred OP units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Other comprehensive income</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17.6</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0.6</w:t>
            </w:r>
          </w:p>
        </w:tc>
        <w:tc>
          <w:tcPr>
            <w:tcW w:w="18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Distributions</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(115.8)</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(120.5)</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 Units accretion</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3640" w:type="dxa"/>
            <w:vAlign w:val="bottom"/>
          </w:tcPr>
          <w:p>
            <w:pPr>
              <w:ind w:left="20"/>
              <w:spacing w:after="0"/>
              <w:rPr>
                <w:sz w:val="20"/>
                <w:szCs w:val="20"/>
                <w:color w:val="auto"/>
              </w:rPr>
            </w:pPr>
            <w:r>
              <w:rPr>
                <w:rFonts w:ascii="Arial" w:cs="Arial" w:eastAsia="Arial" w:hAnsi="Arial"/>
                <w:sz w:val="15"/>
                <w:szCs w:val="15"/>
                <w:b w:val="1"/>
                <w:bCs w:val="1"/>
                <w:color w:val="auto"/>
              </w:rPr>
              <w:t>Balance at March 31, 2023</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298.9</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124.4</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9,556.4</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(1,875.0)</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79.8</w:t>
            </w: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7,770.1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9"/>
              </w:rPr>
              <w:t>8,069.0</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common stock and common OP units, net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2"/>
        </w:trPr>
        <w:tc>
          <w:tcPr>
            <w:tcW w:w="3640" w:type="dxa"/>
            <w:vAlign w:val="bottom"/>
          </w:tcPr>
          <w:p>
            <w:pPr>
              <w:ind w:left="20"/>
              <w:spacing w:after="0" w:line="162" w:lineRule="exact"/>
              <w:rPr>
                <w:sz w:val="20"/>
                <w:szCs w:val="20"/>
                <w:color w:val="auto"/>
              </w:rPr>
            </w:pPr>
            <w:r>
              <w:rPr>
                <w:rFonts w:ascii="Arial" w:cs="Arial" w:eastAsia="Arial" w:hAnsi="Arial"/>
                <w:sz w:val="15"/>
                <w:szCs w:val="15"/>
                <w:color w:val="auto"/>
                <w:w w:val="95"/>
              </w:rPr>
              <w:t>Common stock withheld to satisfy income tax obligations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related to vesting of restricted stock awards</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OP units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640" w:type="dxa"/>
            <w:vAlign w:val="bottom"/>
          </w:tcPr>
          <w:p>
            <w:pPr>
              <w:ind w:left="20"/>
              <w:spacing w:after="0" w:line="162" w:lineRule="exact"/>
              <w:rPr>
                <w:sz w:val="20"/>
                <w:szCs w:val="20"/>
                <w:color w:val="auto"/>
              </w:rPr>
            </w:pPr>
            <w:r>
              <w:rPr>
                <w:rFonts w:ascii="Arial" w:cs="Arial" w:eastAsia="Arial" w:hAnsi="Arial"/>
                <w:sz w:val="15"/>
                <w:szCs w:val="15"/>
                <w:color w:val="auto"/>
              </w:rPr>
              <w:t>Issuance of third party equity interests in consolidated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entities</w:t>
            </w:r>
          </w:p>
        </w:tc>
        <w:tc>
          <w:tcPr>
            <w:tcW w:w="12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redeemable noncontrolling interests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w w:val="95"/>
              </w:rPr>
              <w:t>Share-based compensation - amortization and forfeitures</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10.3</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0.2</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Series K preferred OP units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Other comprehensive income</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29.9</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w:t>
            </w:r>
          </w:p>
        </w:tc>
        <w:tc>
          <w:tcPr>
            <w:tcW w:w="18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31.2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31.2</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97.5</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Distributions</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(115.7)</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(121.1)</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 Units accretion</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0.7</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3640" w:type="dxa"/>
            <w:vAlign w:val="bottom"/>
          </w:tcPr>
          <w:p>
            <w:pPr>
              <w:ind w:left="20"/>
              <w:spacing w:after="0"/>
              <w:rPr>
                <w:sz w:val="20"/>
                <w:szCs w:val="20"/>
                <w:color w:val="auto"/>
              </w:rPr>
            </w:pPr>
            <w:r>
              <w:rPr>
                <w:rFonts w:ascii="Arial" w:cs="Arial" w:eastAsia="Arial" w:hAnsi="Arial"/>
                <w:sz w:val="15"/>
                <w:szCs w:val="15"/>
                <w:b w:val="1"/>
                <w:bCs w:val="1"/>
                <w:color w:val="auto"/>
              </w:rPr>
              <w:t>Balance at June 30, 2023</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298.1</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124.4</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9,567.5</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(1,898.2)</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80.4</w:t>
            </w: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7,788.5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9"/>
              </w:rPr>
              <w:t>8,086.6</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common stock and common OP units, net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62"/>
        </w:trPr>
        <w:tc>
          <w:tcPr>
            <w:tcW w:w="3640" w:type="dxa"/>
            <w:vAlign w:val="bottom"/>
          </w:tcPr>
          <w:p>
            <w:pPr>
              <w:ind w:left="20"/>
              <w:spacing w:after="0" w:line="162" w:lineRule="exact"/>
              <w:rPr>
                <w:sz w:val="20"/>
                <w:szCs w:val="20"/>
                <w:color w:val="auto"/>
              </w:rPr>
            </w:pPr>
            <w:r>
              <w:rPr>
                <w:rFonts w:ascii="Arial" w:cs="Arial" w:eastAsia="Arial" w:hAnsi="Arial"/>
                <w:sz w:val="15"/>
                <w:szCs w:val="15"/>
                <w:color w:val="auto"/>
                <w:w w:val="95"/>
              </w:rPr>
              <w:t>Common stock withheld to satisfy income tax obligations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related to vesting of restricted stock awards</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OP units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w w:val="95"/>
              </w:rPr>
              <w:t>Share-based compensation - amortization and forfeitures</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loss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9.4</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166.4</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4.6</w:t>
            </w:r>
          </w:p>
        </w:tc>
        <w:tc>
          <w:tcPr>
            <w:tcW w:w="18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171.0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180.4</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(115.7)</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(121.5)</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OP Units accretion</w:t>
            </w:r>
          </w:p>
        </w:tc>
        <w:tc>
          <w:tcPr>
            <w:tcW w:w="12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(0.7)</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September 30, 2023</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304.5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9,581.6</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(1,848.2)</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96.0</w:t>
            </w: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7,835.8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9"/>
              </w:rPr>
              <w:t>8,140.3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jc w:val="right"/>
              <w:ind w:right="4"/>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Additional</w:t>
            </w:r>
          </w:p>
        </w:tc>
        <w:tc>
          <w:tcPr>
            <w:tcW w:w="8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4"/>
              </w:rPr>
              <w:t>Distributions</w:t>
            </w:r>
          </w:p>
        </w:tc>
        <w:tc>
          <w:tcPr>
            <w:tcW w:w="10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1"/>
                <w:szCs w:val="11"/>
                <w:color w:val="auto"/>
              </w:rPr>
            </w:pPr>
          </w:p>
        </w:tc>
        <w:tc>
          <w:tcPr>
            <w:tcW w:w="8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1"/>
                <w:szCs w:val="11"/>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4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Temporary</w:t>
            </w:r>
          </w:p>
        </w:tc>
        <w:tc>
          <w:tcPr>
            <w:tcW w:w="8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jc w:val="right"/>
              <w:ind w:right="4"/>
              <w:spacing w:after="0" w:line="145" w:lineRule="exact"/>
              <w:rPr>
                <w:sz w:val="20"/>
                <w:szCs w:val="20"/>
                <w:color w:val="auto"/>
              </w:rPr>
            </w:pPr>
            <w:r>
              <w:rPr>
                <w:rFonts w:ascii="Arial" w:cs="Arial" w:eastAsia="Arial" w:hAnsi="Arial"/>
                <w:sz w:val="14"/>
                <w:szCs w:val="14"/>
                <w:b w:val="1"/>
                <w:bCs w:val="1"/>
                <w:color w:val="auto"/>
                <w:w w:val="92"/>
              </w:rPr>
              <w:t>in Excess of</w:t>
            </w:r>
          </w:p>
        </w:tc>
        <w:tc>
          <w:tcPr>
            <w:tcW w:w="200" w:type="dxa"/>
            <w:vAlign w:val="bottom"/>
          </w:tcPr>
          <w:p>
            <w:pPr>
              <w:spacing w:after="0"/>
              <w:rPr>
                <w:sz w:val="12"/>
                <w:szCs w:val="12"/>
                <w:color w:val="auto"/>
              </w:rPr>
            </w:pPr>
          </w:p>
        </w:tc>
        <w:tc>
          <w:tcPr>
            <w:tcW w:w="800" w:type="dxa"/>
            <w:vAlign w:val="bottom"/>
          </w:tcPr>
          <w:p>
            <w:pPr>
              <w:jc w:val="center"/>
              <w:ind w:right="124"/>
              <w:spacing w:after="0" w:line="14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600" w:type="dxa"/>
            <w:vAlign w:val="bottom"/>
          </w:tcPr>
          <w:p>
            <w:pPr>
              <w:jc w:val="right"/>
              <w:ind w:right="44"/>
              <w:spacing w:after="0" w:line="149" w:lineRule="exact"/>
              <w:rPr>
                <w:sz w:val="20"/>
                <w:szCs w:val="20"/>
                <w:color w:val="auto"/>
              </w:rPr>
            </w:pPr>
            <w:r>
              <w:rPr>
                <w:rFonts w:ascii="Arial" w:cs="Arial" w:eastAsia="Arial" w:hAnsi="Arial"/>
                <w:sz w:val="14"/>
                <w:szCs w:val="14"/>
                <w:b w:val="1"/>
                <w:bCs w:val="1"/>
                <w:color w:val="auto"/>
                <w:w w:val="98"/>
              </w:rPr>
              <w:t>Paid-in</w:t>
            </w:r>
          </w:p>
        </w:tc>
        <w:tc>
          <w:tcPr>
            <w:tcW w:w="18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2"/>
              </w:rPr>
              <w:t>Accumulated Comprehensive</w:t>
            </w:r>
          </w:p>
        </w:tc>
        <w:tc>
          <w:tcPr>
            <w:tcW w:w="120" w:type="dxa"/>
            <w:vAlign w:val="bottom"/>
          </w:tcPr>
          <w:p>
            <w:pPr>
              <w:spacing w:after="0"/>
              <w:rPr>
                <w:sz w:val="12"/>
                <w:szCs w:val="12"/>
                <w:color w:val="auto"/>
              </w:rPr>
            </w:pPr>
          </w:p>
        </w:tc>
        <w:tc>
          <w:tcPr>
            <w:tcW w:w="8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Stockholders'</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Equity</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w:t>
            </w:r>
          </w:p>
        </w:tc>
        <w:tc>
          <w:tcPr>
            <w:tcW w:w="80" w:type="dxa"/>
            <w:vAlign w:val="bottom"/>
          </w:tcPr>
          <w:p>
            <w:pPr>
              <w:spacing w:after="0"/>
              <w:rPr>
                <w:sz w:val="17"/>
                <w:szCs w:val="17"/>
                <w:color w:val="auto"/>
              </w:rPr>
            </w:pPr>
          </w:p>
        </w:tc>
        <w:tc>
          <w:tcPr>
            <w:tcW w:w="600" w:type="dxa"/>
            <w:vAlign w:val="bottom"/>
          </w:tcPr>
          <w:p>
            <w:pPr>
              <w:jc w:val="center"/>
              <w:ind w:right="4"/>
              <w:spacing w:after="0"/>
              <w:rPr>
                <w:sz w:val="20"/>
                <w:szCs w:val="20"/>
                <w:color w:val="auto"/>
              </w:rPr>
            </w:pPr>
            <w:r>
              <w:rPr>
                <w:rFonts w:ascii="Arial" w:cs="Arial" w:eastAsia="Arial" w:hAnsi="Arial"/>
                <w:sz w:val="14"/>
                <w:szCs w:val="14"/>
                <w:b w:val="1"/>
                <w:bCs w:val="1"/>
                <w:color w:val="auto"/>
                <w:w w:val="95"/>
              </w:rPr>
              <w:t>($Value)</w:t>
            </w:r>
          </w:p>
        </w:tc>
        <w:tc>
          <w:tcPr>
            <w:tcW w:w="120" w:type="dxa"/>
            <w:vAlign w:val="bottom"/>
          </w:tcPr>
          <w:p>
            <w:pPr>
              <w:spacing w:after="0"/>
              <w:rPr>
                <w:sz w:val="17"/>
                <w:szCs w:val="17"/>
                <w:color w:val="auto"/>
              </w:rPr>
            </w:pPr>
          </w:p>
        </w:tc>
        <w:tc>
          <w:tcPr>
            <w:tcW w:w="600" w:type="dxa"/>
            <w:vAlign w:val="bottom"/>
          </w:tcPr>
          <w:p>
            <w:pPr>
              <w:jc w:val="right"/>
              <w:ind w:right="44"/>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7"/>
                <w:szCs w:val="17"/>
                <w:color w:val="auto"/>
              </w:rPr>
            </w:pPr>
          </w:p>
        </w:tc>
        <w:tc>
          <w:tcPr>
            <w:tcW w:w="740" w:type="dxa"/>
            <w:vAlign w:val="bottom"/>
          </w:tcPr>
          <w:p>
            <w:pPr>
              <w:jc w:val="right"/>
              <w:ind w:right="84"/>
              <w:spacing w:after="0"/>
              <w:rPr>
                <w:sz w:val="20"/>
                <w:szCs w:val="20"/>
                <w:color w:val="auto"/>
              </w:rPr>
            </w:pPr>
            <w:r>
              <w:rPr>
                <w:rFonts w:ascii="Arial" w:cs="Arial" w:eastAsia="Arial" w:hAnsi="Arial"/>
                <w:sz w:val="14"/>
                <w:szCs w:val="14"/>
                <w:b w:val="1"/>
                <w:bCs w:val="1"/>
                <w:color w:val="auto"/>
                <w:w w:val="93"/>
              </w:rPr>
              <w:t>Earnings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Income / (loss)</w:t>
            </w:r>
          </w:p>
        </w:tc>
        <w:tc>
          <w:tcPr>
            <w:tcW w:w="120" w:type="dxa"/>
            <w:vAlign w:val="bottom"/>
          </w:tcPr>
          <w:p>
            <w:pPr>
              <w:spacing w:after="0"/>
              <w:rPr>
                <w:sz w:val="17"/>
                <w:szCs w:val="17"/>
                <w:color w:val="auto"/>
              </w:rPr>
            </w:pPr>
          </w:p>
        </w:tc>
        <w:tc>
          <w:tcPr>
            <w:tcW w:w="80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Interests</w:t>
            </w:r>
          </w:p>
        </w:tc>
        <w:tc>
          <w:tcPr>
            <w:tcW w:w="180" w:type="dxa"/>
            <w:vAlign w:val="bottom"/>
          </w:tcPr>
          <w:p>
            <w:pPr>
              <w:spacing w:after="0"/>
              <w:rPr>
                <w:sz w:val="17"/>
                <w:szCs w:val="17"/>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7"/>
                <w:szCs w:val="17"/>
                <w:color w:val="auto"/>
              </w:rPr>
            </w:pPr>
          </w:p>
        </w:tc>
        <w:tc>
          <w:tcPr>
            <w:tcW w:w="600" w:type="dxa"/>
            <w:vAlign w:val="bottom"/>
          </w:tcPr>
          <w:p>
            <w:pPr>
              <w:jc w:val="right"/>
              <w:ind w:right="6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2021</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288.9</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116.0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8,175.6</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(1,556.0)</w:t>
            </w:r>
          </w:p>
        </w:tc>
        <w:tc>
          <w:tcPr>
            <w:tcW w:w="20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106.7</w:t>
            </w: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6,730.6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9"/>
              </w:rPr>
              <w:t>7,019.5</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Issuance of common stock and common OP units, net</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w:t>
            </w:r>
          </w:p>
        </w:tc>
        <w:tc>
          <w:tcPr>
            <w:tcW w:w="18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53"/>
        </w:trPr>
        <w:tc>
          <w:tcPr>
            <w:tcW w:w="36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5"/>
              </w:rPr>
              <w:t>Common stock withheld to satisfy income tax obligations</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related to vesting of restricted stock awards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Conversion of OP units</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(0.7)</w:t>
            </w:r>
          </w:p>
        </w:tc>
        <w:tc>
          <w:tcPr>
            <w:tcW w:w="1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Share-based compensation - amortization and forfeitures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Other comprehensive income</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22.8</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 (loss)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Distributions</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(102.3)</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(107.5)</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 Units accretion</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0"/>
        </w:trPr>
        <w:tc>
          <w:tcPr>
            <w:tcW w:w="3640" w:type="dxa"/>
            <w:vAlign w:val="bottom"/>
          </w:tcPr>
          <w:p>
            <w:pPr>
              <w:ind w:left="20"/>
              <w:spacing w:after="0"/>
              <w:rPr>
                <w:sz w:val="20"/>
                <w:szCs w:val="20"/>
                <w:color w:val="auto"/>
              </w:rPr>
            </w:pPr>
            <w:r>
              <w:rPr>
                <w:rFonts w:ascii="Arial" w:cs="Arial" w:eastAsia="Arial" w:hAnsi="Arial"/>
                <w:sz w:val="15"/>
                <w:szCs w:val="15"/>
                <w:b w:val="1"/>
                <w:bCs w:val="1"/>
                <w:color w:val="auto"/>
              </w:rPr>
              <w:t>Balance at March 31, 2022</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283.9</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116.2</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8,169.4</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(1,654.6)</w:t>
            </w:r>
          </w:p>
        </w:tc>
        <w:tc>
          <w:tcPr>
            <w:tcW w:w="2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107.7</w:t>
            </w: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6,649.6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9"/>
              </w:rPr>
              <w:t>6,933.5</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common stock and common OP units, net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968.6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971.3</w:t>
            </w:r>
          </w:p>
        </w:tc>
        <w:tc>
          <w:tcPr>
            <w:tcW w:w="0" w:type="dxa"/>
            <w:vAlign w:val="bottom"/>
          </w:tcPr>
          <w:p>
            <w:pPr>
              <w:spacing w:after="0"/>
              <w:rPr>
                <w:sz w:val="1"/>
                <w:szCs w:val="1"/>
                <w:color w:val="auto"/>
              </w:rPr>
            </w:pPr>
          </w:p>
        </w:tc>
      </w:tr>
      <w:tr>
        <w:trPr>
          <w:trHeight w:val="149"/>
        </w:trPr>
        <w:tc>
          <w:tcPr>
            <w:tcW w:w="3640" w:type="dxa"/>
            <w:vAlign w:val="bottom"/>
          </w:tcPr>
          <w:p>
            <w:pPr>
              <w:ind w:left="20"/>
              <w:spacing w:after="0" w:line="149" w:lineRule="exact"/>
              <w:rPr>
                <w:sz w:val="20"/>
                <w:szCs w:val="20"/>
                <w:color w:val="auto"/>
              </w:rPr>
            </w:pPr>
            <w:r>
              <w:rPr>
                <w:rFonts w:ascii="Arial" w:cs="Arial" w:eastAsia="Arial" w:hAnsi="Arial"/>
                <w:sz w:val="15"/>
                <w:szCs w:val="15"/>
                <w:color w:val="auto"/>
                <w:w w:val="95"/>
              </w:rPr>
              <w:t>Common stock withheld to satisfy income tax obligations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640" w:type="dxa"/>
            <w:vAlign w:val="bottom"/>
          </w:tcPr>
          <w:p>
            <w:pPr>
              <w:ind w:left="20"/>
              <w:spacing w:after="0"/>
              <w:rPr>
                <w:sz w:val="20"/>
                <w:szCs w:val="20"/>
                <w:color w:val="auto"/>
              </w:rPr>
            </w:pPr>
            <w:r>
              <w:rPr>
                <w:rFonts w:ascii="Arial" w:cs="Arial" w:eastAsia="Arial" w:hAnsi="Arial"/>
                <w:sz w:val="15"/>
                <w:szCs w:val="15"/>
                <w:color w:val="auto"/>
              </w:rPr>
              <w:t>related to vesting of restricted stock awards</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53"/>
        </w:trPr>
        <w:tc>
          <w:tcPr>
            <w:tcW w:w="36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Issuance of third party equity interests in consolidated</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entities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Other redeemable noncontrolling interests</w:t>
            </w:r>
          </w:p>
        </w:tc>
        <w:tc>
          <w:tcPr>
            <w:tcW w:w="12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(0.1)</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36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9"/>
              </w:rPr>
              <w:t>Acquisition of third party equity interest in consolidated</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entities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w w:val="95"/>
              </w:rPr>
              <w:t>Share-based compensation - amortization and forfeitures</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9.1</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0.1</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loss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(54.2)</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77.1</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w:t>
            </w:r>
          </w:p>
        </w:tc>
        <w:tc>
          <w:tcPr>
            <w:tcW w:w="18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79.8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81.3</w:t>
            </w:r>
          </w:p>
        </w:tc>
        <w:tc>
          <w:tcPr>
            <w:tcW w:w="0" w:type="dxa"/>
            <w:vAlign w:val="bottom"/>
          </w:tcPr>
          <w:p>
            <w:pPr>
              <w:spacing w:after="0"/>
              <w:rPr>
                <w:sz w:val="1"/>
                <w:szCs w:val="1"/>
                <w:color w:val="auto"/>
              </w:rPr>
            </w:pPr>
          </w:p>
        </w:tc>
      </w:tr>
      <w:tr>
        <w:trPr>
          <w:trHeight w:val="206"/>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(107.0)</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(112.2)</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OP Units accretion</w:t>
            </w:r>
          </w:p>
        </w:tc>
        <w:tc>
          <w:tcPr>
            <w:tcW w:w="12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(0.2)</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25"/>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June 30, 2022</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9,159.1</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(1,684.7)</w:t>
            </w:r>
          </w:p>
        </w:tc>
        <w:tc>
          <w:tcPr>
            <w:tcW w:w="20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90.9</w:t>
            </w: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7,538.2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9"/>
              </w:rPr>
              <w:t>7,831.5</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Issuance of common stock and common OP units, net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275.3</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275.3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275.3</w:t>
            </w:r>
          </w:p>
        </w:tc>
        <w:tc>
          <w:tcPr>
            <w:tcW w:w="0" w:type="dxa"/>
            <w:vAlign w:val="bottom"/>
          </w:tcPr>
          <w:p>
            <w:pPr>
              <w:spacing w:after="0"/>
              <w:rPr>
                <w:sz w:val="1"/>
                <w:szCs w:val="1"/>
                <w:color w:val="auto"/>
              </w:rPr>
            </w:pPr>
          </w:p>
        </w:tc>
      </w:tr>
      <w:tr>
        <w:trPr>
          <w:trHeight w:val="153"/>
        </w:trPr>
        <w:tc>
          <w:tcPr>
            <w:tcW w:w="36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5"/>
              </w:rPr>
              <w:t>Common stock withheld to satisfy income tax obligations</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related to vesting of restricted stock awards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Conversion of OP units</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(92.6)</w:t>
            </w:r>
          </w:p>
        </w:tc>
        <w:tc>
          <w:tcPr>
            <w:tcW w:w="12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95.0</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(2.4)</w:t>
            </w:r>
          </w:p>
        </w:tc>
        <w:tc>
          <w:tcPr>
            <w:tcW w:w="18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92.6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36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9"/>
              </w:rPr>
              <w:t>Acquisition of third party equity interest in consolidated</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entities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w w:val="95"/>
              </w:rPr>
              <w:t>Share-based compensation - amortization and forfeitures</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9.3</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loss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7.1</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165.1</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4.8</w:t>
            </w:r>
          </w:p>
        </w:tc>
        <w:tc>
          <w:tcPr>
            <w:tcW w:w="18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169.9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177.0</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(109.0)</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(113.3)</w:t>
            </w: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5"/>
                <w:szCs w:val="15"/>
                <w:color w:val="auto"/>
              </w:rPr>
              <w:t>OP Units accretion</w:t>
            </w:r>
          </w:p>
        </w:tc>
        <w:tc>
          <w:tcPr>
            <w:tcW w:w="12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(0.3)</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25"/>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September 30, 2022</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123.9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9,536.4</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(1,628.9)</w:t>
            </w:r>
          </w:p>
        </w:tc>
        <w:tc>
          <w:tcPr>
            <w:tcW w:w="20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84.4</w:t>
            </w: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7,923.2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9"/>
              </w:rPr>
              <w:t>8,130.0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904"/>
              <w:spacing w:after="0"/>
              <w:rPr>
                <w:sz w:val="20"/>
                <w:szCs w:val="20"/>
                <w:color w:val="auto"/>
              </w:rPr>
            </w:pPr>
            <w:r>
              <w:rPr>
                <w:rFonts w:ascii="Arial" w:cs="Arial" w:eastAsia="Arial" w:hAnsi="Arial"/>
                <w:sz w:val="15"/>
                <w:szCs w:val="15"/>
                <w:b w:val="1"/>
                <w:bCs w:val="1"/>
                <w:color w:val="auto"/>
              </w:rPr>
              <w:t>Nine Months Ended</w:t>
            </w:r>
          </w:p>
        </w:tc>
      </w:tr>
      <w:tr>
        <w:trPr>
          <w:trHeight w:val="198"/>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2023</w:t>
            </w:r>
          </w:p>
        </w:tc>
        <w:tc>
          <w:tcPr>
            <w:tcW w:w="120" w:type="dxa"/>
            <w:vAlign w:val="bottom"/>
          </w:tcPr>
          <w:p>
            <w:pPr>
              <w:spacing w:after="0"/>
              <w:rPr>
                <w:sz w:val="17"/>
                <w:szCs w:val="17"/>
                <w:color w:val="auto"/>
              </w:rPr>
            </w:pPr>
          </w:p>
        </w:tc>
        <w:tc>
          <w:tcPr>
            <w:tcW w:w="1480" w:type="dxa"/>
            <w:vAlign w:val="bottom"/>
          </w:tcPr>
          <w:p>
            <w:pPr>
              <w:jc w:val="right"/>
              <w:ind w:right="84"/>
              <w:spacing w:after="0"/>
              <w:rPr>
                <w:sz w:val="20"/>
                <w:szCs w:val="20"/>
                <w:color w:val="auto"/>
              </w:rPr>
            </w:pPr>
            <w:r>
              <w:rPr>
                <w:rFonts w:ascii="Arial" w:cs="Arial" w:eastAsia="Arial" w:hAnsi="Arial"/>
                <w:sz w:val="15"/>
                <w:szCs w:val="15"/>
                <w:b w:val="1"/>
                <w:bCs w:val="1"/>
                <w:color w:val="auto"/>
                <w:w w:val="92"/>
              </w:rPr>
              <w:t>September 30, 2022</w:t>
            </w:r>
          </w:p>
        </w:tc>
      </w:tr>
      <w:tr>
        <w:trPr>
          <w:trHeight w:val="198"/>
        </w:trPr>
        <w:tc>
          <w:tcPr>
            <w:tcW w:w="7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00"/>
        </w:trPr>
        <w:tc>
          <w:tcPr>
            <w:tcW w:w="7920" w:type="dxa"/>
            <w:vAlign w:val="bottom"/>
            <w:tcBorders>
              <w:bottom w:val="single" w:sz="8" w:color="CCEEFF"/>
            </w:tcBorders>
          </w:tcPr>
          <w:p>
            <w:pPr>
              <w:ind w:left="220"/>
              <w:spacing w:after="0"/>
              <w:rPr>
                <w:sz w:val="20"/>
                <w:szCs w:val="20"/>
                <w:color w:val="auto"/>
              </w:rPr>
            </w:pPr>
            <w:r>
              <w:rPr>
                <w:rFonts w:ascii="Arial" w:cs="Arial" w:eastAsia="Arial" w:hAnsi="Arial"/>
                <w:sz w:val="15"/>
                <w:szCs w:val="15"/>
                <w:b w:val="1"/>
                <w:bCs w:val="1"/>
                <w:color w:val="auto"/>
              </w:rPr>
              <w:t>Net Cash Provided By Operating Activities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672.9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689.8</w:t>
            </w:r>
          </w:p>
        </w:tc>
      </w:tr>
      <w:tr>
        <w:trPr>
          <w:trHeight w:val="198"/>
        </w:trPr>
        <w:tc>
          <w:tcPr>
            <w:tcW w:w="7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Investment in properties</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(790.3)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(656.6)</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Acquisitions, net of cash acquired</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(2,140.5)</w:t>
            </w: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Proceeds from deposit on acquisition</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0.8</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insurance</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Proceeds from disposition of assets and depreciated homes, net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80.2</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related to disposition of properties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w:t>
            </w: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Issuance of notes and other receivables</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(46.3)</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Repayments of notes and other receivables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Investments in nonconsolidated affiliates</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(37.9)</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Distributions of capital from nonconsolidated affiliates</w:t>
            </w: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w:t>
            </w:r>
          </w:p>
        </w:tc>
      </w:tr>
      <w:tr>
        <w:trPr>
          <w:trHeight w:val="192"/>
        </w:trPr>
        <w:tc>
          <w:tcPr>
            <w:tcW w:w="7920" w:type="dxa"/>
            <w:vAlign w:val="bottom"/>
            <w:tcBorders>
              <w:bottom w:val="single" w:sz="8" w:color="CCEEFF"/>
            </w:tcBorders>
          </w:tcPr>
          <w:p>
            <w:pPr>
              <w:ind w:left="220"/>
              <w:spacing w:after="0"/>
              <w:rPr>
                <w:sz w:val="20"/>
                <w:szCs w:val="20"/>
                <w:color w:val="auto"/>
              </w:rPr>
            </w:pPr>
            <w:r>
              <w:rPr>
                <w:rFonts w:ascii="Arial" w:cs="Arial" w:eastAsia="Arial" w:hAnsi="Arial"/>
                <w:sz w:val="15"/>
                <w:szCs w:val="15"/>
                <w:b w:val="1"/>
                <w:bCs w:val="1"/>
                <w:color w:val="auto"/>
              </w:rPr>
              <w:t>Net Cash Used For Investing Activities</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(817.8)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(2,740.8)</w:t>
            </w:r>
          </w:p>
        </w:tc>
      </w:tr>
      <w:tr>
        <w:trPr>
          <w:trHeight w:val="200"/>
        </w:trPr>
        <w:tc>
          <w:tcPr>
            <w:tcW w:w="7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Issuance and costs of common stock, OP units and preferred OP units, net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1,209.8</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Common stock withheld to satisfy income tax obligations related to vesting of restricted stock awards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w:t>
            </w: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Borrowings on lines of credit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1,288.6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3,093.5</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on lines of credit</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(2,051.7)</w:t>
            </w: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Proceeds from issuance of other debt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583.0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600.9</w:t>
            </w:r>
          </w:p>
        </w:tc>
      </w:tr>
      <w:tr>
        <w:trPr>
          <w:trHeight w:val="206"/>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Contributions from noncontrolling interest</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r>
      <w:tr>
        <w:trPr>
          <w:trHeight w:val="199"/>
        </w:trPr>
        <w:tc>
          <w:tcPr>
            <w:tcW w:w="7920" w:type="dxa"/>
            <w:vAlign w:val="bottom"/>
          </w:tcPr>
          <w:p>
            <w:pPr>
              <w:ind w:left="220"/>
              <w:spacing w:after="0"/>
              <w:rPr>
                <w:sz w:val="20"/>
                <w:szCs w:val="20"/>
                <w:color w:val="auto"/>
              </w:rPr>
            </w:pPr>
            <w:r>
              <w:rPr>
                <w:rFonts w:ascii="Arial" w:cs="Arial" w:eastAsia="Arial" w:hAnsi="Arial"/>
                <w:sz w:val="15"/>
                <w:szCs w:val="15"/>
                <w:color w:val="auto"/>
              </w:rPr>
              <w:t>Payments on other debt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(390.2)</w:t>
            </w:r>
          </w:p>
        </w:tc>
      </w:tr>
      <w:tr>
        <w:trPr>
          <w:trHeight w:val="206"/>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on financial liability</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r>
      <w:tr>
        <w:trPr>
          <w:trHeight w:val="199"/>
        </w:trPr>
        <w:tc>
          <w:tcPr>
            <w:tcW w:w="7920" w:type="dxa"/>
            <w:vAlign w:val="bottom"/>
          </w:tcPr>
          <w:p>
            <w:pPr>
              <w:ind w:left="220"/>
              <w:spacing w:after="0"/>
              <w:rPr>
                <w:sz w:val="20"/>
                <w:szCs w:val="20"/>
                <w:color w:val="auto"/>
              </w:rPr>
            </w:pPr>
            <w:r>
              <w:rPr>
                <w:rFonts w:ascii="Arial" w:cs="Arial" w:eastAsia="Arial" w:hAnsi="Arial"/>
                <w:sz w:val="15"/>
                <w:szCs w:val="15"/>
                <w:color w:val="auto"/>
              </w:rPr>
              <w:t>Fees paid in connection with extinguishment of debt</w:t>
            </w: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206"/>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received from return of prepaid deferred financing costs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920" w:type="dxa"/>
            <w:vAlign w:val="bottom"/>
          </w:tcPr>
          <w:p>
            <w:pPr>
              <w:ind w:left="220"/>
              <w:spacing w:after="0"/>
              <w:rPr>
                <w:sz w:val="20"/>
                <w:szCs w:val="20"/>
                <w:color w:val="auto"/>
              </w:rPr>
            </w:pPr>
            <w:r>
              <w:rPr>
                <w:rFonts w:ascii="Arial" w:cs="Arial" w:eastAsia="Arial" w:hAnsi="Arial"/>
                <w:sz w:val="15"/>
                <w:szCs w:val="15"/>
                <w:color w:val="auto"/>
              </w:rPr>
              <w:t>Distributions</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(355.2)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(320.7)</w:t>
            </w:r>
          </w:p>
        </w:tc>
      </w:tr>
      <w:tr>
        <w:trPr>
          <w:trHeight w:val="206"/>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for deferred financing costs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w:t>
            </w:r>
          </w:p>
        </w:tc>
      </w:tr>
      <w:tr>
        <w:trPr>
          <w:trHeight w:val="199"/>
        </w:trPr>
        <w:tc>
          <w:tcPr>
            <w:tcW w:w="7920" w:type="dxa"/>
            <w:vAlign w:val="bottom"/>
          </w:tcPr>
          <w:p>
            <w:pPr>
              <w:ind w:left="220"/>
              <w:spacing w:after="0"/>
              <w:rPr>
                <w:sz w:val="20"/>
                <w:szCs w:val="20"/>
                <w:color w:val="auto"/>
              </w:rPr>
            </w:pPr>
            <w:r>
              <w:rPr>
                <w:rFonts w:ascii="Arial" w:cs="Arial" w:eastAsia="Arial" w:hAnsi="Arial"/>
                <w:sz w:val="15"/>
                <w:szCs w:val="15"/>
                <w:color w:val="auto"/>
              </w:rPr>
              <w:t>Distributions for redemption of noncontrolling interests</w:t>
            </w: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(7.3)</w:t>
            </w:r>
          </w:p>
        </w:tc>
      </w:tr>
      <w:tr>
        <w:trPr>
          <w:trHeight w:val="200"/>
        </w:trPr>
        <w:tc>
          <w:tcPr>
            <w:tcW w:w="79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2,095.5</w:t>
            </w:r>
          </w:p>
        </w:tc>
      </w:tr>
      <w:tr>
        <w:trPr>
          <w:trHeight w:val="192"/>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w:t>
            </w:r>
          </w:p>
        </w:tc>
      </w:tr>
      <w:tr>
        <w:trPr>
          <w:trHeight w:val="200"/>
        </w:trPr>
        <w:tc>
          <w:tcPr>
            <w:tcW w:w="7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change in cash, cash equivalents and restricted cash</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w:t>
            </w:r>
          </w:p>
        </w:tc>
      </w:tr>
      <w:tr>
        <w:trPr>
          <w:trHeight w:val="198"/>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78.2</w:t>
            </w:r>
          </w:p>
        </w:tc>
      </w:tr>
      <w:tr>
        <w:trPr>
          <w:trHeight w:val="225"/>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Cash Equivalents and Restricted Cash,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112.0</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4"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904"/>
              <w:spacing w:after="0"/>
              <w:rPr>
                <w:sz w:val="20"/>
                <w:szCs w:val="20"/>
                <w:color w:val="auto"/>
              </w:rPr>
            </w:pPr>
            <w:r>
              <w:rPr>
                <w:rFonts w:ascii="Arial" w:cs="Arial" w:eastAsia="Arial" w:hAnsi="Arial"/>
                <w:sz w:val="15"/>
                <w:szCs w:val="15"/>
                <w:b w:val="1"/>
                <w:bCs w:val="1"/>
                <w:color w:val="auto"/>
              </w:rPr>
              <w:t>Nine Months Ended</w:t>
            </w:r>
          </w:p>
        </w:tc>
      </w:tr>
      <w:tr>
        <w:trPr>
          <w:trHeight w:val="198"/>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2023</w:t>
            </w:r>
          </w:p>
        </w:tc>
        <w:tc>
          <w:tcPr>
            <w:tcW w:w="120" w:type="dxa"/>
            <w:vAlign w:val="bottom"/>
          </w:tcPr>
          <w:p>
            <w:pPr>
              <w:spacing w:after="0"/>
              <w:rPr>
                <w:sz w:val="17"/>
                <w:szCs w:val="17"/>
                <w:color w:val="auto"/>
              </w:rPr>
            </w:pPr>
          </w:p>
        </w:tc>
        <w:tc>
          <w:tcPr>
            <w:tcW w:w="1480" w:type="dxa"/>
            <w:vAlign w:val="bottom"/>
          </w:tcPr>
          <w:p>
            <w:pPr>
              <w:jc w:val="right"/>
              <w:ind w:right="84"/>
              <w:spacing w:after="0"/>
              <w:rPr>
                <w:sz w:val="20"/>
                <w:szCs w:val="20"/>
                <w:color w:val="auto"/>
              </w:rPr>
            </w:pPr>
            <w:r>
              <w:rPr>
                <w:rFonts w:ascii="Arial" w:cs="Arial" w:eastAsia="Arial" w:hAnsi="Arial"/>
                <w:sz w:val="15"/>
                <w:szCs w:val="15"/>
                <w:b w:val="1"/>
                <w:bCs w:val="1"/>
                <w:color w:val="auto"/>
                <w:w w:val="92"/>
              </w:rPr>
              <w:t>September 30, 2022</w:t>
            </w:r>
          </w:p>
        </w:tc>
      </w:tr>
      <w:tr>
        <w:trPr>
          <w:trHeight w:val="198"/>
        </w:trPr>
        <w:tc>
          <w:tcPr>
            <w:tcW w:w="7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Information</w:t>
            </w: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198"/>
        </w:trPr>
        <w:tc>
          <w:tcPr>
            <w:tcW w:w="7920" w:type="dxa"/>
            <w:vAlign w:val="bottom"/>
          </w:tcPr>
          <w:p>
            <w:pPr>
              <w:ind w:left="20"/>
              <w:spacing w:after="0"/>
              <w:rPr>
                <w:sz w:val="20"/>
                <w:szCs w:val="20"/>
                <w:color w:val="auto"/>
              </w:rPr>
            </w:pPr>
            <w:r>
              <w:rPr>
                <w:rFonts w:ascii="Arial" w:cs="Arial" w:eastAsia="Arial" w:hAnsi="Arial"/>
                <w:sz w:val="15"/>
                <w:szCs w:val="15"/>
                <w:color w:val="auto"/>
              </w:rPr>
              <w:t>Cash paid for interest (net of capitalized interest of $8.9 and $4.1, respectively)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240.0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151.9</w:t>
            </w:r>
          </w:p>
        </w:tc>
      </w:tr>
      <w:tr>
        <w:trPr>
          <w:trHeight w:val="207"/>
        </w:trPr>
        <w:tc>
          <w:tcPr>
            <w:tcW w:w="7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interest on mandatorily redeemable debt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198"/>
        </w:trPr>
        <w:tc>
          <w:tcPr>
            <w:tcW w:w="7920" w:type="dxa"/>
            <w:vAlign w:val="bottom"/>
          </w:tcPr>
          <w:p>
            <w:pPr>
              <w:ind w:left="20"/>
              <w:spacing w:after="0"/>
              <w:rPr>
                <w:sz w:val="20"/>
                <w:szCs w:val="20"/>
                <w:color w:val="auto"/>
              </w:rPr>
            </w:pPr>
            <w:r>
              <w:rPr>
                <w:rFonts w:ascii="Arial" w:cs="Arial" w:eastAsia="Arial" w:hAnsi="Arial"/>
                <w:sz w:val="15"/>
                <w:szCs w:val="15"/>
                <w:color w:val="auto"/>
              </w:rPr>
              <w:t>Cash paid for income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17.7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07"/>
        </w:trPr>
        <w:tc>
          <w:tcPr>
            <w:tcW w:w="7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Noncash investing and financing activities</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Change in distributions declared and outstanding</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7.9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12.7</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Conversion of common and preferred OP units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95.7</w:t>
            </w: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Assets held for sale, net (included within Other Assets, net and Other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196.0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Common OP units issued for redemption of noncontrolling interests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ROU asset obtained from new operating lease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Issuance of notes and other receivables in relation to disposition of properties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7920" w:type="dxa"/>
            <w:vAlign w:val="bottom"/>
          </w:tcPr>
          <w:p>
            <w:pPr>
              <w:ind w:left="20"/>
              <w:spacing w:after="0"/>
              <w:rPr>
                <w:sz w:val="20"/>
                <w:szCs w:val="20"/>
                <w:color w:val="auto"/>
              </w:rPr>
            </w:pPr>
            <w:r>
              <w:rPr>
                <w:rFonts w:ascii="Arial" w:cs="Arial" w:eastAsia="Arial" w:hAnsi="Arial"/>
                <w:sz w:val="15"/>
                <w:szCs w:val="15"/>
                <w:b w:val="1"/>
                <w:bCs w:val="1"/>
                <w:color w:val="auto"/>
              </w:rPr>
              <w:t>Noncash investing and financing activities at the date of acquisition</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5"/>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Acquisitions - Common stock and OP units issued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w:t>
            </w: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Acquisitions - Series K preferred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100.6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Acquisitions - Finance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w:t>
            </w:r>
          </w:p>
        </w:tc>
      </w:tr>
      <w:tr>
        <w:trPr>
          <w:trHeight w:val="198"/>
        </w:trPr>
        <w:tc>
          <w:tcPr>
            <w:tcW w:w="7920" w:type="dxa"/>
            <w:vAlign w:val="bottom"/>
          </w:tcPr>
          <w:p>
            <w:pPr>
              <w:ind w:left="220"/>
              <w:spacing w:after="0"/>
              <w:rPr>
                <w:sz w:val="20"/>
                <w:szCs w:val="20"/>
                <w:color w:val="auto"/>
              </w:rPr>
            </w:pPr>
            <w:r>
              <w:rPr>
                <w:rFonts w:ascii="Arial" w:cs="Arial" w:eastAsia="Arial" w:hAnsi="Arial"/>
                <w:sz w:val="15"/>
                <w:szCs w:val="15"/>
                <w:color w:val="auto"/>
              </w:rPr>
              <w:t>Acquisitions - Financial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359.8</w:t>
            </w:r>
          </w:p>
        </w:tc>
      </w:tr>
      <w:tr>
        <w:trPr>
          <w:trHeight w:val="207"/>
        </w:trPr>
        <w:tc>
          <w:tcPr>
            <w:tcW w:w="7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Acquisitions - Deferred tax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313.9</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4"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Sun Communities, Inc. and all wholly-owned or majority-owned and controlled subsidiaries, including Sun Communities Operating Limited Partnership, (the "Operating Partnership"), Sun Home Services, Inc., ("SHS"), Safe Harbor Marinas, LLC ("Safe Harbor") and Sun UK Holding LLC (together with its subsidiaries, "Park Holidays") are referred to herein as the "Company," "SUI," "we," "us," or "our."</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 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significant intercompany transactions have been eliminated in consolidation. Certain reclassifications have been made to prior period financial statements in order to conform to current period presentation. There was no impact to prior period net income for any of the reclassifications.</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2022 as filed with the SEC on February 23, 2023 (our "2022 Annual Report"). These statements have been prepared on a basis that is substantially consistent with the accounting principles applied in our 2022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Our three reportable segments are: (i) Manufactured home ("MH") communities, (ii) Recreational vehicle ("RV") communities and (iii) Marinas.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our revenue by major source and segment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40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98"/>
        </w:trPr>
        <w:tc>
          <w:tcPr>
            <w:tcW w:w="2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220"/>
              <w:spacing w:after="0"/>
              <w:rPr>
                <w:sz w:val="20"/>
                <w:szCs w:val="20"/>
                <w:color w:val="auto"/>
              </w:rPr>
            </w:pPr>
            <w:r>
              <w:rPr>
                <w:rFonts w:ascii="Arial" w:cs="Arial" w:eastAsia="Arial" w:hAnsi="Arial"/>
                <w:sz w:val="15"/>
                <w:szCs w:val="15"/>
                <w:b w:val="1"/>
                <w:bCs w:val="1"/>
                <w:color w:val="auto"/>
              </w:rPr>
              <w:t>September 30, 2023</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ind w:left="220"/>
              <w:spacing w:after="0"/>
              <w:rPr>
                <w:sz w:val="20"/>
                <w:szCs w:val="20"/>
                <w:color w:val="auto"/>
              </w:rPr>
            </w:pPr>
            <w:r>
              <w:rPr>
                <w:rFonts w:ascii="Arial" w:cs="Arial" w:eastAsia="Arial" w:hAnsi="Arial"/>
                <w:sz w:val="15"/>
                <w:szCs w:val="15"/>
                <w:b w:val="1"/>
                <w:bCs w:val="1"/>
                <w:color w:val="auto"/>
              </w:rPr>
              <w:t>September 30, 2022</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96"/>
        </w:trPr>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Arial" w:cs="Arial" w:eastAsia="Arial" w:hAnsi="Arial"/>
                <w:sz w:val="15"/>
                <w:szCs w:val="15"/>
                <w:b w:val="1"/>
                <w:bCs w:val="1"/>
                <w:color w:val="auto"/>
              </w:rPr>
              <w:t>MH</w:t>
            </w:r>
          </w:p>
        </w:tc>
        <w:tc>
          <w:tcPr>
            <w:tcW w:w="240" w:type="dxa"/>
            <w:vAlign w:val="bottom"/>
          </w:tcPr>
          <w:p>
            <w:pPr>
              <w:spacing w:after="0"/>
              <w:rPr>
                <w:sz w:val="17"/>
                <w:szCs w:val="17"/>
                <w:color w:val="auto"/>
              </w:rPr>
            </w:pPr>
          </w:p>
        </w:tc>
        <w:tc>
          <w:tcPr>
            <w:tcW w:w="860" w:type="dxa"/>
            <w:vAlign w:val="bottom"/>
            <w:gridSpan w:val="2"/>
          </w:tcPr>
          <w:p>
            <w:pPr>
              <w:ind w:left="160"/>
              <w:spacing w:after="0"/>
              <w:rPr>
                <w:sz w:val="20"/>
                <w:szCs w:val="20"/>
                <w:color w:val="auto"/>
              </w:rPr>
            </w:pPr>
            <w:r>
              <w:rPr>
                <w:rFonts w:ascii="Arial" w:cs="Arial" w:eastAsia="Arial" w:hAnsi="Arial"/>
                <w:sz w:val="15"/>
                <w:szCs w:val="15"/>
                <w:b w:val="1"/>
                <w:bCs w:val="1"/>
                <w:color w:val="auto"/>
              </w:rPr>
              <w:t>RV</w:t>
            </w:r>
          </w:p>
        </w:tc>
        <w:tc>
          <w:tcPr>
            <w:tcW w:w="18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Marina</w:t>
            </w: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Arial" w:cs="Arial" w:eastAsia="Arial" w:hAnsi="Arial"/>
                <w:sz w:val="15"/>
                <w:szCs w:val="15"/>
                <w:b w:val="1"/>
                <w:bCs w:val="1"/>
                <w:color w:val="auto"/>
                <w:w w:val="88"/>
              </w:rPr>
              <w:t>Consolidated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Arial" w:cs="Arial" w:eastAsia="Arial" w:hAnsi="Arial"/>
                <w:sz w:val="15"/>
                <w:szCs w:val="15"/>
                <w:b w:val="1"/>
                <w:bCs w:val="1"/>
                <w:color w:val="auto"/>
              </w:rPr>
              <w:t>MH</w:t>
            </w:r>
          </w:p>
        </w:tc>
        <w:tc>
          <w:tcPr>
            <w:tcW w:w="240" w:type="dxa"/>
            <w:vAlign w:val="bottom"/>
          </w:tcPr>
          <w:p>
            <w:pPr>
              <w:spacing w:after="0"/>
              <w:rPr>
                <w:sz w:val="17"/>
                <w:szCs w:val="17"/>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b w:val="1"/>
                <w:bCs w:val="1"/>
                <w:color w:val="auto"/>
              </w:rPr>
              <w:t>RV</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b w:val="1"/>
                <w:bCs w:val="1"/>
                <w:color w:val="auto"/>
              </w:rPr>
              <w:t>Marina</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r>
      <w:tr>
        <w:trPr>
          <w:trHeight w:val="185"/>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198"/>
        </w:trPr>
        <w:tc>
          <w:tcPr>
            <w:tcW w:w="2120" w:type="dxa"/>
            <w:vAlign w:val="bottom"/>
          </w:tcPr>
          <w:p>
            <w:pPr>
              <w:ind w:left="220"/>
              <w:spacing w:after="0"/>
              <w:rPr>
                <w:sz w:val="20"/>
                <w:szCs w:val="20"/>
                <w:color w:val="auto"/>
              </w:rPr>
            </w:pPr>
            <w:r>
              <w:rPr>
                <w:rFonts w:ascii="Arial" w:cs="Arial" w:eastAsia="Arial" w:hAnsi="Arial"/>
                <w:sz w:val="15"/>
                <w:szCs w:val="15"/>
                <w:color w:val="auto"/>
              </w:rPr>
              <w:t>Real property</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282.5</w:t>
            </w:r>
          </w:p>
        </w:tc>
        <w:tc>
          <w:tcPr>
            <w:tcW w:w="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210.5</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125.8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618.8</w:t>
            </w:r>
          </w:p>
        </w:tc>
        <w:tc>
          <w:tcPr>
            <w:tcW w:w="2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260.3</w:t>
            </w:r>
          </w:p>
        </w:tc>
        <w:tc>
          <w:tcPr>
            <w:tcW w:w="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209.6</w:t>
            </w:r>
          </w:p>
        </w:tc>
        <w:tc>
          <w:tcPr>
            <w:tcW w:w="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115.8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585.7</w:t>
            </w:r>
          </w:p>
        </w:tc>
      </w:tr>
      <w:tr>
        <w:trPr>
          <w:trHeight w:val="207"/>
        </w:trPr>
        <w:tc>
          <w:tcPr>
            <w:tcW w:w="2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Home sales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104.1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140.9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150.7</w:t>
            </w: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5"/>
                <w:szCs w:val="15"/>
                <w:color w:val="auto"/>
              </w:rPr>
              <w:t>Service, retail, dining and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2"/>
        </w:trPr>
        <w:tc>
          <w:tcPr>
            <w:tcW w:w="2120" w:type="dxa"/>
            <w:vAlign w:val="bottom"/>
          </w:tcPr>
          <w:p>
            <w:pPr>
              <w:ind w:left="220"/>
              <w:spacing w:after="0"/>
              <w:rPr>
                <w:sz w:val="20"/>
                <w:szCs w:val="20"/>
                <w:color w:val="auto"/>
              </w:rPr>
            </w:pPr>
            <w:r>
              <w:rPr>
                <w:rFonts w:ascii="Arial" w:cs="Arial" w:eastAsia="Arial" w:hAnsi="Arial"/>
                <w:sz w:val="15"/>
                <w:szCs w:val="15"/>
                <w:color w:val="auto"/>
              </w:rPr>
              <w:t>entertainment</w:t>
            </w: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112.3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174.2</w:t>
            </w:r>
          </w:p>
        </w:tc>
      </w:tr>
      <w:tr>
        <w:trPr>
          <w:trHeight w:val="207"/>
        </w:trPr>
        <w:tc>
          <w:tcPr>
            <w:tcW w:w="2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5"/>
                <w:szCs w:val="15"/>
                <w:color w:val="auto"/>
                <w:w w:val="99"/>
              </w:rPr>
              <w:t>Brokerage commissions and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2"/>
        </w:trPr>
        <w:tc>
          <w:tcPr>
            <w:tcW w:w="2120" w:type="dxa"/>
            <w:vAlign w:val="bottom"/>
          </w:tcPr>
          <w:p>
            <w:pPr>
              <w:ind w:left="220"/>
              <w:spacing w:after="0"/>
              <w:rPr>
                <w:sz w:val="20"/>
                <w:szCs w:val="20"/>
                <w:color w:val="auto"/>
              </w:rPr>
            </w:pPr>
            <w:r>
              <w:rPr>
                <w:rFonts w:ascii="Arial" w:cs="Arial" w:eastAsia="Arial" w:hAnsi="Arial"/>
                <w:sz w:val="15"/>
                <w:szCs w:val="15"/>
                <w:color w:val="auto"/>
              </w:rPr>
              <w:t>other, net</w:t>
            </w: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10.8</w:t>
            </w:r>
          </w:p>
        </w:tc>
      </w:tr>
      <w:tr>
        <w:trPr>
          <w:trHeight w:val="225"/>
        </w:trPr>
        <w:tc>
          <w:tcPr>
            <w:tcW w:w="21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5"/>
                <w:szCs w:val="15"/>
                <w:b w:val="1"/>
                <w:bCs w:val="1"/>
                <w:color w:val="auto"/>
              </w:rPr>
              <w:t>Total Revenues</w:t>
            </w: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434.2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436.1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932.6</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440"/>
              <w:spacing w:after="0"/>
              <w:rPr>
                <w:sz w:val="20"/>
                <w:szCs w:val="20"/>
                <w:color w:val="auto"/>
              </w:rPr>
            </w:pPr>
            <w:r>
              <w:rPr>
                <w:rFonts w:ascii="Arial" w:cs="Arial" w:eastAsia="Arial" w:hAnsi="Arial"/>
                <w:sz w:val="15"/>
                <w:szCs w:val="15"/>
                <w:b w:val="1"/>
                <w:bCs w:val="1"/>
                <w:color w:val="auto"/>
              </w:rPr>
              <w:t>Nine Months Ended</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98"/>
        </w:trPr>
        <w:tc>
          <w:tcPr>
            <w:tcW w:w="2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220"/>
              <w:spacing w:after="0"/>
              <w:rPr>
                <w:sz w:val="20"/>
                <w:szCs w:val="20"/>
                <w:color w:val="auto"/>
              </w:rPr>
            </w:pPr>
            <w:r>
              <w:rPr>
                <w:rFonts w:ascii="Arial" w:cs="Arial" w:eastAsia="Arial" w:hAnsi="Arial"/>
                <w:sz w:val="15"/>
                <w:szCs w:val="15"/>
                <w:b w:val="1"/>
                <w:bCs w:val="1"/>
                <w:color w:val="auto"/>
              </w:rPr>
              <w:t>September 30, 2023</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ind w:left="220"/>
              <w:spacing w:after="0"/>
              <w:rPr>
                <w:sz w:val="20"/>
                <w:szCs w:val="20"/>
                <w:color w:val="auto"/>
              </w:rPr>
            </w:pPr>
            <w:r>
              <w:rPr>
                <w:rFonts w:ascii="Arial" w:cs="Arial" w:eastAsia="Arial" w:hAnsi="Arial"/>
                <w:sz w:val="15"/>
                <w:szCs w:val="15"/>
                <w:b w:val="1"/>
                <w:bCs w:val="1"/>
                <w:color w:val="auto"/>
              </w:rPr>
              <w:t>September 30, 2022</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96"/>
        </w:trPr>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Arial" w:cs="Arial" w:eastAsia="Arial" w:hAnsi="Arial"/>
                <w:sz w:val="15"/>
                <w:szCs w:val="15"/>
                <w:b w:val="1"/>
                <w:bCs w:val="1"/>
                <w:color w:val="auto"/>
              </w:rPr>
              <w:t>MH</w:t>
            </w:r>
          </w:p>
        </w:tc>
        <w:tc>
          <w:tcPr>
            <w:tcW w:w="240" w:type="dxa"/>
            <w:vAlign w:val="bottom"/>
          </w:tcPr>
          <w:p>
            <w:pPr>
              <w:spacing w:after="0"/>
              <w:rPr>
                <w:sz w:val="17"/>
                <w:szCs w:val="17"/>
                <w:color w:val="auto"/>
              </w:rPr>
            </w:pPr>
          </w:p>
        </w:tc>
        <w:tc>
          <w:tcPr>
            <w:tcW w:w="860" w:type="dxa"/>
            <w:vAlign w:val="bottom"/>
            <w:gridSpan w:val="2"/>
          </w:tcPr>
          <w:p>
            <w:pPr>
              <w:ind w:left="160"/>
              <w:spacing w:after="0"/>
              <w:rPr>
                <w:sz w:val="20"/>
                <w:szCs w:val="20"/>
                <w:color w:val="auto"/>
              </w:rPr>
            </w:pPr>
            <w:r>
              <w:rPr>
                <w:rFonts w:ascii="Arial" w:cs="Arial" w:eastAsia="Arial" w:hAnsi="Arial"/>
                <w:sz w:val="15"/>
                <w:szCs w:val="15"/>
                <w:b w:val="1"/>
                <w:bCs w:val="1"/>
                <w:color w:val="auto"/>
              </w:rPr>
              <w:t>RV</w:t>
            </w:r>
          </w:p>
        </w:tc>
        <w:tc>
          <w:tcPr>
            <w:tcW w:w="18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Marina</w:t>
            </w: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Arial" w:cs="Arial" w:eastAsia="Arial" w:hAnsi="Arial"/>
                <w:sz w:val="15"/>
                <w:szCs w:val="15"/>
                <w:b w:val="1"/>
                <w:bCs w:val="1"/>
                <w:color w:val="auto"/>
                <w:w w:val="88"/>
              </w:rPr>
              <w:t>Consolidated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Arial" w:cs="Arial" w:eastAsia="Arial" w:hAnsi="Arial"/>
                <w:sz w:val="15"/>
                <w:szCs w:val="15"/>
                <w:b w:val="1"/>
                <w:bCs w:val="1"/>
                <w:color w:val="auto"/>
              </w:rPr>
              <w:t>MH</w:t>
            </w:r>
          </w:p>
        </w:tc>
        <w:tc>
          <w:tcPr>
            <w:tcW w:w="240" w:type="dxa"/>
            <w:vAlign w:val="bottom"/>
          </w:tcPr>
          <w:p>
            <w:pPr>
              <w:spacing w:after="0"/>
              <w:rPr>
                <w:sz w:val="17"/>
                <w:szCs w:val="17"/>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b w:val="1"/>
                <w:bCs w:val="1"/>
                <w:color w:val="auto"/>
              </w:rPr>
              <w:t>RV</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b w:val="1"/>
                <w:bCs w:val="1"/>
                <w:color w:val="auto"/>
              </w:rPr>
              <w:t>Marina</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r>
      <w:tr>
        <w:trPr>
          <w:trHeight w:val="185"/>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198"/>
        </w:trPr>
        <w:tc>
          <w:tcPr>
            <w:tcW w:w="2120" w:type="dxa"/>
            <w:vAlign w:val="bottom"/>
          </w:tcPr>
          <w:p>
            <w:pPr>
              <w:ind w:left="220"/>
              <w:spacing w:after="0"/>
              <w:rPr>
                <w:sz w:val="20"/>
                <w:szCs w:val="20"/>
                <w:color w:val="auto"/>
              </w:rPr>
            </w:pPr>
            <w:r>
              <w:rPr>
                <w:rFonts w:ascii="Arial" w:cs="Arial" w:eastAsia="Arial" w:hAnsi="Arial"/>
                <w:sz w:val="15"/>
                <w:szCs w:val="15"/>
                <w:color w:val="auto"/>
              </w:rPr>
              <w:t>Real property</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801.4</w:t>
            </w:r>
          </w:p>
        </w:tc>
        <w:tc>
          <w:tcPr>
            <w:tcW w:w="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458.4</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326.6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1,586.4</w:t>
            </w:r>
          </w:p>
        </w:tc>
        <w:tc>
          <w:tcPr>
            <w:tcW w:w="2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711.4</w:t>
            </w:r>
          </w:p>
        </w:tc>
        <w:tc>
          <w:tcPr>
            <w:tcW w:w="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461.2</w:t>
            </w:r>
          </w:p>
        </w:tc>
        <w:tc>
          <w:tcPr>
            <w:tcW w:w="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289.0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1,461.6</w:t>
            </w:r>
          </w:p>
        </w:tc>
      </w:tr>
      <w:tr>
        <w:trPr>
          <w:trHeight w:val="207"/>
        </w:trPr>
        <w:tc>
          <w:tcPr>
            <w:tcW w:w="2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Home sales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293.1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328.5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358.1</w:t>
            </w: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5"/>
                <w:szCs w:val="15"/>
                <w:color w:val="auto"/>
              </w:rPr>
              <w:t>Service, retail, dining and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2"/>
        </w:trPr>
        <w:tc>
          <w:tcPr>
            <w:tcW w:w="2120" w:type="dxa"/>
            <w:vAlign w:val="bottom"/>
          </w:tcPr>
          <w:p>
            <w:pPr>
              <w:ind w:left="220"/>
              <w:spacing w:after="0"/>
              <w:rPr>
                <w:sz w:val="20"/>
                <w:szCs w:val="20"/>
                <w:color w:val="auto"/>
              </w:rPr>
            </w:pPr>
            <w:r>
              <w:rPr>
                <w:rFonts w:ascii="Arial" w:cs="Arial" w:eastAsia="Arial" w:hAnsi="Arial"/>
                <w:sz w:val="15"/>
                <w:szCs w:val="15"/>
                <w:color w:val="auto"/>
              </w:rPr>
              <w:t>entertainment</w:t>
            </w: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379.5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498.9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33.5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78.7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310.8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423.0</w:t>
            </w:r>
          </w:p>
        </w:tc>
      </w:tr>
      <w:tr>
        <w:trPr>
          <w:trHeight w:val="207"/>
        </w:trPr>
        <w:tc>
          <w:tcPr>
            <w:tcW w:w="2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w:t>
            </w: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5"/>
                <w:szCs w:val="15"/>
                <w:color w:val="auto"/>
                <w:w w:val="99"/>
              </w:rPr>
              <w:t>Brokerage commissions and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2"/>
        </w:trPr>
        <w:tc>
          <w:tcPr>
            <w:tcW w:w="21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other, net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22.8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w:t>
            </w:r>
          </w:p>
        </w:tc>
      </w:tr>
      <w:tr>
        <w:trPr>
          <w:trHeight w:val="225"/>
        </w:trPr>
        <w:tc>
          <w:tcPr>
            <w:tcW w:w="21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b w:val="1"/>
                <w:bCs w:val="1"/>
                <w:color w:val="auto"/>
              </w:rPr>
              <w:t>Total Revenues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1,194.9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590.6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712.4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2,497.9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1,112.3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582.2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600.9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2,295.4</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consists of real property revenue at our MH, RV and Marina properties, revenue from Home sales, Service, retail, dining and entertainment revenue, Interest income, and Brokerage commissions and other revenue.</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majority of our revenue is derived from site and home leases, and wet slip and dry storage space leases that are accounted for pursuant to ASC 842, "</w:t>
      </w:r>
      <w:r>
        <w:rPr>
          <w:rFonts w:ascii="Arial" w:cs="Arial" w:eastAsia="Arial" w:hAnsi="Arial"/>
          <w:sz w:val="18"/>
          <w:szCs w:val="18"/>
          <w:i w:val="1"/>
          <w:iCs w:val="1"/>
          <w:color w:val="auto"/>
        </w:rPr>
        <w:t>Leases</w:t>
      </w:r>
      <w:r>
        <w:rPr>
          <w:rFonts w:ascii="Arial" w:cs="Arial" w:eastAsia="Arial" w:hAnsi="Arial"/>
          <w:sz w:val="18"/>
          <w:szCs w:val="18"/>
          <w:color w:val="auto"/>
        </w:rPr>
        <w:t>." We account for all revenue from contracts with customers following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except for those that are within the scope of other topics in the FASB ASC. For additional information, refer to Note 1, "Significant Accounting Policies," in our 2022 Annual Report.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Real Estate Acquisitions and Dispositions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2023, we acquired the following properties: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tcPr>
          <w:p>
            <w:pPr>
              <w:ind w:left="180"/>
              <w:spacing w:after="0"/>
              <w:rPr>
                <w:sz w:val="20"/>
                <w:szCs w:val="20"/>
                <w:color w:val="auto"/>
              </w:rPr>
            </w:pPr>
            <w:r>
              <w:rPr>
                <w:rFonts w:ascii="Arial" w:cs="Arial" w:eastAsia="Arial" w:hAnsi="Arial"/>
                <w:sz w:val="15"/>
                <w:szCs w:val="15"/>
                <w:b w:val="1"/>
                <w:bCs w:val="1"/>
                <w:color w:val="auto"/>
              </w:rPr>
              <w:t>Sites, Wet Slips and</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0"/>
              </w:rPr>
              <w:t>State, Province or</w:t>
            </w:r>
          </w:p>
        </w:tc>
        <w:tc>
          <w:tcPr>
            <w:tcW w:w="1400" w:type="dxa"/>
            <w:vAlign w:val="bottom"/>
          </w:tcPr>
          <w:p>
            <w:pPr>
              <w:spacing w:after="0"/>
              <w:rPr>
                <w:sz w:val="14"/>
                <w:szCs w:val="14"/>
                <w:color w:val="auto"/>
              </w:rPr>
            </w:pPr>
          </w:p>
        </w:tc>
      </w:tr>
      <w:tr>
        <w:trPr>
          <w:trHeight w:val="212"/>
        </w:trPr>
        <w:tc>
          <w:tcPr>
            <w:tcW w:w="2660" w:type="dxa"/>
            <w:vAlign w:val="bottom"/>
            <w:tcBorders>
              <w:bottom w:val="single" w:sz="8" w:color="auto"/>
            </w:tcBorders>
          </w:tcPr>
          <w:p>
            <w:pPr>
              <w:ind w:left="740"/>
              <w:spacing w:after="0"/>
              <w:rPr>
                <w:sz w:val="20"/>
                <w:szCs w:val="20"/>
                <w:color w:val="auto"/>
              </w:rPr>
            </w:pPr>
            <w:r>
              <w:rPr>
                <w:rFonts w:ascii="Arial" w:cs="Arial" w:eastAsia="Arial" w:hAnsi="Arial"/>
                <w:sz w:val="15"/>
                <w:szCs w:val="15"/>
                <w:b w:val="1"/>
                <w:bCs w:val="1"/>
                <w:color w:val="auto"/>
              </w:rPr>
              <w:t>Community Name</w:t>
            </w:r>
          </w:p>
        </w:tc>
        <w:tc>
          <w:tcPr>
            <w:tcW w:w="8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ind w:left="980"/>
              <w:spacing w:after="0"/>
              <w:rPr>
                <w:sz w:val="20"/>
                <w:szCs w:val="20"/>
                <w:color w:val="auto"/>
              </w:rPr>
            </w:pPr>
            <w:r>
              <w:rPr>
                <w:rFonts w:ascii="Arial" w:cs="Arial" w:eastAsia="Arial" w:hAnsi="Arial"/>
                <w:sz w:val="15"/>
                <w:szCs w:val="15"/>
                <w:b w:val="1"/>
                <w:bCs w:val="1"/>
                <w:color w:val="auto"/>
              </w:rPr>
              <w:t>Type</w:t>
            </w:r>
          </w:p>
        </w:tc>
        <w:tc>
          <w:tcPr>
            <w:tcW w:w="8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Dry Storage Spaces</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9"/>
              </w:rPr>
              <w:t>Development Sites</w:t>
            </w:r>
          </w:p>
        </w:tc>
        <w:tc>
          <w:tcPr>
            <w:tcW w:w="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Country</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Month Acquired</w:t>
            </w:r>
          </w:p>
        </w:tc>
      </w:tr>
      <w:tr>
        <w:trPr>
          <w:trHeight w:val="200"/>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Fox Run</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r>
      <w:tr>
        <w:trPr>
          <w:trHeight w:val="198"/>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Savannah Yacht Center</w:t>
            </w:r>
          </w:p>
        </w:tc>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GA</w:t>
            </w:r>
          </w:p>
        </w:tc>
        <w:tc>
          <w:tcPr>
            <w:tcW w:w="1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March</w:t>
            </w:r>
          </w:p>
        </w:tc>
      </w:tr>
      <w:tr>
        <w:trPr>
          <w:trHeight w:val="225"/>
        </w:trPr>
        <w:tc>
          <w:tcPr>
            <w:tcW w:w="2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92</w:t>
            </w: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72</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amount of assets acquired, net of liabilities assumed at the acquisition date and the consideration paid for the acquisitions completed during the nine months ended September 30, 2023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w w:val="96"/>
              </w:rPr>
              <w:t>At Acquisition Date</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5"/>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24"/>
              <w:spacing w:after="0" w:line="146" w:lineRule="exact"/>
              <w:rPr>
                <w:sz w:val="20"/>
                <w:szCs w:val="20"/>
                <w:color w:val="auto"/>
              </w:rPr>
            </w:pPr>
            <w:r>
              <w:rPr>
                <w:rFonts w:ascii="Arial" w:cs="Arial" w:eastAsia="Arial" w:hAnsi="Arial"/>
                <w:sz w:val="15"/>
                <w:szCs w:val="15"/>
                <w:color w:val="auto"/>
                <w:w w:val="96"/>
              </w:rPr>
              <w:t>Inventory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24"/>
              <w:spacing w:after="0" w:line="162" w:lineRule="exact"/>
              <w:rPr>
                <w:sz w:val="20"/>
                <w:szCs w:val="20"/>
                <w:color w:val="auto"/>
              </w:rPr>
            </w:pPr>
            <w:r>
              <w:rPr>
                <w:rFonts w:ascii="Arial" w:cs="Arial" w:eastAsia="Arial" w:hAnsi="Arial"/>
                <w:sz w:val="15"/>
                <w:szCs w:val="15"/>
                <w:color w:val="auto"/>
                <w:w w:val="91"/>
              </w:rPr>
              <w:t>manufactured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5"/>
                <w:szCs w:val="15"/>
                <w:color w:val="auto"/>
                <w:w w:val="89"/>
              </w:rPr>
              <w:t>In-place leases,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center"/>
              <w:ind w:right="200"/>
              <w:spacing w:after="0" w:line="162" w:lineRule="exact"/>
              <w:rPr>
                <w:sz w:val="20"/>
                <w:szCs w:val="20"/>
                <w:color w:val="auto"/>
              </w:rPr>
            </w:pPr>
            <w:r>
              <w:rPr>
                <w:rFonts w:ascii="Arial" w:cs="Arial" w:eastAsia="Arial" w:hAnsi="Arial"/>
                <w:sz w:val="15"/>
                <w:szCs w:val="15"/>
                <w:b w:val="1"/>
                <w:bCs w:val="1"/>
                <w:color w:val="auto"/>
                <w:w w:val="93"/>
              </w:rPr>
              <w:t>Total identifiable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line="162" w:lineRule="exact"/>
              <w:rPr>
                <w:sz w:val="20"/>
                <w:szCs w:val="20"/>
                <w:color w:val="auto"/>
              </w:rPr>
            </w:pPr>
            <w:r>
              <w:rPr>
                <w:rFonts w:ascii="Arial" w:cs="Arial" w:eastAsia="Arial" w:hAnsi="Arial"/>
                <w:sz w:val="15"/>
                <w:szCs w:val="15"/>
                <w:color w:val="auto"/>
                <w:w w:val="90"/>
              </w:rPr>
              <w:t>Temporary</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5"/>
                <w:szCs w:val="15"/>
                <w:color w:val="auto"/>
                <w:w w:val="94"/>
              </w:rPr>
              <w:t>Investment in</w:t>
            </w:r>
          </w:p>
        </w:tc>
        <w:tc>
          <w:tcPr>
            <w:tcW w:w="100" w:type="dxa"/>
            <w:vAlign w:val="bottom"/>
          </w:tcPr>
          <w:p>
            <w:pPr>
              <w:spacing w:after="0"/>
              <w:rPr>
                <w:sz w:val="12"/>
                <w:szCs w:val="12"/>
                <w:color w:val="auto"/>
              </w:rPr>
            </w:pPr>
          </w:p>
        </w:tc>
        <w:tc>
          <w:tcPr>
            <w:tcW w:w="1220" w:type="dxa"/>
            <w:vAlign w:val="bottom"/>
          </w:tcPr>
          <w:p>
            <w:pPr>
              <w:jc w:val="center"/>
              <w:ind w:right="24"/>
              <w:spacing w:after="0" w:line="149" w:lineRule="exact"/>
              <w:rPr>
                <w:sz w:val="20"/>
                <w:szCs w:val="20"/>
                <w:color w:val="auto"/>
              </w:rPr>
            </w:pPr>
            <w:r>
              <w:rPr>
                <w:rFonts w:ascii="Arial" w:cs="Arial" w:eastAsia="Arial" w:hAnsi="Arial"/>
                <w:sz w:val="15"/>
                <w:szCs w:val="15"/>
                <w:color w:val="auto"/>
                <w:w w:val="89"/>
              </w:rPr>
              <w:t>homes, boat parts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5"/>
                <w:szCs w:val="15"/>
                <w:color w:val="auto"/>
                <w:w w:val="87"/>
              </w:rPr>
              <w:t>Other assets,</w:t>
            </w:r>
          </w:p>
        </w:tc>
        <w:tc>
          <w:tcPr>
            <w:tcW w:w="1480" w:type="dxa"/>
            <w:vAlign w:val="bottom"/>
            <w:gridSpan w:val="3"/>
          </w:tcPr>
          <w:p>
            <w:pPr>
              <w:jc w:val="center"/>
              <w:ind w:right="200"/>
              <w:spacing w:after="0" w:line="149" w:lineRule="exact"/>
              <w:rPr>
                <w:sz w:val="20"/>
                <w:szCs w:val="20"/>
                <w:color w:val="auto"/>
              </w:rPr>
            </w:pPr>
            <w:r>
              <w:rPr>
                <w:rFonts w:ascii="Arial" w:cs="Arial" w:eastAsia="Arial" w:hAnsi="Arial"/>
                <w:sz w:val="15"/>
                <w:szCs w:val="15"/>
                <w:b w:val="1"/>
                <w:bCs w:val="1"/>
                <w:color w:val="auto"/>
                <w:w w:val="88"/>
              </w:rPr>
              <w:t>assets acquired net</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5"/>
                <w:szCs w:val="15"/>
                <w:color w:val="auto"/>
                <w:w w:val="87"/>
              </w:rPr>
              <w:t>Cash and</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87"/>
              </w:rPr>
              <w:t>and</w:t>
            </w:r>
          </w:p>
        </w:tc>
        <w:tc>
          <w:tcPr>
            <w:tcW w:w="100" w:type="dxa"/>
            <w:vAlign w:val="bottom"/>
          </w:tcPr>
          <w:p>
            <w:pPr>
              <w:spacing w:after="0"/>
              <w:rPr>
                <w:sz w:val="12"/>
                <w:szCs w:val="12"/>
                <w:color w:val="auto"/>
              </w:rPr>
            </w:pPr>
          </w:p>
        </w:tc>
        <w:tc>
          <w:tcPr>
            <w:tcW w:w="104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44"/>
              <w:spacing w:after="0" w:line="149" w:lineRule="exact"/>
              <w:rPr>
                <w:sz w:val="20"/>
                <w:szCs w:val="20"/>
                <w:color w:val="auto"/>
              </w:rPr>
            </w:pPr>
            <w:r>
              <w:rPr>
                <w:rFonts w:ascii="Arial" w:cs="Arial" w:eastAsia="Arial" w:hAnsi="Arial"/>
                <w:sz w:val="15"/>
                <w:szCs w:val="15"/>
                <w:color w:val="auto"/>
                <w:w w:val="93"/>
              </w:rPr>
              <w:t>and retail</w:t>
            </w:r>
          </w:p>
        </w:tc>
        <w:tc>
          <w:tcPr>
            <w:tcW w:w="8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5"/>
                <w:szCs w:val="15"/>
                <w:color w:val="auto"/>
              </w:rPr>
              <w:t>goodwill and other</w:t>
            </w: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5"/>
                <w:szCs w:val="15"/>
                <w:b w:val="1"/>
                <w:bCs w:val="1"/>
                <w:color w:val="auto"/>
                <w:w w:val="92"/>
              </w:rPr>
              <w:t>of liabilities</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5"/>
                <w:szCs w:val="15"/>
                <w:color w:val="auto"/>
                <w:w w:val="89"/>
              </w:rPr>
              <w:t>permanent</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color w:val="auto"/>
                <w:w w:val="94"/>
              </w:rPr>
              <w:t>property</w:t>
            </w:r>
          </w:p>
        </w:tc>
        <w:tc>
          <w:tcPr>
            <w:tcW w:w="100" w:type="dxa"/>
            <w:vAlign w:val="bottom"/>
          </w:tcPr>
          <w:p>
            <w:pPr>
              <w:spacing w:after="0"/>
              <w:rPr>
                <w:sz w:val="18"/>
                <w:szCs w:val="18"/>
                <w:color w:val="auto"/>
              </w:rPr>
            </w:pPr>
          </w:p>
        </w:tc>
        <w:tc>
          <w:tcPr>
            <w:tcW w:w="1220" w:type="dxa"/>
            <w:vAlign w:val="bottom"/>
          </w:tcPr>
          <w:p>
            <w:pPr>
              <w:jc w:val="center"/>
              <w:ind w:right="44"/>
              <w:spacing w:after="0"/>
              <w:rPr>
                <w:sz w:val="20"/>
                <w:szCs w:val="20"/>
                <w:color w:val="auto"/>
              </w:rPr>
            </w:pPr>
            <w:r>
              <w:rPr>
                <w:rFonts w:ascii="Arial" w:cs="Arial" w:eastAsia="Arial" w:hAnsi="Arial"/>
                <w:sz w:val="15"/>
                <w:szCs w:val="15"/>
                <w:color w:val="auto"/>
                <w:w w:val="90"/>
              </w:rPr>
              <w:t>related items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5"/>
                <w:szCs w:val="15"/>
                <w:color w:val="auto"/>
                <w:w w:val="89"/>
              </w:rPr>
              <w:t>intangible assets</w:t>
            </w:r>
          </w:p>
        </w:tc>
        <w:tc>
          <w:tcPr>
            <w:tcW w:w="220" w:type="dxa"/>
            <w:vAlign w:val="bottom"/>
          </w:tcPr>
          <w:p>
            <w:pPr>
              <w:spacing w:after="0"/>
              <w:rPr>
                <w:sz w:val="18"/>
                <w:szCs w:val="18"/>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5"/>
                <w:szCs w:val="15"/>
                <w:color w:val="auto"/>
                <w:w w:val="95"/>
              </w:rPr>
              <w:t>net</w:t>
            </w:r>
          </w:p>
        </w:tc>
        <w:tc>
          <w:tcPr>
            <w:tcW w:w="1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6"/>
              </w:rPr>
              <w:t>assumed</w:t>
            </w:r>
          </w:p>
        </w:tc>
        <w:tc>
          <w:tcPr>
            <w:tcW w:w="10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5"/>
                <w:szCs w:val="15"/>
                <w:color w:val="auto"/>
                <w:w w:val="88"/>
              </w:rPr>
              <w:t>escrow</w:t>
            </w:r>
          </w:p>
        </w:tc>
        <w:tc>
          <w:tcPr>
            <w:tcW w:w="120" w:type="dxa"/>
            <w:vAlign w:val="bottom"/>
          </w:tcPr>
          <w:p>
            <w:pPr>
              <w:spacing w:after="0"/>
              <w:rPr>
                <w:sz w:val="18"/>
                <w:szCs w:val="18"/>
                <w:color w:val="auto"/>
              </w:rPr>
            </w:pPr>
          </w:p>
        </w:tc>
        <w:tc>
          <w:tcPr>
            <w:tcW w:w="900" w:type="dxa"/>
            <w:vAlign w:val="bottom"/>
            <w:gridSpan w:val="2"/>
          </w:tcPr>
          <w:p>
            <w:pPr>
              <w:jc w:val="center"/>
              <w:ind w:right="200"/>
              <w:spacing w:after="0" w:line="216" w:lineRule="exact"/>
              <w:rPr>
                <w:sz w:val="20"/>
                <w:szCs w:val="20"/>
                <w:color w:val="auto"/>
              </w:rPr>
            </w:pPr>
            <w:r>
              <w:rPr>
                <w:rFonts w:ascii="Arial" w:cs="Arial" w:eastAsia="Arial" w:hAnsi="Arial"/>
                <w:sz w:val="15"/>
                <w:szCs w:val="15"/>
                <w:color w:val="auto"/>
                <w:w w:val="90"/>
              </w:rPr>
              <w:t>equity</w:t>
            </w:r>
            <w:r>
              <w:rPr>
                <w:rFonts w:ascii="Arial" w:cs="Arial" w:eastAsia="Arial" w:hAnsi="Arial"/>
                <w:sz w:val="19"/>
                <w:szCs w:val="19"/>
                <w:color w:val="auto"/>
                <w:w w:val="90"/>
                <w:vertAlign w:val="superscript"/>
              </w:rPr>
              <w:t>(1)</w:t>
            </w:r>
          </w:p>
        </w:tc>
        <w:tc>
          <w:tcPr>
            <w:tcW w:w="10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b w:val="1"/>
                <w:bCs w:val="1"/>
                <w:color w:val="auto"/>
                <w:w w:val="89"/>
              </w:rPr>
              <w:t>consideration</w:t>
            </w:r>
          </w:p>
        </w:tc>
        <w:tc>
          <w:tcPr>
            <w:tcW w:w="0" w:type="dxa"/>
            <w:vAlign w:val="bottom"/>
          </w:tcPr>
          <w:p>
            <w:pPr>
              <w:spacing w:after="0"/>
              <w:rPr>
                <w:sz w:val="1"/>
                <w:szCs w:val="1"/>
                <w:color w:val="auto"/>
              </w:rPr>
            </w:pPr>
          </w:p>
        </w:tc>
      </w:tr>
      <w:tr>
        <w:trPr>
          <w:trHeight w:val="183"/>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 Acquisition</w:t>
            </w: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line="203" w:lineRule="exact"/>
              <w:rPr>
                <w:sz w:val="20"/>
                <w:szCs w:val="20"/>
                <w:color w:val="auto"/>
              </w:rPr>
            </w:pPr>
            <w:r>
              <w:rPr>
                <w:rFonts w:ascii="Arial" w:cs="Arial" w:eastAsia="Arial" w:hAnsi="Arial"/>
                <w:sz w:val="15"/>
                <w:szCs w:val="15"/>
                <w:color w:val="auto"/>
              </w:rPr>
              <w:t>Fox Run</w:t>
            </w:r>
            <w:r>
              <w:rPr>
                <w:rFonts w:ascii="Arial" w:cs="Arial" w:eastAsia="Arial" w:hAnsi="Arial"/>
                <w:sz w:val="19"/>
                <w:szCs w:val="19"/>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7.2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7.2</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20"/>
              <w:spacing w:after="0" w:line="203" w:lineRule="exact"/>
              <w:rPr>
                <w:sz w:val="20"/>
                <w:szCs w:val="20"/>
                <w:color w:val="auto"/>
              </w:rPr>
            </w:pPr>
            <w:r>
              <w:rPr>
                <w:rFonts w:ascii="Arial" w:cs="Arial" w:eastAsia="Arial" w:hAnsi="Arial"/>
                <w:sz w:val="15"/>
                <w:szCs w:val="15"/>
                <w:color w:val="auto"/>
              </w:rPr>
              <w:t>Savannah Yacht Center</w:t>
            </w:r>
            <w:r>
              <w:rPr>
                <w:rFonts w:ascii="Arial" w:cs="Arial" w:eastAsia="Arial" w:hAnsi="Arial"/>
                <w:sz w:val="19"/>
                <w:szCs w:val="19"/>
                <w:color w:val="auto"/>
                <w:vertAlign w:val="superscript"/>
              </w:rPr>
              <w:t>(3)</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100.2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0.4</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104.9</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100.6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104.9</w:t>
            </w:r>
          </w:p>
        </w:tc>
        <w:tc>
          <w:tcPr>
            <w:tcW w:w="0" w:type="dxa"/>
            <w:vAlign w:val="bottom"/>
          </w:tcPr>
          <w:p>
            <w:pPr>
              <w:spacing w:after="0"/>
              <w:rPr>
                <w:sz w:val="1"/>
                <w:szCs w:val="1"/>
                <w:color w:val="auto"/>
              </w:rPr>
            </w:pPr>
          </w:p>
        </w:tc>
      </w:tr>
      <w:tr>
        <w:trPr>
          <w:trHeight w:val="192"/>
        </w:trPr>
        <w:tc>
          <w:tcPr>
            <w:tcW w:w="200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107.4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0.1</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0.4</w:t>
            </w:r>
          </w:p>
        </w:tc>
        <w:tc>
          <w:tcPr>
            <w:tcW w:w="8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112.1</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105.0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112.1</w:t>
            </w: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4"/>
          <w:szCs w:val="14"/>
          <w:color w:val="auto"/>
        </w:rPr>
        <w:t>Refer to Note 9, "Equity and Temporary Equity," for additional detail.</w:t>
      </w:r>
    </w:p>
    <w:p>
      <w:pPr>
        <w:spacing w:after="0" w:line="43" w:lineRule="exact"/>
        <w:rPr>
          <w:rFonts w:ascii="Arial" w:cs="Arial" w:eastAsia="Arial" w:hAnsi="Arial"/>
          <w:sz w:val="9"/>
          <w:szCs w:val="9"/>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 conjunction with the acquisition, the Operating Partnership issued 31,289 common OP units valued at $4.4 million.</w:t>
      </w:r>
    </w:p>
    <w:p>
      <w:pPr>
        <w:spacing w:after="0" w:line="57"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 conjunction with the acquisition, the Operating Partnership issued one million Series K preferred OP units valued at $100.6 million.</w:t>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we have incurred and capitalized $3.1 million of transaction costs, which have been allocated among various fixed asset categories for purchases that meet the asset acquisition criteria. During the nine months ended September 30, 2023, we recognized $3.0 million of business combination expenses in connection with transactions completed during 2022.</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Development and Expansion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2023, we acquired four land parcels located in the United States ("U.S.") and United Kingdom ("UK") for an aggregate purchase price of $35.4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Dispositions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August 2023, we sold one MH community located in Maine with 155 developed sites at its net carrying value for cash consideration of $6.8 million. The property was previously classified as held for sale during the three months ended June 30, 2023, with its net carrying value of $13.1 million written down by $6.3 million within Asset impairments on our Consolidated Statements of Operations, to a fair value less cost to sell of $6.8 million.</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2023, we sold two parcels of land in the UK for total consideration of $111.5 million, which primarily consisted of $108.8 million in the form of an operator note receivable that was added to an existing facility with a weighted average interest rate of 11.9% per annum, due May 31, 2023 and subsequently extended to July 31, 2023 as part of the operator's total facility. On the date of sale, the carrying value of the note receivable approximated its fair value due to its short term nature. The dispositions resulted in a loss on sale totaling $2.2 million during the nine months ended September 30, 2023, net of the release of foreign currency translation losses from Accumulated other comprehensive income / (loss) ("AOCI") of $11.9 million. The total loss on sale was recorded in Gain / (loss) on dispositions of properties on the Consolidated Statements of Operations. Refer to Note 4, "Notes and Other Receivables," for additional information on the notes receivable.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Held For Sale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periodically classify real estate as "held for sale" after an active program to sell an asset has commenced and when the sale is probable. Subsequent to the classification of assets as held for sale, no further depreciation expense is recorded.</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2023, the criteria was met to classify Sandy Bay, an operating MH community in the UK, with 730 developed sites, as held for sale. Previously, this property had been under contract. At September 30, 2023, the sale contract is no longer in effect. However, the criteria for classification as held for sale were still met. Accordingly, the property remained classified as held for sale at September 30, 2023, with a carrying value of total assets of $259.1 million and total liabilities of $63.1 million. The held for sale assets primarily consist of Land and Land improvements and buildings and are recorded within Other assets, net on the Consolidated Balance Sheets. The held for sale liabilities primarily consist of Deferred tax liabilities and are recorded within Other liabilities on the Consolidated Balance Sheets.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2022, we acquired the following properties: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Arial" w:cs="Arial" w:eastAsia="Arial" w:hAnsi="Arial"/>
                <w:sz w:val="15"/>
                <w:szCs w:val="15"/>
                <w:b w:val="1"/>
                <w:bCs w:val="1"/>
                <w:color w:val="auto"/>
                <w:w w:val="97"/>
              </w:rPr>
              <w:t>Sites, Wet Slips and Dry</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5"/>
                <w:szCs w:val="15"/>
                <w:b w:val="1"/>
                <w:bCs w:val="1"/>
                <w:color w:val="auto"/>
              </w:rPr>
              <w:t>State, Province or</w:t>
            </w:r>
          </w:p>
        </w:tc>
        <w:tc>
          <w:tcPr>
            <w:tcW w:w="1400" w:type="dxa"/>
            <w:vAlign w:val="bottom"/>
          </w:tcPr>
          <w:p>
            <w:pPr>
              <w:spacing w:after="0"/>
              <w:rPr>
                <w:sz w:val="14"/>
                <w:szCs w:val="14"/>
                <w:color w:val="auto"/>
              </w:rPr>
            </w:pPr>
          </w:p>
        </w:tc>
      </w:tr>
      <w:tr>
        <w:trPr>
          <w:trHeight w:val="216"/>
        </w:trPr>
        <w:tc>
          <w:tcPr>
            <w:tcW w:w="3060" w:type="dxa"/>
            <w:vAlign w:val="bottom"/>
            <w:tcBorders>
              <w:bottom w:val="single" w:sz="8" w:color="auto"/>
            </w:tcBorders>
          </w:tcPr>
          <w:p>
            <w:pPr>
              <w:ind w:left="980"/>
              <w:spacing w:after="0" w:line="216" w:lineRule="exact"/>
              <w:rPr>
                <w:sz w:val="20"/>
                <w:szCs w:val="20"/>
                <w:color w:val="auto"/>
              </w:rPr>
            </w:pPr>
            <w:r>
              <w:rPr>
                <w:rFonts w:ascii="Arial" w:cs="Arial" w:eastAsia="Arial" w:hAnsi="Arial"/>
                <w:sz w:val="15"/>
                <w:szCs w:val="15"/>
                <w:b w:val="1"/>
                <w:bCs w:val="1"/>
                <w:color w:val="auto"/>
              </w:rPr>
              <w:t>Property Name</w:t>
            </w:r>
            <w:r>
              <w:rPr>
                <w:rFonts w:ascii="Arial" w:cs="Arial" w:eastAsia="Arial" w:hAnsi="Arial"/>
                <w:sz w:val="19"/>
                <w:szCs w:val="19"/>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ind w:left="820"/>
              <w:spacing w:after="0"/>
              <w:rPr>
                <w:sz w:val="20"/>
                <w:szCs w:val="20"/>
                <w:color w:val="auto"/>
              </w:rPr>
            </w:pPr>
            <w:r>
              <w:rPr>
                <w:rFonts w:ascii="Arial" w:cs="Arial" w:eastAsia="Arial" w:hAnsi="Arial"/>
                <w:sz w:val="15"/>
                <w:szCs w:val="15"/>
                <w:b w:val="1"/>
                <w:bCs w:val="1"/>
                <w:color w:val="auto"/>
              </w:rPr>
              <w:t>Type</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Storage Spaces</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8"/>
              </w:rPr>
              <w:t>Development Sites</w:t>
            </w:r>
          </w:p>
        </w:tc>
        <w:tc>
          <w:tcPr>
            <w:tcW w:w="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Country</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Month Acquired</w:t>
            </w:r>
          </w:p>
        </w:tc>
      </w:tr>
      <w:tr>
        <w:trPr>
          <w:trHeight w:val="196"/>
        </w:trPr>
        <w:tc>
          <w:tcPr>
            <w:tcW w:w="3060" w:type="dxa"/>
            <w:vAlign w:val="bottom"/>
            <w:shd w:val="clear" w:color="auto" w:fill="CCEEFF"/>
          </w:tcPr>
          <w:p>
            <w:pPr>
              <w:ind w:left="20"/>
              <w:spacing w:after="0" w:line="196" w:lineRule="exact"/>
              <w:rPr>
                <w:sz w:val="20"/>
                <w:szCs w:val="20"/>
                <w:color w:val="auto"/>
              </w:rPr>
            </w:pPr>
            <w:r>
              <w:rPr>
                <w:rFonts w:ascii="Arial" w:cs="Arial" w:eastAsia="Arial" w:hAnsi="Arial"/>
                <w:sz w:val="15"/>
                <w:szCs w:val="15"/>
                <w:color w:val="auto"/>
              </w:rPr>
              <w:t>Harrison Yacht Yard</w:t>
            </w:r>
            <w:r>
              <w:rPr>
                <w:rFonts w:ascii="Arial" w:cs="Arial" w:eastAsia="Arial" w:hAnsi="Arial"/>
                <w:sz w:val="19"/>
                <w:szCs w:val="19"/>
                <w:color w:val="auto"/>
                <w:vertAlign w:val="superscript"/>
              </w:rPr>
              <w:t>(2)</w:t>
            </w:r>
          </w:p>
        </w:tc>
        <w:tc>
          <w:tcPr>
            <w:tcW w:w="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MD</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Outer Banks</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196</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NC</w:t>
            </w:r>
          </w:p>
        </w:tc>
        <w:tc>
          <w:tcPr>
            <w:tcW w:w="1400" w:type="dxa"/>
            <w:vAlign w:val="bottom"/>
          </w:tcPr>
          <w:p>
            <w:pPr>
              <w:ind w:left="20"/>
              <w:spacing w:after="0"/>
              <w:rPr>
                <w:sz w:val="20"/>
                <w:szCs w:val="20"/>
                <w:color w:val="auto"/>
              </w:rPr>
            </w:pPr>
            <w:r>
              <w:rPr>
                <w:rFonts w:ascii="Arial" w:cs="Arial" w:eastAsia="Arial" w:hAnsi="Arial"/>
                <w:sz w:val="15"/>
                <w:szCs w:val="15"/>
                <w:color w:val="auto"/>
              </w:rPr>
              <w:t>January</w:t>
            </w:r>
          </w:p>
        </w:tc>
      </w:tr>
      <w:tr>
        <w:trPr>
          <w:trHeight w:val="20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Jarrett Bay Boatworks</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business combination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NC</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February</w:t>
            </w: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Tower Marine</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446</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MI</w:t>
            </w:r>
          </w:p>
        </w:tc>
        <w:tc>
          <w:tcPr>
            <w:tcW w:w="1400" w:type="dxa"/>
            <w:vAlign w:val="bottom"/>
          </w:tcPr>
          <w:p>
            <w:pPr>
              <w:ind w:left="20"/>
              <w:spacing w:after="0"/>
              <w:rPr>
                <w:sz w:val="20"/>
                <w:szCs w:val="20"/>
                <w:color w:val="auto"/>
              </w:rPr>
            </w:pPr>
            <w:r>
              <w:rPr>
                <w:rFonts w:ascii="Arial" w:cs="Arial" w:eastAsia="Arial" w:hAnsi="Arial"/>
                <w:sz w:val="15"/>
                <w:szCs w:val="15"/>
                <w:color w:val="auto"/>
              </w:rPr>
              <w:t>March</w:t>
            </w:r>
          </w:p>
        </w:tc>
      </w:tr>
      <w:tr>
        <w:trPr>
          <w:trHeight w:val="20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Sandy Bay</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UK</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w:t>
            </w:r>
          </w:p>
        </w:tc>
      </w:tr>
      <w:tr>
        <w:trPr>
          <w:trHeight w:val="203"/>
        </w:trPr>
        <w:tc>
          <w:tcPr>
            <w:tcW w:w="314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Park Holidays</w:t>
            </w:r>
            <w:r>
              <w:rPr>
                <w:rFonts w:ascii="Arial" w:cs="Arial" w:eastAsia="Arial" w:hAnsi="Arial"/>
                <w:sz w:val="19"/>
                <w:szCs w:val="19"/>
                <w:color w:val="auto"/>
                <w:vertAlign w:val="superscript"/>
              </w:rPr>
              <w:t>(3)</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MH: business combination</w:t>
            </w:r>
          </w:p>
        </w:tc>
        <w:tc>
          <w:tcPr>
            <w:tcW w:w="1640" w:type="dxa"/>
            <w:vAlign w:val="bottom"/>
          </w:tcPr>
          <w:p>
            <w:pPr>
              <w:jc w:val="right"/>
              <w:spacing w:after="0"/>
              <w:rPr>
                <w:sz w:val="20"/>
                <w:szCs w:val="20"/>
                <w:color w:val="auto"/>
              </w:rPr>
            </w:pPr>
            <w:r>
              <w:rPr>
                <w:rFonts w:ascii="Arial" w:cs="Arial" w:eastAsia="Arial" w:hAnsi="Arial"/>
                <w:sz w:val="15"/>
                <w:szCs w:val="15"/>
                <w:color w:val="auto"/>
              </w:rPr>
              <w:t>15,906</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608</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UK</w:t>
            </w:r>
          </w:p>
        </w:tc>
        <w:tc>
          <w:tcPr>
            <w:tcW w:w="1400" w:type="dxa"/>
            <w:vAlign w:val="bottom"/>
          </w:tcPr>
          <w:p>
            <w:pPr>
              <w:ind w:left="20"/>
              <w:spacing w:after="0"/>
              <w:rPr>
                <w:sz w:val="20"/>
                <w:szCs w:val="20"/>
                <w:color w:val="auto"/>
              </w:rPr>
            </w:pPr>
            <w:r>
              <w:rPr>
                <w:rFonts w:ascii="Arial" w:cs="Arial" w:eastAsia="Arial" w:hAnsi="Arial"/>
                <w:sz w:val="15"/>
                <w:szCs w:val="15"/>
                <w:color w:val="auto"/>
              </w:rPr>
              <w:t>April</w:t>
            </w:r>
          </w:p>
        </w:tc>
      </w:tr>
      <w:tr>
        <w:trPr>
          <w:trHeight w:val="203"/>
        </w:trPr>
        <w:tc>
          <w:tcPr>
            <w:tcW w:w="314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Christies Parks</w:t>
            </w:r>
            <w:r>
              <w:rPr>
                <w:rFonts w:ascii="Arial" w:cs="Arial" w:eastAsia="Arial" w:hAnsi="Arial"/>
                <w:sz w:val="19"/>
                <w:szCs w:val="19"/>
                <w:color w:val="auto"/>
                <w:vertAlign w:val="superscript"/>
              </w:rPr>
              <w:t>(2)</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UK</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April</w:t>
            </w: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Bluewater</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200</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Multiple</w:t>
            </w:r>
          </w:p>
        </w:tc>
        <w:tc>
          <w:tcPr>
            <w:tcW w:w="1400" w:type="dxa"/>
            <w:vAlign w:val="bottom"/>
          </w:tcPr>
          <w:p>
            <w:pPr>
              <w:ind w:left="20"/>
              <w:spacing w:after="0"/>
              <w:rPr>
                <w:sz w:val="20"/>
                <w:szCs w:val="20"/>
                <w:color w:val="auto"/>
              </w:rPr>
            </w:pPr>
            <w:r>
              <w:rPr>
                <w:rFonts w:ascii="Arial" w:cs="Arial" w:eastAsia="Arial" w:hAnsi="Arial"/>
                <w:sz w:val="15"/>
                <w:szCs w:val="15"/>
                <w:color w:val="auto"/>
              </w:rPr>
              <w:t>April</w:t>
            </w:r>
          </w:p>
        </w:tc>
      </w:tr>
      <w:tr>
        <w:trPr>
          <w:trHeight w:val="207"/>
        </w:trPr>
        <w:tc>
          <w:tcPr>
            <w:tcW w:w="31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Bluewater Yacht Sales</w:t>
            </w:r>
            <w:r>
              <w:rPr>
                <w:rFonts w:ascii="Arial" w:cs="Arial" w:eastAsia="Arial" w:hAnsi="Arial"/>
                <w:sz w:val="19"/>
                <w:szCs w:val="19"/>
                <w:color w:val="auto"/>
                <w:vertAlign w:val="superscript"/>
              </w:rPr>
              <w:t>(2)</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business combination</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Multiple</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April</w:t>
            </w: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Bodmin Holiday Park</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MH: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69</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UK</w:t>
            </w:r>
          </w:p>
        </w:tc>
        <w:tc>
          <w:tcPr>
            <w:tcW w:w="1400" w:type="dxa"/>
            <w:vAlign w:val="bottom"/>
          </w:tcPr>
          <w:p>
            <w:pPr>
              <w:ind w:left="20"/>
              <w:spacing w:after="0"/>
              <w:rPr>
                <w:sz w:val="20"/>
                <w:szCs w:val="20"/>
                <w:color w:val="auto"/>
              </w:rPr>
            </w:pPr>
            <w:r>
              <w:rPr>
                <w:rFonts w:ascii="Arial" w:cs="Arial" w:eastAsia="Arial" w:hAnsi="Arial"/>
                <w:sz w:val="15"/>
                <w:szCs w:val="15"/>
                <w:color w:val="auto"/>
              </w:rPr>
              <w:t>April</w:t>
            </w:r>
          </w:p>
        </w:tc>
      </w:tr>
      <w:tr>
        <w:trPr>
          <w:trHeight w:val="20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Kittery Point</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w:t>
            </w:r>
          </w:p>
        </w:tc>
      </w:tr>
      <w:tr>
        <w:trPr>
          <w:trHeight w:val="199"/>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Spanish Trails MHC</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MH: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195</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AZ</w:t>
            </w:r>
          </w:p>
        </w:tc>
        <w:tc>
          <w:tcPr>
            <w:tcW w:w="1400" w:type="dxa"/>
            <w:vAlign w:val="bottom"/>
          </w:tcPr>
          <w:p>
            <w:pPr>
              <w:ind w:left="20"/>
              <w:spacing w:after="0"/>
              <w:rPr>
                <w:sz w:val="20"/>
                <w:szCs w:val="20"/>
                <w:color w:val="auto"/>
              </w:rPr>
            </w:pPr>
            <w:r>
              <w:rPr>
                <w:rFonts w:ascii="Arial" w:cs="Arial" w:eastAsia="Arial" w:hAnsi="Arial"/>
                <w:sz w:val="15"/>
                <w:szCs w:val="15"/>
                <w:color w:val="auto"/>
              </w:rPr>
              <w:t>June</w:t>
            </w:r>
          </w:p>
        </w:tc>
      </w:tr>
      <w:tr>
        <w:trPr>
          <w:trHeight w:val="20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Pine Acre Trails</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TX</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w:t>
            </w:r>
          </w:p>
        </w:tc>
      </w:tr>
      <w:tr>
        <w:trPr>
          <w:trHeight w:val="203"/>
        </w:trPr>
        <w:tc>
          <w:tcPr>
            <w:tcW w:w="314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Bel Air Estates &amp; Sunrise Estates</w:t>
            </w:r>
            <w:r>
              <w:rPr>
                <w:rFonts w:ascii="Arial" w:cs="Arial" w:eastAsia="Arial" w:hAnsi="Arial"/>
                <w:sz w:val="19"/>
                <w:szCs w:val="19"/>
                <w:color w:val="auto"/>
                <w:vertAlign w:val="superscript"/>
              </w:rPr>
              <w:t>(4)</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MH: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379</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400" w:type="dxa"/>
            <w:vAlign w:val="bottom"/>
          </w:tcPr>
          <w:p>
            <w:pPr>
              <w:ind w:left="20"/>
              <w:spacing w:after="0"/>
              <w:rPr>
                <w:sz w:val="20"/>
                <w:szCs w:val="20"/>
                <w:color w:val="auto"/>
              </w:rPr>
            </w:pPr>
            <w:r>
              <w:rPr>
                <w:rFonts w:ascii="Arial" w:cs="Arial" w:eastAsia="Arial" w:hAnsi="Arial"/>
                <w:sz w:val="15"/>
                <w:szCs w:val="15"/>
                <w:color w:val="auto"/>
              </w:rPr>
              <w:t>June</w:t>
            </w:r>
          </w:p>
        </w:tc>
      </w:tr>
      <w:tr>
        <w:trPr>
          <w:trHeight w:val="203"/>
        </w:trPr>
        <w:tc>
          <w:tcPr>
            <w:tcW w:w="314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Park Leisure</w:t>
            </w:r>
            <w:r>
              <w:rPr>
                <w:rFonts w:ascii="Arial" w:cs="Arial" w:eastAsia="Arial" w:hAnsi="Arial"/>
                <w:sz w:val="19"/>
                <w:szCs w:val="19"/>
                <w:color w:val="auto"/>
                <w:vertAlign w:val="superscript"/>
              </w:rPr>
              <w:t>(5)</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business combination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2,914</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UK</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w:t>
            </w:r>
          </w:p>
        </w:tc>
      </w:tr>
      <w:tr>
        <w:trPr>
          <w:trHeight w:val="199"/>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Montauk Yacht Club</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Marina: business combination</w:t>
            </w:r>
          </w:p>
        </w:tc>
        <w:tc>
          <w:tcPr>
            <w:tcW w:w="1640" w:type="dxa"/>
            <w:vAlign w:val="bottom"/>
          </w:tcPr>
          <w:p>
            <w:pPr>
              <w:jc w:val="right"/>
              <w:spacing w:after="0"/>
              <w:rPr>
                <w:sz w:val="20"/>
                <w:szCs w:val="20"/>
                <w:color w:val="auto"/>
              </w:rPr>
            </w:pPr>
            <w:r>
              <w:rPr>
                <w:rFonts w:ascii="Arial" w:cs="Arial" w:eastAsia="Arial" w:hAnsi="Arial"/>
                <w:sz w:val="15"/>
                <w:szCs w:val="15"/>
                <w:color w:val="auto"/>
              </w:rPr>
              <w:t>232</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NY</w:t>
            </w:r>
          </w:p>
        </w:tc>
        <w:tc>
          <w:tcPr>
            <w:tcW w:w="1400" w:type="dxa"/>
            <w:vAlign w:val="bottom"/>
          </w:tcPr>
          <w:p>
            <w:pPr>
              <w:ind w:left="20"/>
              <w:spacing w:after="0"/>
              <w:rPr>
                <w:sz w:val="20"/>
                <w:szCs w:val="20"/>
                <w:color w:val="auto"/>
              </w:rPr>
            </w:pPr>
            <w:r>
              <w:rPr>
                <w:rFonts w:ascii="Arial" w:cs="Arial" w:eastAsia="Arial" w:hAnsi="Arial"/>
                <w:sz w:val="15"/>
                <w:szCs w:val="15"/>
                <w:color w:val="auto"/>
              </w:rPr>
              <w:t>July</w:t>
            </w:r>
          </w:p>
        </w:tc>
      </w:tr>
      <w:tr>
        <w:trPr>
          <w:trHeight w:val="206"/>
        </w:trPr>
        <w:tc>
          <w:tcPr>
            <w:tcW w:w="31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Callaly Leisure</w:t>
            </w:r>
            <w:r>
              <w:rPr>
                <w:rFonts w:ascii="Arial" w:cs="Arial" w:eastAsia="Arial" w:hAnsi="Arial"/>
                <w:sz w:val="19"/>
                <w:szCs w:val="19"/>
                <w:color w:val="auto"/>
                <w:vertAlign w:val="superscript"/>
              </w:rPr>
              <w:t>(6)</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823</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UK</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r>
      <w:tr>
        <w:trPr>
          <w:trHeight w:val="199"/>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Newhaven</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MH: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224</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UK</w:t>
            </w:r>
          </w:p>
        </w:tc>
        <w:tc>
          <w:tcPr>
            <w:tcW w:w="1400" w:type="dxa"/>
            <w:vAlign w:val="bottom"/>
          </w:tcPr>
          <w:p>
            <w:pPr>
              <w:ind w:left="20"/>
              <w:spacing w:after="0"/>
              <w:rPr>
                <w:sz w:val="20"/>
                <w:szCs w:val="20"/>
                <w:color w:val="auto"/>
              </w:rPr>
            </w:pPr>
            <w:r>
              <w:rPr>
                <w:rFonts w:ascii="Arial" w:cs="Arial" w:eastAsia="Arial" w:hAnsi="Arial"/>
                <w:sz w:val="15"/>
                <w:szCs w:val="15"/>
                <w:color w:val="auto"/>
              </w:rPr>
              <w:t>October</w:t>
            </w:r>
          </w:p>
        </w:tc>
      </w:tr>
      <w:tr>
        <w:trPr>
          <w:trHeight w:val="20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Bayfront Marina</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November</w:t>
            </w:r>
          </w:p>
        </w:tc>
      </w:tr>
      <w:tr>
        <w:trPr>
          <w:trHeight w:val="199"/>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Marina Bay Yacht Harbor</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800</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400" w:type="dxa"/>
            <w:vAlign w:val="bottom"/>
          </w:tcPr>
          <w:p>
            <w:pPr>
              <w:ind w:left="20"/>
              <w:spacing w:after="0"/>
              <w:rPr>
                <w:sz w:val="20"/>
                <w:szCs w:val="20"/>
                <w:color w:val="auto"/>
              </w:rPr>
            </w:pPr>
            <w:r>
              <w:rPr>
                <w:rFonts w:ascii="Arial" w:cs="Arial" w:eastAsia="Arial" w:hAnsi="Arial"/>
                <w:sz w:val="15"/>
                <w:szCs w:val="15"/>
                <w:color w:val="auto"/>
              </w:rPr>
              <w:t>December</w:t>
            </w:r>
          </w:p>
        </w:tc>
      </w:tr>
      <w:tr>
        <w:trPr>
          <w:trHeight w:val="20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Jellystone Lincoln</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r>
      <w:tr>
        <w:trPr>
          <w:trHeight w:val="198"/>
        </w:trPr>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Norway Commons</w:t>
            </w:r>
          </w:p>
        </w:tc>
        <w:tc>
          <w:tcPr>
            <w:tcW w:w="20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MH: asset acquisition</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ME</w:t>
            </w:r>
          </w:p>
        </w:tc>
        <w:tc>
          <w:tcPr>
            <w:tcW w:w="1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December</w:t>
            </w:r>
          </w:p>
        </w:tc>
      </w:tr>
      <w:tr>
        <w:trPr>
          <w:trHeight w:val="225"/>
        </w:trPr>
        <w:tc>
          <w:tcPr>
            <w:tcW w:w="3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24,347</w:t>
            </w:r>
          </w:p>
        </w:tc>
        <w:tc>
          <w:tcPr>
            <w:tcW w:w="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2,655</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88"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Property names are subject to changes subsequent to acquisition.</w:t>
      </w:r>
    </w:p>
    <w:p>
      <w:pPr>
        <w:spacing w:after="0" w:line="57" w:lineRule="exact"/>
        <w:rPr>
          <w:rFonts w:ascii="Arial" w:cs="Arial" w:eastAsia="Arial" w:hAnsi="Arial"/>
          <w:sz w:val="16"/>
          <w:szCs w:val="16"/>
          <w:color w:val="auto"/>
          <w:vertAlign w:val="superscript"/>
        </w:rPr>
      </w:pPr>
    </w:p>
    <w:p>
      <w:pPr>
        <w:ind w:left="160" w:hanging="152"/>
        <w:spacing w:after="0" w:line="199" w:lineRule="auto"/>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Combined with an existing property.</w:t>
      </w:r>
    </w:p>
    <w:p>
      <w:pPr>
        <w:spacing w:after="0" w:line="57"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Includes 40 owned and two managed properties.</w:t>
      </w:r>
    </w:p>
    <w:p>
      <w:pPr>
        <w:spacing w:after="0" w:line="4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4"/>
        </w:numPr>
        <w:rPr>
          <w:rFonts w:ascii="Arial" w:cs="Arial" w:eastAsia="Arial" w:hAnsi="Arial"/>
          <w:sz w:val="9"/>
          <w:szCs w:val="9"/>
          <w:color w:val="auto"/>
        </w:rPr>
      </w:pPr>
      <w:r>
        <w:rPr>
          <w:rFonts w:ascii="Arial" w:cs="Arial" w:eastAsia="Arial" w:hAnsi="Arial"/>
          <w:sz w:val="14"/>
          <w:szCs w:val="14"/>
          <w:color w:val="auto"/>
        </w:rPr>
        <w:t>Includes two properties.</w:t>
      </w:r>
    </w:p>
    <w:p>
      <w:pPr>
        <w:spacing w:after="0" w:line="31" w:lineRule="exact"/>
        <w:rPr>
          <w:rFonts w:ascii="Arial" w:cs="Arial" w:eastAsia="Arial" w:hAnsi="Arial"/>
          <w:sz w:val="9"/>
          <w:szCs w:val="9"/>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Includes 11 properties.</w:t>
      </w:r>
    </w:p>
    <w:p>
      <w:pPr>
        <w:spacing w:after="0" w:line="57"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Includes one development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in 2022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w w:val="95"/>
              </w:rPr>
              <w:t>At Acquisition Date</w:t>
            </w: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1"/>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6" w:lineRule="exact"/>
              <w:rPr>
                <w:sz w:val="20"/>
                <w:szCs w:val="20"/>
                <w:color w:val="auto"/>
              </w:rPr>
            </w:pPr>
            <w:r>
              <w:rPr>
                <w:rFonts w:ascii="Arial" w:cs="Arial" w:eastAsia="Arial" w:hAnsi="Arial"/>
                <w:sz w:val="15"/>
                <w:szCs w:val="15"/>
                <w:color w:val="auto"/>
                <w:w w:val="96"/>
              </w:rPr>
              <w:t>Inventory of</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Arial" w:cs="Arial" w:eastAsia="Arial" w:hAnsi="Arial"/>
                <w:sz w:val="15"/>
                <w:szCs w:val="15"/>
                <w:color w:val="auto"/>
                <w:w w:val="91"/>
              </w:rPr>
              <w:t>manufactured</w:t>
            </w: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62" w:lineRule="exact"/>
              <w:rPr>
                <w:sz w:val="20"/>
                <w:szCs w:val="20"/>
                <w:color w:val="auto"/>
              </w:rPr>
            </w:pPr>
            <w:r>
              <w:rPr>
                <w:rFonts w:ascii="Arial" w:cs="Arial" w:eastAsia="Arial" w:hAnsi="Arial"/>
                <w:sz w:val="15"/>
                <w:szCs w:val="15"/>
                <w:color w:val="auto"/>
                <w:w w:val="91"/>
              </w:rPr>
              <w:t>In-place leases,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center"/>
              <w:ind w:right="200"/>
              <w:spacing w:after="0" w:line="162" w:lineRule="exact"/>
              <w:rPr>
                <w:sz w:val="20"/>
                <w:szCs w:val="20"/>
                <w:color w:val="auto"/>
              </w:rPr>
            </w:pPr>
            <w:r>
              <w:rPr>
                <w:rFonts w:ascii="Arial" w:cs="Arial" w:eastAsia="Arial" w:hAnsi="Arial"/>
                <w:sz w:val="15"/>
                <w:szCs w:val="15"/>
                <w:b w:val="1"/>
                <w:bCs w:val="1"/>
                <w:color w:val="auto"/>
                <w:w w:val="93"/>
              </w:rPr>
              <w:t>Total identifiable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line="162" w:lineRule="exact"/>
              <w:rPr>
                <w:sz w:val="20"/>
                <w:szCs w:val="20"/>
                <w:color w:val="auto"/>
              </w:rPr>
            </w:pPr>
            <w:r>
              <w:rPr>
                <w:rFonts w:ascii="Arial" w:cs="Arial" w:eastAsia="Arial" w:hAnsi="Arial"/>
                <w:sz w:val="15"/>
                <w:szCs w:val="15"/>
                <w:color w:val="auto"/>
                <w:w w:val="90"/>
              </w:rPr>
              <w:t>Temporary</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89"/>
              </w:rPr>
              <w:t>homes, boat parts</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5"/>
                <w:szCs w:val="15"/>
                <w:color w:val="auto"/>
                <w:w w:val="95"/>
              </w:rPr>
              <w:t>goodwill and</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center"/>
              <w:ind w:right="180"/>
              <w:spacing w:after="0" w:line="149" w:lineRule="exact"/>
              <w:rPr>
                <w:sz w:val="20"/>
                <w:szCs w:val="20"/>
                <w:color w:val="auto"/>
              </w:rPr>
            </w:pPr>
            <w:r>
              <w:rPr>
                <w:rFonts w:ascii="Arial" w:cs="Arial" w:eastAsia="Arial" w:hAnsi="Arial"/>
                <w:sz w:val="15"/>
                <w:szCs w:val="15"/>
                <w:b w:val="1"/>
                <w:bCs w:val="1"/>
                <w:color w:val="auto"/>
                <w:w w:val="87"/>
              </w:rPr>
              <w:t>assets acquired net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87"/>
              </w:rPr>
              <w:t>and</w:t>
            </w:r>
          </w:p>
        </w:tc>
        <w:tc>
          <w:tcPr>
            <w:tcW w:w="100" w:type="dxa"/>
            <w:vAlign w:val="bottom"/>
          </w:tcPr>
          <w:p>
            <w:pPr>
              <w:spacing w:after="0"/>
              <w:rPr>
                <w:sz w:val="12"/>
                <w:szCs w:val="12"/>
                <w:color w:val="auto"/>
              </w:rPr>
            </w:pPr>
          </w:p>
        </w:tc>
        <w:tc>
          <w:tcPr>
            <w:tcW w:w="104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020" w:type="dxa"/>
            <w:vAlign w:val="bottom"/>
            <w:gridSpan w:val="3"/>
          </w:tcPr>
          <w:p>
            <w:pPr>
              <w:jc w:val="center"/>
              <w:ind w:right="80"/>
              <w:spacing w:after="0" w:line="162" w:lineRule="exact"/>
              <w:rPr>
                <w:sz w:val="20"/>
                <w:szCs w:val="20"/>
                <w:color w:val="auto"/>
              </w:rPr>
            </w:pPr>
            <w:r>
              <w:rPr>
                <w:rFonts w:ascii="Arial" w:cs="Arial" w:eastAsia="Arial" w:hAnsi="Arial"/>
                <w:sz w:val="15"/>
                <w:szCs w:val="15"/>
                <w:color w:val="auto"/>
                <w:w w:val="91"/>
              </w:rPr>
              <w:t>Investment in</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Arial" w:cs="Arial" w:eastAsia="Arial" w:hAnsi="Arial"/>
                <w:sz w:val="15"/>
                <w:szCs w:val="15"/>
                <w:color w:val="auto"/>
                <w:w w:val="90"/>
              </w:rPr>
              <w:t>and retail</w:t>
            </w: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62" w:lineRule="exact"/>
              <w:rPr>
                <w:sz w:val="20"/>
                <w:szCs w:val="20"/>
                <w:color w:val="auto"/>
              </w:rPr>
            </w:pPr>
            <w:r>
              <w:rPr>
                <w:rFonts w:ascii="Arial" w:cs="Arial" w:eastAsia="Arial" w:hAnsi="Arial"/>
                <w:sz w:val="15"/>
                <w:szCs w:val="15"/>
                <w:color w:val="auto"/>
                <w:w w:val="93"/>
              </w:rPr>
              <w:t>other intangible</w:t>
            </w:r>
          </w:p>
        </w:tc>
        <w:tc>
          <w:tcPr>
            <w:tcW w:w="12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Arial" w:cs="Arial" w:eastAsia="Arial" w:hAnsi="Arial"/>
                <w:sz w:val="15"/>
                <w:szCs w:val="15"/>
                <w:color w:val="auto"/>
                <w:w w:val="87"/>
              </w:rPr>
              <w:t>Other assets /</w:t>
            </w:r>
          </w:p>
        </w:tc>
        <w:tc>
          <w:tcPr>
            <w:tcW w:w="180" w:type="dxa"/>
            <w:vAlign w:val="bottom"/>
          </w:tcPr>
          <w:p>
            <w:pPr>
              <w:spacing w:after="0"/>
              <w:rPr>
                <w:sz w:val="14"/>
                <w:szCs w:val="14"/>
                <w:color w:val="auto"/>
              </w:rPr>
            </w:pPr>
          </w:p>
        </w:tc>
        <w:tc>
          <w:tcPr>
            <w:tcW w:w="130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w w:val="92"/>
              </w:rPr>
              <w:t>of liabilities</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line="162" w:lineRule="exact"/>
              <w:rPr>
                <w:sz w:val="20"/>
                <w:szCs w:val="20"/>
                <w:color w:val="auto"/>
              </w:rPr>
            </w:pPr>
            <w:r>
              <w:rPr>
                <w:rFonts w:ascii="Arial" w:cs="Arial" w:eastAsia="Arial" w:hAnsi="Arial"/>
                <w:sz w:val="15"/>
                <w:szCs w:val="15"/>
                <w:color w:val="auto"/>
                <w:w w:val="87"/>
              </w:rPr>
              <w:t>Cash and</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89"/>
              </w:rPr>
              <w:t>permanent</w:t>
            </w: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5"/>
                <w:szCs w:val="15"/>
                <w:color w:val="auto"/>
                <w:w w:val="94"/>
              </w:rPr>
              <w:t>property</w:t>
            </w:r>
          </w:p>
        </w:tc>
        <w:tc>
          <w:tcPr>
            <w:tcW w:w="10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5"/>
                <w:szCs w:val="15"/>
                <w:color w:val="auto"/>
                <w:w w:val="90"/>
              </w:rPr>
              <w:t>related items</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line="203" w:lineRule="exact"/>
              <w:rPr>
                <w:sz w:val="20"/>
                <w:szCs w:val="20"/>
                <w:color w:val="auto"/>
              </w:rPr>
            </w:pPr>
            <w:r>
              <w:rPr>
                <w:rFonts w:ascii="Arial" w:cs="Arial" w:eastAsia="Arial" w:hAnsi="Arial"/>
                <w:sz w:val="15"/>
                <w:szCs w:val="15"/>
                <w:color w:val="auto"/>
                <w:w w:val="81"/>
              </w:rPr>
              <w:t>assets</w:t>
            </w:r>
            <w:r>
              <w:rPr>
                <w:rFonts w:ascii="Arial" w:cs="Arial" w:eastAsia="Arial" w:hAnsi="Arial"/>
                <w:sz w:val="19"/>
                <w:szCs w:val="19"/>
                <w:color w:val="auto"/>
                <w:w w:val="81"/>
                <w:vertAlign w:val="superscript"/>
              </w:rPr>
              <w:t>(1)</w:t>
            </w: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color w:val="auto"/>
                <w:w w:val="98"/>
              </w:rPr>
              <w:t>(liabilities), net</w:t>
            </w:r>
          </w:p>
        </w:tc>
        <w:tc>
          <w:tcPr>
            <w:tcW w:w="1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6"/>
              </w:rPr>
              <w:t>assumed</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5"/>
                <w:szCs w:val="15"/>
                <w:color w:val="auto"/>
                <w:w w:val="92"/>
              </w:rPr>
              <w:t>escrow</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5"/>
                <w:szCs w:val="15"/>
                <w:color w:val="auto"/>
                <w:w w:val="94"/>
              </w:rPr>
              <w:t>equity</w:t>
            </w:r>
          </w:p>
        </w:tc>
        <w:tc>
          <w:tcPr>
            <w:tcW w:w="10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b w:val="1"/>
                <w:bCs w:val="1"/>
                <w:color w:val="auto"/>
                <w:w w:val="89"/>
              </w:rPr>
              <w:t>consideration</w:t>
            </w:r>
          </w:p>
        </w:tc>
        <w:tc>
          <w:tcPr>
            <w:tcW w:w="0" w:type="dxa"/>
            <w:vAlign w:val="bottom"/>
          </w:tcPr>
          <w:p>
            <w:pPr>
              <w:spacing w:after="0"/>
              <w:rPr>
                <w:sz w:val="1"/>
                <w:szCs w:val="1"/>
                <w:color w:val="auto"/>
              </w:rPr>
            </w:pPr>
          </w:p>
        </w:tc>
      </w:tr>
      <w:tr>
        <w:trPr>
          <w:trHeight w:val="183"/>
        </w:trPr>
        <w:tc>
          <w:tcPr>
            <w:tcW w:w="1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 Acquisition</w:t>
            </w: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line="203" w:lineRule="exact"/>
              <w:rPr>
                <w:sz w:val="20"/>
                <w:szCs w:val="20"/>
                <w:color w:val="auto"/>
              </w:rPr>
            </w:pPr>
            <w:r>
              <w:rPr>
                <w:rFonts w:ascii="Arial" w:cs="Arial" w:eastAsia="Arial" w:hAnsi="Arial"/>
                <w:sz w:val="15"/>
                <w:szCs w:val="15"/>
                <w:color w:val="auto"/>
              </w:rPr>
              <w:t>Harrison Yacht Yard</w:t>
            </w:r>
            <w:r>
              <w:rPr>
                <w:rFonts w:ascii="Arial" w:cs="Arial" w:eastAsia="Arial" w:hAnsi="Arial"/>
                <w:sz w:val="19"/>
                <w:szCs w:val="19"/>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Outer Banks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98"/>
        </w:trPr>
        <w:tc>
          <w:tcPr>
            <w:tcW w:w="1720" w:type="dxa"/>
            <w:vAlign w:val="bottom"/>
          </w:tcPr>
          <w:p>
            <w:pPr>
              <w:ind w:left="20"/>
              <w:spacing w:after="0"/>
              <w:rPr>
                <w:sz w:val="20"/>
                <w:szCs w:val="20"/>
                <w:color w:val="auto"/>
              </w:rPr>
            </w:pPr>
            <w:r>
              <w:rPr>
                <w:rFonts w:ascii="Arial" w:cs="Arial" w:eastAsia="Arial" w:hAnsi="Arial"/>
                <w:sz w:val="15"/>
                <w:szCs w:val="15"/>
                <w:color w:val="auto"/>
              </w:rPr>
              <w:t>Tower Marine</w:t>
            </w:r>
          </w:p>
        </w:tc>
        <w:tc>
          <w:tcPr>
            <w:tcW w:w="16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Sandy Bay</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191.1</w:t>
            </w: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line="203" w:lineRule="exact"/>
              <w:rPr>
                <w:sz w:val="20"/>
                <w:szCs w:val="20"/>
                <w:color w:val="auto"/>
              </w:rPr>
            </w:pPr>
            <w:r>
              <w:rPr>
                <w:rFonts w:ascii="Arial" w:cs="Arial" w:eastAsia="Arial" w:hAnsi="Arial"/>
                <w:sz w:val="15"/>
                <w:szCs w:val="15"/>
                <w:color w:val="auto"/>
              </w:rPr>
              <w:t>Christies Parks</w:t>
            </w:r>
            <w:r>
              <w:rPr>
                <w:rFonts w:ascii="Arial" w:cs="Arial" w:eastAsia="Arial" w:hAnsi="Arial"/>
                <w:sz w:val="19"/>
                <w:szCs w:val="19"/>
                <w:color w:val="auto"/>
                <w:vertAlign w:val="superscript"/>
              </w:rPr>
              <w:t>(4)</w:t>
            </w:r>
          </w:p>
        </w:tc>
        <w:tc>
          <w:tcPr>
            <w:tcW w:w="16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Bluewater</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198"/>
        </w:trPr>
        <w:tc>
          <w:tcPr>
            <w:tcW w:w="1720" w:type="dxa"/>
            <w:vAlign w:val="bottom"/>
          </w:tcPr>
          <w:p>
            <w:pPr>
              <w:ind w:left="20"/>
              <w:spacing w:after="0"/>
              <w:rPr>
                <w:sz w:val="20"/>
                <w:szCs w:val="20"/>
                <w:color w:val="auto"/>
              </w:rPr>
            </w:pPr>
            <w:r>
              <w:rPr>
                <w:rFonts w:ascii="Arial" w:cs="Arial" w:eastAsia="Arial" w:hAnsi="Arial"/>
                <w:sz w:val="15"/>
                <w:szCs w:val="15"/>
                <w:color w:val="auto"/>
              </w:rPr>
              <w:t>Bodmin Holiday Park</w:t>
            </w:r>
          </w:p>
        </w:tc>
        <w:tc>
          <w:tcPr>
            <w:tcW w:w="16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Kittery Point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98"/>
        </w:trPr>
        <w:tc>
          <w:tcPr>
            <w:tcW w:w="1720" w:type="dxa"/>
            <w:vAlign w:val="bottom"/>
          </w:tcPr>
          <w:p>
            <w:pPr>
              <w:ind w:left="20"/>
              <w:spacing w:after="0"/>
              <w:rPr>
                <w:sz w:val="20"/>
                <w:szCs w:val="20"/>
                <w:color w:val="auto"/>
              </w:rPr>
            </w:pPr>
            <w:r>
              <w:rPr>
                <w:rFonts w:ascii="Arial" w:cs="Arial" w:eastAsia="Arial" w:hAnsi="Arial"/>
                <w:sz w:val="15"/>
                <w:szCs w:val="15"/>
                <w:color w:val="auto"/>
              </w:rPr>
              <w:t>Spanish Trails MHC</w:t>
            </w:r>
          </w:p>
        </w:tc>
        <w:tc>
          <w:tcPr>
            <w:tcW w:w="16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Pine Acre Trails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w:t>
            </w:r>
          </w:p>
        </w:tc>
        <w:tc>
          <w:tcPr>
            <w:tcW w:w="0" w:type="dxa"/>
            <w:vAlign w:val="bottom"/>
          </w:tcPr>
          <w:p>
            <w:pPr>
              <w:spacing w:after="0"/>
              <w:rPr>
                <w:sz w:val="1"/>
                <w:szCs w:val="1"/>
                <w:color w:val="auto"/>
              </w:rPr>
            </w:pPr>
          </w:p>
        </w:tc>
      </w:tr>
      <w:tr>
        <w:trPr>
          <w:trHeight w:val="149"/>
        </w:trPr>
        <w:tc>
          <w:tcPr>
            <w:tcW w:w="1720" w:type="dxa"/>
            <w:vAlign w:val="bottom"/>
          </w:tcPr>
          <w:p>
            <w:pPr>
              <w:ind w:left="20"/>
              <w:spacing w:after="0" w:line="149" w:lineRule="exact"/>
              <w:rPr>
                <w:sz w:val="20"/>
                <w:szCs w:val="20"/>
                <w:color w:val="auto"/>
              </w:rPr>
            </w:pPr>
            <w:r>
              <w:rPr>
                <w:rFonts w:ascii="Arial" w:cs="Arial" w:eastAsia="Arial" w:hAnsi="Arial"/>
                <w:sz w:val="15"/>
                <w:szCs w:val="15"/>
                <w:color w:val="auto"/>
              </w:rPr>
              <w:t>Bel Air Estates &amp; Sunrise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20" w:type="dxa"/>
            <w:vAlign w:val="bottom"/>
          </w:tcPr>
          <w:p>
            <w:pPr>
              <w:ind w:left="20"/>
              <w:spacing w:after="0"/>
              <w:rPr>
                <w:sz w:val="20"/>
                <w:szCs w:val="20"/>
                <w:color w:val="auto"/>
              </w:rPr>
            </w:pPr>
            <w:r>
              <w:rPr>
                <w:rFonts w:ascii="Arial" w:cs="Arial" w:eastAsia="Arial" w:hAnsi="Arial"/>
                <w:sz w:val="15"/>
                <w:szCs w:val="15"/>
                <w:color w:val="auto"/>
              </w:rPr>
              <w:t>Estates</w:t>
            </w:r>
          </w:p>
        </w:tc>
        <w:tc>
          <w:tcPr>
            <w:tcW w:w="16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39.3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Callaly Leisure</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198"/>
        </w:trPr>
        <w:tc>
          <w:tcPr>
            <w:tcW w:w="1720" w:type="dxa"/>
            <w:vAlign w:val="bottom"/>
          </w:tcPr>
          <w:p>
            <w:pPr>
              <w:ind w:left="20"/>
              <w:spacing w:after="0"/>
              <w:rPr>
                <w:sz w:val="20"/>
                <w:szCs w:val="20"/>
                <w:color w:val="auto"/>
              </w:rPr>
            </w:pPr>
            <w:r>
              <w:rPr>
                <w:rFonts w:ascii="Arial" w:cs="Arial" w:eastAsia="Arial" w:hAnsi="Arial"/>
                <w:sz w:val="15"/>
                <w:szCs w:val="15"/>
                <w:color w:val="auto"/>
              </w:rPr>
              <w:t>Newhaven</w:t>
            </w:r>
          </w:p>
        </w:tc>
        <w:tc>
          <w:tcPr>
            <w:tcW w:w="16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Bayfront Marina</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198"/>
        </w:trPr>
        <w:tc>
          <w:tcPr>
            <w:tcW w:w="1720" w:type="dxa"/>
            <w:vAlign w:val="bottom"/>
          </w:tcPr>
          <w:p>
            <w:pPr>
              <w:ind w:left="20"/>
              <w:spacing w:after="0"/>
              <w:rPr>
                <w:sz w:val="20"/>
                <w:szCs w:val="20"/>
                <w:color w:val="auto"/>
              </w:rPr>
            </w:pPr>
            <w:r>
              <w:rPr>
                <w:rFonts w:ascii="Arial" w:cs="Arial" w:eastAsia="Arial" w:hAnsi="Arial"/>
                <w:sz w:val="15"/>
                <w:szCs w:val="15"/>
                <w:color w:val="auto"/>
                <w:w w:val="99"/>
              </w:rPr>
              <w:t>Marina Bay Yacht Harbor</w:t>
            </w:r>
          </w:p>
        </w:tc>
        <w:tc>
          <w:tcPr>
            <w:tcW w:w="16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ind w:left="20"/>
              <w:spacing w:after="0" w:line="206" w:lineRule="exact"/>
              <w:rPr>
                <w:sz w:val="20"/>
                <w:szCs w:val="20"/>
                <w:color w:val="auto"/>
              </w:rPr>
            </w:pPr>
            <w:r>
              <w:rPr>
                <w:rFonts w:ascii="Arial" w:cs="Arial" w:eastAsia="Arial" w:hAnsi="Arial"/>
                <w:sz w:val="15"/>
                <w:szCs w:val="15"/>
                <w:color w:val="auto"/>
              </w:rPr>
              <w:t>Jellystone Lincoln</w:t>
            </w:r>
            <w:r>
              <w:rPr>
                <w:rFonts w:ascii="Arial" w:cs="Arial" w:eastAsia="Arial" w:hAnsi="Arial"/>
                <w:sz w:val="19"/>
                <w:szCs w:val="19"/>
                <w:color w:val="auto"/>
                <w:vertAlign w:val="superscript"/>
              </w:rPr>
              <w:t>(5)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198"/>
        </w:trPr>
        <w:tc>
          <w:tcPr>
            <w:tcW w:w="1720" w:type="dxa"/>
            <w:vAlign w:val="bottom"/>
          </w:tcPr>
          <w:p>
            <w:pPr>
              <w:ind w:left="20"/>
              <w:spacing w:after="0"/>
              <w:rPr>
                <w:sz w:val="20"/>
                <w:szCs w:val="20"/>
                <w:color w:val="auto"/>
              </w:rPr>
            </w:pPr>
            <w:r>
              <w:rPr>
                <w:rFonts w:ascii="Arial" w:cs="Arial" w:eastAsia="Arial" w:hAnsi="Arial"/>
                <w:sz w:val="15"/>
                <w:szCs w:val="15"/>
                <w:color w:val="auto"/>
              </w:rPr>
              <w:t>Norway Commons</w:t>
            </w:r>
          </w:p>
        </w:tc>
        <w:tc>
          <w:tcPr>
            <w:tcW w:w="16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15.1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Business Combination</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line="203" w:lineRule="exact"/>
              <w:rPr>
                <w:sz w:val="20"/>
                <w:szCs w:val="20"/>
                <w:color w:val="auto"/>
              </w:rPr>
            </w:pPr>
            <w:r>
              <w:rPr>
                <w:rFonts w:ascii="Arial" w:cs="Arial" w:eastAsia="Arial" w:hAnsi="Arial"/>
                <w:sz w:val="15"/>
                <w:szCs w:val="15"/>
                <w:color w:val="auto"/>
              </w:rPr>
              <w:t>Jarrett Bay Boatworks</w:t>
            </w:r>
            <w:r>
              <w:rPr>
                <w:rFonts w:ascii="Arial" w:cs="Arial" w:eastAsia="Arial" w:hAnsi="Arial"/>
                <w:sz w:val="19"/>
                <w:szCs w:val="19"/>
                <w:color w:val="auto"/>
                <w:vertAlign w:val="superscript"/>
              </w:rPr>
              <w:t>(6)</w:t>
            </w:r>
          </w:p>
        </w:tc>
        <w:tc>
          <w:tcPr>
            <w:tcW w:w="16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71.2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71.2</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line="203" w:lineRule="exact"/>
              <w:rPr>
                <w:sz w:val="20"/>
                <w:szCs w:val="20"/>
                <w:color w:val="auto"/>
              </w:rPr>
            </w:pPr>
            <w:r>
              <w:rPr>
                <w:rFonts w:ascii="Arial" w:cs="Arial" w:eastAsia="Arial" w:hAnsi="Arial"/>
                <w:sz w:val="15"/>
                <w:szCs w:val="15"/>
                <w:color w:val="auto"/>
              </w:rPr>
              <w:t>Park Holidays</w:t>
            </w:r>
            <w:r>
              <w:rPr>
                <w:rFonts w:ascii="Arial" w:cs="Arial" w:eastAsia="Arial" w:hAnsi="Arial"/>
                <w:sz w:val="19"/>
                <w:szCs w:val="19"/>
                <w:color w:val="auto"/>
                <w:vertAlign w:val="superscript"/>
              </w:rPr>
              <w:t>(7)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1,254.7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(624.9)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1,233.8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1,233.8</w:t>
            </w:r>
          </w:p>
        </w:tc>
        <w:tc>
          <w:tcPr>
            <w:tcW w:w="0" w:type="dxa"/>
            <w:vAlign w:val="bottom"/>
          </w:tcPr>
          <w:p>
            <w:pPr>
              <w:spacing w:after="0"/>
              <w:rPr>
                <w:sz w:val="1"/>
                <w:szCs w:val="1"/>
                <w:color w:val="auto"/>
              </w:rPr>
            </w:pPr>
          </w:p>
        </w:tc>
      </w:tr>
      <w:tr>
        <w:trPr>
          <w:trHeight w:val="198"/>
        </w:trPr>
        <w:tc>
          <w:tcPr>
            <w:tcW w:w="1720" w:type="dxa"/>
            <w:vAlign w:val="bottom"/>
          </w:tcPr>
          <w:p>
            <w:pPr>
              <w:ind w:left="20"/>
              <w:spacing w:after="0"/>
              <w:rPr>
                <w:sz w:val="20"/>
                <w:szCs w:val="20"/>
                <w:color w:val="auto"/>
              </w:rPr>
            </w:pPr>
            <w:r>
              <w:rPr>
                <w:rFonts w:ascii="Arial" w:cs="Arial" w:eastAsia="Arial" w:hAnsi="Arial"/>
                <w:sz w:val="15"/>
                <w:szCs w:val="15"/>
                <w:color w:val="auto"/>
              </w:rPr>
              <w:t>Park Leisure</w:t>
            </w:r>
          </w:p>
        </w:tc>
        <w:tc>
          <w:tcPr>
            <w:tcW w:w="16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259.5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225.8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225.8</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Montauk Yacht Club</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190.5</w:t>
            </w:r>
          </w:p>
        </w:tc>
        <w:tc>
          <w:tcPr>
            <w:tcW w:w="0" w:type="dxa"/>
            <w:vAlign w:val="bottom"/>
          </w:tcPr>
          <w:p>
            <w:pPr>
              <w:spacing w:after="0"/>
              <w:rPr>
                <w:sz w:val="1"/>
                <w:szCs w:val="1"/>
                <w:color w:val="auto"/>
              </w:rPr>
            </w:pPr>
          </w:p>
        </w:tc>
      </w:tr>
      <w:tr>
        <w:trPr>
          <w:trHeight w:val="200"/>
        </w:trPr>
        <w:tc>
          <w:tcPr>
            <w:tcW w:w="172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2,213.9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44.3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729.2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(801.5)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2,185.9</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2,148.2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37.7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2,185.9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Refer to Note 5, "Goodwill and Other Intangible Assets," for additional detail on goodwill and other intangible assets.</w:t>
      </w:r>
    </w:p>
    <w:p>
      <w:pPr>
        <w:spacing w:after="0" w:line="57"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Refer to Note 9, "Equity and Temporary Equity," for additional detail.</w:t>
      </w:r>
    </w:p>
    <w:p>
      <w:pPr>
        <w:spacing w:after="0" w:line="57"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Property names are subject to changes subsequent to acquisition.</w:t>
      </w:r>
    </w:p>
    <w:p>
      <w:pPr>
        <w:spacing w:after="0" w:line="4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Combined with an existing property.</w:t>
      </w:r>
    </w:p>
    <w:p>
      <w:pPr>
        <w:spacing w:after="0" w:line="56" w:lineRule="exact"/>
        <w:rPr>
          <w:rFonts w:ascii="Arial" w:cs="Arial" w:eastAsia="Arial" w:hAnsi="Arial"/>
          <w:sz w:val="9"/>
          <w:szCs w:val="9"/>
          <w:color w:val="auto"/>
        </w:rPr>
      </w:pPr>
    </w:p>
    <w:p>
      <w:pPr>
        <w:jc w:val="both"/>
        <w:ind w:left="180" w:hanging="172"/>
        <w:spacing w:after="0" w:line="268" w:lineRule="auto"/>
        <w:tabs>
          <w:tab w:leader="none" w:pos="15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In December 2020, we entered into a loan agreement pursuant to which we extended credit to Blue Water to finance the construction of Jellystone Lincoln (the "RV Park"). In December 2022, we entered into a purchase and sale agreement pursuant to which we purchased the RV Park for cash consideration of $5.0 million, which was applied toward the existing Blue Water loan balance of $12.9 million, and the remaining loan balance of $7.9 million was forgiven. Upon acquisition of the RV Park, we agreed to loan Blue Water an amount equal to $3.7 million, accounted as consideration based on the loan forgiveness terms. Additional consideration for vacation rental units of $0.4 million, resulted in a total purchase price of $17.0 million. In addition, we entered into a lease agreement pursuant to which Blue Water will pay rent to us and continue to operate the park.</w:t>
      </w:r>
    </w:p>
    <w:p>
      <w:pPr>
        <w:spacing w:after="0" w:line="31" w:lineRule="exact"/>
        <w:rPr>
          <w:rFonts w:ascii="Arial" w:cs="Arial" w:eastAsia="Arial" w:hAnsi="Arial"/>
          <w:sz w:val="17"/>
          <w:szCs w:val="17"/>
          <w:color w:val="auto"/>
          <w:vertAlign w:val="superscript"/>
        </w:rPr>
      </w:pPr>
    </w:p>
    <w:p>
      <w:pPr>
        <w:ind w:left="180" w:right="20" w:hanging="172"/>
        <w:spacing w:after="0" w:line="260" w:lineRule="auto"/>
        <w:tabs>
          <w:tab w:leader="none" w:pos="15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The balance includes the marina acquired in February and the yacht sales business acquired in April of which $0.1 million was recorded in Investment property, $17.6 million in Goodwill and other intangible assets, and $0.4 million in Other assets / (liabilities), net.</w:t>
      </w:r>
    </w:p>
    <w:p>
      <w:pPr>
        <w:spacing w:after="0" w:line="31" w:lineRule="exact"/>
        <w:rPr>
          <w:rFonts w:ascii="Arial" w:cs="Arial" w:eastAsia="Arial" w:hAnsi="Arial"/>
          <w:sz w:val="17"/>
          <w:szCs w:val="17"/>
          <w:color w:val="auto"/>
          <w:vertAlign w:val="superscript"/>
        </w:rPr>
      </w:pPr>
    </w:p>
    <w:p>
      <w:pPr>
        <w:ind w:left="180" w:hanging="172"/>
        <w:spacing w:after="0" w:line="260" w:lineRule="auto"/>
        <w:tabs>
          <w:tab w:leader="none" w:pos="15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Includes acquired intangible assets subject to amortization of $70.2 million with a weighted average amortization period of 14.6 years, consisting of trademarks and trade names, customer relationships and other intangible assets.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we incurred $19.2 million of transaction costs, which were capitalized and allocated among the various fixed asset categories for purchases that meet the asset acquisition criteria. As of December 31, 2022, we also incurred $24.7 million of business combination expenses, which were expensed for acquisitions deemed to be 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revenues and Net income included in the Consolidated Statements of Operations for the year ended December 31, 2022 related to business combinations completed in 2022 are set forth in the following table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Year Ended</w:t>
            </w:r>
          </w:p>
        </w:tc>
      </w:tr>
      <w:tr>
        <w:trPr>
          <w:trHeight w:val="198"/>
        </w:trPr>
        <w:tc>
          <w:tcPr>
            <w:tcW w:w="94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96"/>
              </w:rPr>
              <w:t>December 31, 2022</w:t>
            </w:r>
          </w:p>
        </w:tc>
      </w:tr>
      <w:tr>
        <w:trPr>
          <w:trHeight w:val="198"/>
        </w:trPr>
        <w:tc>
          <w:tcPr>
            <w:tcW w:w="9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353.6</w:t>
            </w:r>
          </w:p>
        </w:tc>
      </w:tr>
      <w:tr>
        <w:trPr>
          <w:trHeight w:val="194"/>
        </w:trPr>
        <w:tc>
          <w:tcPr>
            <w:tcW w:w="94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13.8</w:t>
            </w:r>
          </w:p>
        </w:tc>
      </w:tr>
    </w:tbl>
    <w:p>
      <w:pPr>
        <w:spacing w:after="0" w:line="3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unaudited pro forma financial information presents the results of our operations for the year ended December 31, 2022, as if the properties combined through business combinations in 2022 had been acquired on January 1, 2021. The unaudited pro forma results reflect certain adjustments for items that are not expected to have a continuing impact, such as adjustments for transaction costs incurred, management fees and acquisition accounting.</w:t>
      </w:r>
    </w:p>
    <w:p>
      <w:pPr>
        <w:spacing w:after="0" w:line="1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information presented below has been prepared for comparative purposes only and does not purport to be indicative of either future results of operations or the results of operations that would have actually occurred had the acquisitions been consummated on January 1, 2021 (in millions, except for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2"/>
              </w:rPr>
              <w:t>Year Ended (unaudited)</w:t>
            </w:r>
          </w:p>
        </w:tc>
      </w:tr>
      <w:tr>
        <w:trPr>
          <w:trHeight w:val="198"/>
        </w:trPr>
        <w:tc>
          <w:tcPr>
            <w:tcW w:w="94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December 31, 2022</w:t>
            </w:r>
          </w:p>
        </w:tc>
      </w:tr>
      <w:tr>
        <w:trPr>
          <w:trHeight w:val="198"/>
        </w:trPr>
        <w:tc>
          <w:tcPr>
            <w:tcW w:w="9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3,091.3</w:t>
            </w:r>
          </w:p>
        </w:tc>
      </w:tr>
      <w:tr>
        <w:trPr>
          <w:trHeight w:val="198"/>
        </w:trPr>
        <w:tc>
          <w:tcPr>
            <w:tcW w:w="9440" w:type="dxa"/>
            <w:vAlign w:val="bottom"/>
          </w:tcPr>
          <w:p>
            <w:pPr>
              <w:ind w:left="20"/>
              <w:spacing w:after="0"/>
              <w:rPr>
                <w:sz w:val="20"/>
                <w:szCs w:val="20"/>
                <w:color w:val="auto"/>
              </w:rPr>
            </w:pPr>
            <w:r>
              <w:rPr>
                <w:rFonts w:ascii="Arial" w:cs="Arial" w:eastAsia="Arial" w:hAnsi="Arial"/>
                <w:sz w:val="15"/>
                <w:szCs w:val="15"/>
                <w:color w:val="auto"/>
              </w:rPr>
              <w:t>Net income attributable to SUI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241.2</w:t>
            </w:r>
          </w:p>
        </w:tc>
      </w:tr>
      <w:tr>
        <w:trPr>
          <w:trHeight w:val="207"/>
        </w:trPr>
        <w:tc>
          <w:tcPr>
            <w:tcW w:w="9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per share attributable to SUI common shareholders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r>
      <w:tr>
        <w:trPr>
          <w:trHeight w:val="194"/>
        </w:trPr>
        <w:tc>
          <w:tcPr>
            <w:tcW w:w="9440" w:type="dxa"/>
            <w:vAlign w:val="bottom"/>
          </w:tcPr>
          <w:p>
            <w:pPr>
              <w:ind w:left="20"/>
              <w:spacing w:after="0"/>
              <w:rPr>
                <w:sz w:val="20"/>
                <w:szCs w:val="20"/>
                <w:color w:val="auto"/>
              </w:rPr>
            </w:pPr>
            <w:r>
              <w:rPr>
                <w:rFonts w:ascii="Arial" w:cs="Arial" w:eastAsia="Arial" w:hAnsi="Arial"/>
                <w:sz w:val="15"/>
                <w:szCs w:val="15"/>
                <w:color w:val="auto"/>
              </w:rPr>
              <w:t>Net income per share attributable to SUI common shareholders -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1.99</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Development and Expansion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2022, we acquired six land parcels located in the U.S. and the UK for an aggregate purchase price of $26.2 million and two buildings and land parcels related to our marinas located in the U.S. for an aggregate purchase price of $13.9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Dispositions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September 30, 2022, we sold an RV community containing 514 sites located in California for $15.0 million. The disposition resulted in a loss on sale of $0.8 million, inclusive of selling costs.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2022, we sold two MH communities and one community containing MH and RV sites, each located in Florida, with a total of 323 sites for $29.5 million. The gain from the sale of the properties was $13.3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Notes and Other Receivables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notes and other receivables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2023</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2022</w:t>
            </w:r>
          </w:p>
        </w:tc>
      </w:tr>
      <w:tr>
        <w:trPr>
          <w:trHeight w:val="200"/>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Installment notes receivable on manufactured homes, net</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56.0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65.9</w:t>
            </w:r>
          </w:p>
        </w:tc>
      </w:tr>
      <w:tr>
        <w:trPr>
          <w:trHeight w:val="198"/>
        </w:trPr>
        <w:tc>
          <w:tcPr>
            <w:tcW w:w="7320" w:type="dxa"/>
            <w:vAlign w:val="bottom"/>
          </w:tcPr>
          <w:p>
            <w:pPr>
              <w:ind w:left="20"/>
              <w:spacing w:after="0"/>
              <w:rPr>
                <w:sz w:val="20"/>
                <w:szCs w:val="20"/>
                <w:color w:val="auto"/>
              </w:rPr>
            </w:pPr>
            <w:r>
              <w:rPr>
                <w:rFonts w:ascii="Arial" w:cs="Arial" w:eastAsia="Arial" w:hAnsi="Arial"/>
                <w:sz w:val="15"/>
                <w:szCs w:val="15"/>
                <w:color w:val="auto"/>
              </w:rPr>
              <w:t>Notes receivable from real estate developers and operators</w:t>
            </w:r>
          </w:p>
        </w:tc>
        <w:tc>
          <w:tcPr>
            <w:tcW w:w="18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Arial" w:cs="Arial" w:eastAsia="Arial" w:hAnsi="Arial"/>
                <w:sz w:val="15"/>
                <w:szCs w:val="15"/>
                <w:color w:val="auto"/>
              </w:rPr>
              <w:t>477.5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305.2</w:t>
            </w: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receivables, net</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298.7</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246.2</w:t>
            </w:r>
          </w:p>
        </w:tc>
      </w:tr>
      <w:tr>
        <w:trPr>
          <w:trHeight w:val="200"/>
        </w:trPr>
        <w:tc>
          <w:tcPr>
            <w:tcW w:w="7320" w:type="dxa"/>
            <w:vAlign w:val="bottom"/>
          </w:tcPr>
          <w:p>
            <w:pPr>
              <w:ind w:left="240"/>
              <w:spacing w:after="0"/>
              <w:rPr>
                <w:sz w:val="20"/>
                <w:szCs w:val="20"/>
                <w:color w:val="auto"/>
              </w:rPr>
            </w:pPr>
            <w:r>
              <w:rPr>
                <w:rFonts w:ascii="Arial" w:cs="Arial" w:eastAsia="Arial" w:hAnsi="Arial"/>
                <w:sz w:val="15"/>
                <w:szCs w:val="15"/>
                <w:b w:val="1"/>
                <w:bCs w:val="1"/>
                <w:color w:val="auto"/>
              </w:rPr>
              <w:t>Total Notes and Other Receivables, net</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832.2</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617.3</w:t>
            </w: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Installment notes receivable are measured at fair value, using indicative pricing models from third party valuation specialists, in accordance with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The balances of installment notes receivable of $56.0 million (gross installment notes receivable of $60.5 million less fair value adjustment of $4.5 million) and $65.9 million (gross installment notes receivable of $67.3 million less fair value adjustment of $1.4 million) as of September 30, 2023 and December 31, 2022, respectively, are secured by manufactured homes. The notes represent financing to purchasers of manufactured homes located in our communities and require monthly principal and interest payments. The notes had a net weighted average interest rate (net of servicing costs) and maturity of 7.5% and 13.1 years as of September 30, 2023, and 7.6% and 13.8 years as of December 31, 2022, respectively. Refer to Note 15, "Fair Value of Financial Instruments," for additional details.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 and Operators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Notes receivable from real estate developers and operators are measured at fair value, using indicative pricing models from third party valuation specialists, in accordance with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2023 and December 31, 2022, the notes receivable balances include a fully drawn loan provided to Royale Holdings Group HoldCo Limited, a real estate development owner and operator in the UK, and certain other parties, to fund investing and financing activities totaling $361.1 million and $217.6 million, respectively (the "Note"). At December 31, 2022, the Note had a net weighted average interest rate of 15.3% and maturity of 0.1 years. At September 30, 2023, the Note had a net weighted average interest rate of 12.4%. The Note matured on July 31, 2023, and remained due at September 30, 2023.</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2023, the Note was collateralized by a first-priority security interest in three real estate properties and three MH manufacturers in the UK. The real estate collateral consists of MH development properties that comprised a significant majority of the total appraised value of all collateral securing the Note at September 30, 2023. Since inception of the Note in December 2021, and on a periodic basis thereafter, we have engaged third party valuation specialists to appraise the collateral in order to assess the fair value of the Note.</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September 29, 2023, we appointed receivers over the real estate collateral and are assessing courses of action with respect to the other collateral. We expect the receivers to start to market the real estate collateral for sale during the fourth quarter of 2023. Upon completion of the marketing process, we may elect to credit bid certain amounts due under the Note for the real estate collateral. If that were to occur and no third-party bid is received that exceeds our credit bid, we may elect to receive the real estate collateral in satisfaction of related amounts due under the Note. If a third-party bid is received that exceeds our bid, we will receive the cash proceeds of that bid up to the outstanding loan amount including interest, fees and penalties, as applicable.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acquisition and construction loans provided to real estate developers total $116.4 million with a net weighted average interest rate and maturity of 9.2% and 2.6 years as of September 30, 2023, and total $87.6 million with a net weighted average interest rate and maturity of 7.8% and 2.3 years as of December 31, 2022. As of September 30, 2023, the additional acquisition and construction loans provided to real estate developers have $44.5 million of undrawn funds.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adjustments to the fair value of notes receivable from real estate developers and operators during the nine months ended September 30, 2023 and year ended December 31, 2022. Refer to Note 15, "Fair Value of Financial Instruments,"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Receivables,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receivables, net were comprised of amounts due from the following categories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2023</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2022</w:t>
            </w:r>
          </w:p>
        </w:tc>
      </w:tr>
      <w:tr>
        <w:trPr>
          <w:trHeight w:val="200"/>
        </w:trPr>
        <w:tc>
          <w:tcPr>
            <w:tcW w:w="7320" w:type="dxa"/>
            <w:vAlign w:val="bottom"/>
            <w:tcBorders>
              <w:top w:val="single" w:sz="8" w:color="CCEEFF"/>
            </w:tcBorders>
            <w:shd w:val="clear" w:color="auto" w:fill="CCEEFF"/>
          </w:tcPr>
          <w:p>
            <w:pPr>
              <w:ind w:left="20"/>
              <w:spacing w:after="0" w:line="200" w:lineRule="exact"/>
              <w:rPr>
                <w:sz w:val="20"/>
                <w:szCs w:val="20"/>
                <w:color w:val="auto"/>
              </w:rPr>
            </w:pPr>
            <w:r>
              <w:rPr>
                <w:rFonts w:ascii="Arial" w:cs="Arial" w:eastAsia="Arial" w:hAnsi="Arial"/>
                <w:sz w:val="15"/>
                <w:szCs w:val="15"/>
                <w:color w:val="auto"/>
              </w:rPr>
              <w:t>MH and annual RV residents for rent, utility charges, fees and other pass-through charges, net</w:t>
            </w:r>
            <w:r>
              <w:rPr>
                <w:rFonts w:ascii="Arial" w:cs="Arial" w:eastAsia="Arial" w:hAnsi="Arial"/>
                <w:sz w:val="19"/>
                <w:szCs w:val="19"/>
                <w:color w:val="auto"/>
                <w:vertAlign w:val="superscript"/>
              </w:rPr>
              <w:t>(1)</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102.9</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61.5</w:t>
            </w:r>
          </w:p>
        </w:tc>
      </w:tr>
      <w:tr>
        <w:trPr>
          <w:trHeight w:val="199"/>
        </w:trPr>
        <w:tc>
          <w:tcPr>
            <w:tcW w:w="7320" w:type="dxa"/>
            <w:vAlign w:val="bottom"/>
          </w:tcPr>
          <w:p>
            <w:pPr>
              <w:ind w:left="20"/>
              <w:spacing w:after="0"/>
              <w:rPr>
                <w:sz w:val="20"/>
                <w:szCs w:val="20"/>
                <w:color w:val="auto"/>
              </w:rPr>
            </w:pPr>
            <w:r>
              <w:rPr>
                <w:rFonts w:ascii="Arial" w:cs="Arial" w:eastAsia="Arial" w:hAnsi="Arial"/>
                <w:sz w:val="15"/>
                <w:szCs w:val="15"/>
                <w:color w:val="auto"/>
              </w:rPr>
              <w:t>Insurance receivables</w:t>
            </w:r>
          </w:p>
        </w:tc>
        <w:tc>
          <w:tcPr>
            <w:tcW w:w="18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Arial" w:cs="Arial" w:eastAsia="Arial" w:hAnsi="Arial"/>
                <w:sz w:val="15"/>
                <w:szCs w:val="15"/>
                <w:color w:val="auto"/>
              </w:rPr>
              <w:t>63.4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78.0</w:t>
            </w:r>
          </w:p>
        </w:tc>
      </w:tr>
      <w:tr>
        <w:trPr>
          <w:trHeight w:val="206"/>
        </w:trPr>
        <w:tc>
          <w:tcPr>
            <w:tcW w:w="7320" w:type="dxa"/>
            <w:vAlign w:val="bottom"/>
            <w:shd w:val="clear" w:color="auto" w:fill="CCEEFF"/>
          </w:tcPr>
          <w:p>
            <w:pPr>
              <w:ind w:left="20"/>
              <w:spacing w:after="0" w:line="206" w:lineRule="exact"/>
              <w:rPr>
                <w:sz w:val="20"/>
                <w:szCs w:val="20"/>
                <w:color w:val="auto"/>
              </w:rPr>
            </w:pPr>
            <w:r>
              <w:rPr>
                <w:rFonts w:ascii="Arial" w:cs="Arial" w:eastAsia="Arial" w:hAnsi="Arial"/>
                <w:sz w:val="15"/>
                <w:szCs w:val="15"/>
                <w:color w:val="auto"/>
              </w:rPr>
              <w:t>Marina customers for storage, service and lease payments, net</w:t>
            </w:r>
            <w:r>
              <w:rPr>
                <w:rFonts w:ascii="Arial" w:cs="Arial" w:eastAsia="Arial" w:hAnsi="Arial"/>
                <w:sz w:val="19"/>
                <w:szCs w:val="19"/>
                <w:color w:val="auto"/>
                <w:vertAlign w:val="superscript"/>
              </w:rPr>
              <w:t>(2)</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w:t>
            </w:r>
          </w:p>
        </w:tc>
      </w:tr>
      <w:tr>
        <w:trPr>
          <w:trHeight w:val="198"/>
        </w:trPr>
        <w:tc>
          <w:tcPr>
            <w:tcW w:w="7320" w:type="dxa"/>
            <w:vAlign w:val="bottom"/>
          </w:tcPr>
          <w:p>
            <w:pPr>
              <w:ind w:left="20"/>
              <w:spacing w:after="0"/>
              <w:rPr>
                <w:sz w:val="20"/>
                <w:szCs w:val="20"/>
                <w:color w:val="auto"/>
              </w:rPr>
            </w:pPr>
            <w:r>
              <w:rPr>
                <w:rFonts w:ascii="Arial" w:cs="Arial" w:eastAsia="Arial" w:hAnsi="Arial"/>
                <w:sz w:val="15"/>
                <w:szCs w:val="15"/>
                <w:color w:val="auto"/>
              </w:rPr>
              <w:t>Home sale proceeds</w:t>
            </w:r>
          </w:p>
        </w:tc>
        <w:tc>
          <w:tcPr>
            <w:tcW w:w="18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Arial" w:cs="Arial" w:eastAsia="Arial" w:hAnsi="Arial"/>
                <w:sz w:val="15"/>
                <w:szCs w:val="15"/>
                <w:color w:val="auto"/>
              </w:rPr>
              <w:t>32.7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28.9</w:t>
            </w:r>
          </w:p>
        </w:tc>
      </w:tr>
      <w:tr>
        <w:trPr>
          <w:trHeight w:val="207"/>
        </w:trPr>
        <w:tc>
          <w:tcPr>
            <w:tcW w:w="7320" w:type="dxa"/>
            <w:vAlign w:val="bottom"/>
            <w:shd w:val="clear" w:color="auto" w:fill="CCEEFF"/>
          </w:tcPr>
          <w:p>
            <w:pPr>
              <w:ind w:left="20"/>
              <w:spacing w:after="0" w:line="206" w:lineRule="exact"/>
              <w:rPr>
                <w:sz w:val="20"/>
                <w:szCs w:val="20"/>
                <w:color w:val="auto"/>
              </w:rPr>
            </w:pPr>
            <w:r>
              <w:rPr>
                <w:rFonts w:ascii="Arial" w:cs="Arial" w:eastAsia="Arial" w:hAnsi="Arial"/>
                <w:sz w:val="15"/>
                <w:szCs w:val="15"/>
                <w:color w:val="auto"/>
              </w:rPr>
              <w:t>Other receivables</w:t>
            </w:r>
            <w:r>
              <w:rPr>
                <w:rFonts w:ascii="Arial" w:cs="Arial" w:eastAsia="Arial" w:hAnsi="Arial"/>
                <w:sz w:val="19"/>
                <w:szCs w:val="19"/>
                <w:color w:val="auto"/>
                <w:vertAlign w:val="superscript"/>
              </w:rPr>
              <w:t>(3)</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50.4</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36.0</w:t>
            </w:r>
          </w:p>
        </w:tc>
      </w:tr>
      <w:tr>
        <w:trPr>
          <w:trHeight w:val="196"/>
        </w:trPr>
        <w:tc>
          <w:tcPr>
            <w:tcW w:w="7320" w:type="dxa"/>
            <w:vAlign w:val="bottom"/>
          </w:tcPr>
          <w:p>
            <w:pPr>
              <w:ind w:left="240"/>
              <w:spacing w:after="0"/>
              <w:rPr>
                <w:sz w:val="20"/>
                <w:szCs w:val="20"/>
                <w:color w:val="auto"/>
              </w:rPr>
            </w:pPr>
            <w:r>
              <w:rPr>
                <w:rFonts w:ascii="Arial" w:cs="Arial" w:eastAsia="Arial" w:hAnsi="Arial"/>
                <w:sz w:val="15"/>
                <w:szCs w:val="15"/>
                <w:b w:val="1"/>
                <w:bCs w:val="1"/>
                <w:color w:val="auto"/>
              </w:rPr>
              <w:t>Total Other Receivables, net</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298.7</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246.2</w:t>
            </w: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Net of allowance of $5.1 million and $5.9 million as of September 30, 2023 and December 31, 2022, respectively.</w:t>
      </w:r>
    </w:p>
    <w:p>
      <w:pPr>
        <w:spacing w:after="0" w:line="57"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Net of allowance of $2.6 million and $2.2 million as of September 30, 2023 and December 31, 2022, respectively.</w:t>
      </w:r>
    </w:p>
    <w:p>
      <w:pPr>
        <w:spacing w:after="0" w:line="57" w:lineRule="exact"/>
        <w:rPr>
          <w:rFonts w:ascii="Arial" w:cs="Arial" w:eastAsia="Arial" w:hAnsi="Arial"/>
          <w:sz w:val="18"/>
          <w:szCs w:val="18"/>
          <w:color w:val="auto"/>
          <w:vertAlign w:val="superscript"/>
        </w:rPr>
      </w:pPr>
    </w:p>
    <w:p>
      <w:pPr>
        <w:jc w:val="both"/>
        <w:ind w:left="180" w:hanging="172"/>
        <w:spacing w:after="0" w:line="243" w:lineRule="auto"/>
        <w:tabs>
          <w:tab w:leader="none" w:pos="167"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Includes receivable from Rezplot Systems LLC, a nonconsolidated affiliate, in which we had 49.0% and 48.9% ownership interest as of September 30, 2023 and December 31, 2022, respectively. In June 2020, we made a convertible secured loan to Rezplot Systems LLC. The note allows for a principal amount of up to $10.0 million to be drawn down over a period of three years, bears an interest rate of 3.0%, matures in June 2024, and is secured by all the assets of Rezplot Systems LLC. In January 2022, we made an additional loan to Rezplot Systems LLC that allows for a principal amount of up to $5.0 million to be drawn over a period of three years, bears an interest rate of 3.0% and matures in January 2025. The outstanding balances were $12.4 million and $12.7 million as of September 30, 2023 and December 31, 2022, respectively. Refer to Note 6, "Investments in Nonconsolidated Affiliates," for additional information on Rezplot Systems LLC.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intangible assets include goodwill, in-place leases, non-competition agreements, trademarks and trade names, customer relationships, franchise agreements and other intangible assets. These intangible assets are recorded in Goodwill and Other intangible assets, net on the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measurement periods for the valuation of assets acquired and liabilities assumed in a business combination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 These purchase accounting adjustments are presented under Other in the table below. Changes in the carrying amount of goodwill during the nine months ended September 30, 2023 by reportable segment were as follows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ind w:left="100"/>
              <w:spacing w:after="0"/>
              <w:rPr>
                <w:sz w:val="20"/>
                <w:szCs w:val="20"/>
                <w:color w:val="auto"/>
              </w:rPr>
            </w:pPr>
            <w:r>
              <w:rPr>
                <w:rFonts w:ascii="Arial" w:cs="Arial" w:eastAsia="Arial" w:hAnsi="Arial"/>
                <w:sz w:val="15"/>
                <w:szCs w:val="15"/>
                <w:b w:val="1"/>
                <w:bCs w:val="1"/>
                <w:color w:val="auto"/>
              </w:rPr>
              <w:t>Currency Translation</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6"/>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Goodwill by Segment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3"/>
              </w:rPr>
              <w:t>December 31, 2022</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Adjustment</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64"/>
              <w:spacing w:after="0" w:line="206" w:lineRule="exact"/>
              <w:rPr>
                <w:sz w:val="20"/>
                <w:szCs w:val="20"/>
                <w:color w:val="auto"/>
              </w:rPr>
            </w:pPr>
            <w:r>
              <w:rPr>
                <w:rFonts w:ascii="Arial" w:cs="Arial" w:eastAsia="Arial" w:hAnsi="Arial"/>
                <w:sz w:val="15"/>
                <w:szCs w:val="15"/>
                <w:b w:val="1"/>
                <w:bCs w:val="1"/>
                <w:color w:val="auto"/>
              </w:rPr>
              <w:t>Other</w:t>
            </w:r>
            <w:r>
              <w:rPr>
                <w:rFonts w:ascii="Arial" w:cs="Arial" w:eastAsia="Arial" w:hAnsi="Arial"/>
                <w:sz w:val="19"/>
                <w:szCs w:val="19"/>
                <w:color w:val="auto"/>
                <w:vertAlign w:val="superscript"/>
              </w:rPr>
              <w:t>(1)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2"/>
              </w:rPr>
              <w:t>September 30, 2023</w:t>
            </w:r>
          </w:p>
        </w:tc>
        <w:tc>
          <w:tcPr>
            <w:tcW w:w="280" w:type="dxa"/>
            <w:vAlign w:val="bottom"/>
            <w:tcBorders>
              <w:bottom w:val="single" w:sz="8" w:color="CCEEFF"/>
            </w:tcBorders>
          </w:tcPr>
          <w:p>
            <w:pPr>
              <w:spacing w:after="0"/>
              <w:rPr>
                <w:sz w:val="17"/>
                <w:szCs w:val="17"/>
                <w:color w:val="auto"/>
              </w:rPr>
            </w:pPr>
          </w:p>
        </w:tc>
      </w:tr>
      <w:tr>
        <w:trPr>
          <w:trHeight w:val="196"/>
        </w:trPr>
        <w:tc>
          <w:tcPr>
            <w:tcW w:w="4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MH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533.1</w:t>
            </w:r>
          </w:p>
        </w:tc>
        <w:tc>
          <w:tcPr>
            <w:tcW w:w="280" w:type="dxa"/>
            <w:vAlign w:val="bottom"/>
            <w:shd w:val="clear" w:color="auto" w:fill="CCEEFF"/>
          </w:tcPr>
          <w:p>
            <w:pPr>
              <w:spacing w:after="0"/>
              <w:rPr>
                <w:sz w:val="17"/>
                <w:szCs w:val="17"/>
                <w:color w:val="auto"/>
              </w:rPr>
            </w:pPr>
          </w:p>
        </w:tc>
      </w:tr>
      <w:tr>
        <w:trPr>
          <w:trHeight w:val="198"/>
        </w:trPr>
        <w:tc>
          <w:tcPr>
            <w:tcW w:w="4000" w:type="dxa"/>
            <w:vAlign w:val="bottom"/>
            <w:gridSpan w:val="2"/>
          </w:tcPr>
          <w:p>
            <w:pPr>
              <w:ind w:left="140"/>
              <w:spacing w:after="0"/>
              <w:rPr>
                <w:sz w:val="20"/>
                <w:szCs w:val="20"/>
                <w:color w:val="auto"/>
              </w:rPr>
            </w:pPr>
            <w:r>
              <w:rPr>
                <w:rFonts w:ascii="Arial" w:cs="Arial" w:eastAsia="Arial" w:hAnsi="Arial"/>
                <w:sz w:val="15"/>
                <w:szCs w:val="15"/>
                <w:color w:val="auto"/>
              </w:rPr>
              <w:t>RV</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9.5</w:t>
            </w:r>
          </w:p>
        </w:tc>
        <w:tc>
          <w:tcPr>
            <w:tcW w:w="280" w:type="dxa"/>
            <w:vAlign w:val="bottom"/>
          </w:tcPr>
          <w:p>
            <w:pPr>
              <w:spacing w:after="0"/>
              <w:rPr>
                <w:sz w:val="17"/>
                <w:szCs w:val="17"/>
                <w:color w:val="auto"/>
              </w:rPr>
            </w:pPr>
          </w:p>
        </w:tc>
      </w:tr>
      <w:tr>
        <w:trPr>
          <w:trHeight w:val="203"/>
        </w:trPr>
        <w:tc>
          <w:tcPr>
            <w:tcW w:w="4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Marina</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541.5</w:t>
            </w:r>
          </w:p>
        </w:tc>
        <w:tc>
          <w:tcPr>
            <w:tcW w:w="280" w:type="dxa"/>
            <w:vAlign w:val="bottom"/>
            <w:shd w:val="clear" w:color="auto" w:fill="CCEEFF"/>
          </w:tcPr>
          <w:p>
            <w:pPr>
              <w:spacing w:after="0"/>
              <w:rPr>
                <w:sz w:val="17"/>
                <w:szCs w:val="17"/>
                <w:color w:val="auto"/>
              </w:rPr>
            </w:pPr>
          </w:p>
        </w:tc>
      </w:tr>
      <w:tr>
        <w:trPr>
          <w:trHeight w:val="200"/>
        </w:trPr>
        <w:tc>
          <w:tcPr>
            <w:tcW w:w="4000" w:type="dxa"/>
            <w:vAlign w:val="bottom"/>
            <w:gridSpan w:val="2"/>
          </w:tcPr>
          <w:p>
            <w:pPr>
              <w:ind w:left="240"/>
              <w:spacing w:after="0"/>
              <w:rPr>
                <w:sz w:val="20"/>
                <w:szCs w:val="20"/>
                <w:color w:val="auto"/>
              </w:rPr>
            </w:pPr>
            <w:r>
              <w:rPr>
                <w:rFonts w:ascii="Arial" w:cs="Arial" w:eastAsia="Arial" w:hAnsi="Arial"/>
                <w:sz w:val="15"/>
                <w:szCs w:val="15"/>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1,018.4</w:t>
            </w: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60.7</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1,084.1</w:t>
            </w:r>
          </w:p>
        </w:tc>
        <w:tc>
          <w:tcPr>
            <w:tcW w:w="280" w:type="dxa"/>
            <w:vAlign w:val="bottom"/>
          </w:tcPr>
          <w:p>
            <w:pPr>
              <w:jc w:val="right"/>
              <w:ind w:right="90"/>
              <w:spacing w:after="0"/>
              <w:rPr>
                <w:sz w:val="20"/>
                <w:szCs w:val="20"/>
                <w:color w:val="auto"/>
              </w:rPr>
            </w:pPr>
            <w:r>
              <w:rPr>
                <w:rFonts w:ascii="Arial" w:cs="Arial" w:eastAsia="Arial" w:hAnsi="Arial"/>
                <w:sz w:val="10"/>
                <w:szCs w:val="10"/>
                <w:color w:val="auto"/>
                <w:w w:val="97"/>
              </w:rPr>
              <w:t>(2)</w:t>
            </w: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line="293" w:lineRule="auto"/>
        <w:tabs>
          <w:tab w:leader="none" w:pos="167" w:val="left"/>
        </w:tabs>
        <w:numPr>
          <w:ilvl w:val="0"/>
          <w:numId w:val="7"/>
        </w:numPr>
        <w:rPr>
          <w:rFonts w:ascii="Arial" w:cs="Arial" w:eastAsia="Arial" w:hAnsi="Arial"/>
          <w:sz w:val="9"/>
          <w:szCs w:val="9"/>
          <w:color w:val="auto"/>
        </w:rPr>
      </w:pPr>
      <w:r>
        <w:rPr>
          <w:rFonts w:ascii="Arial" w:cs="Arial" w:eastAsia="Arial" w:hAnsi="Arial"/>
          <w:sz w:val="14"/>
          <w:szCs w:val="14"/>
          <w:color w:val="auto"/>
        </w:rPr>
        <w:t>During the nine months ended September 30, 2023, adjustments in purchase price allocations resulted in the recognition of additional goodwill of $60.7 million in the MH segment, related to the Park Leisure business combination.</w:t>
      </w:r>
    </w:p>
    <w:p>
      <w:pPr>
        <w:spacing w:after="0" w:line="11" w:lineRule="exact"/>
        <w:rPr>
          <w:rFonts w:ascii="Arial" w:cs="Arial" w:eastAsia="Arial" w:hAnsi="Arial"/>
          <w:sz w:val="9"/>
          <w:szCs w:val="9"/>
          <w:color w:val="auto"/>
        </w:rPr>
      </w:pPr>
    </w:p>
    <w:p>
      <w:pPr>
        <w:ind w:left="180" w:right="20" w:hanging="172"/>
        <w:spacing w:after="0" w:line="226" w:lineRule="auto"/>
        <w:tabs>
          <w:tab w:leader="none" w:pos="18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During the year ended December 31, 2022, we recognized goodwill from acquisitions of $516.0 million which is expected to be deductible for tax purposes. There were no acquisitions accounted for as business combination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of our intangible assets were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ind w:left="580"/>
              <w:spacing w:after="0"/>
              <w:rPr>
                <w:sz w:val="20"/>
                <w:szCs w:val="20"/>
                <w:color w:val="auto"/>
              </w:rPr>
            </w:pPr>
            <w:r>
              <w:rPr>
                <w:rFonts w:ascii="Arial" w:cs="Arial" w:eastAsia="Arial" w:hAnsi="Arial"/>
                <w:sz w:val="15"/>
                <w:szCs w:val="15"/>
                <w:b w:val="1"/>
                <w:bCs w:val="1"/>
                <w:color w:val="auto"/>
              </w:rPr>
              <w:t>September 30, 2023</w:t>
            </w:r>
          </w:p>
        </w:tc>
        <w:tc>
          <w:tcPr>
            <w:tcW w:w="120" w:type="dxa"/>
            <w:vAlign w:val="bottom"/>
          </w:tcPr>
          <w:p>
            <w:pPr>
              <w:spacing w:after="0"/>
              <w:rPr>
                <w:sz w:val="17"/>
                <w:szCs w:val="17"/>
                <w:color w:val="auto"/>
              </w:rPr>
            </w:pPr>
          </w:p>
        </w:tc>
        <w:tc>
          <w:tcPr>
            <w:tcW w:w="2560" w:type="dxa"/>
            <w:vAlign w:val="bottom"/>
            <w:gridSpan w:val="4"/>
          </w:tcPr>
          <w:p>
            <w:pPr>
              <w:jc w:val="right"/>
              <w:ind w:right="644"/>
              <w:spacing w:after="0"/>
              <w:rPr>
                <w:sz w:val="20"/>
                <w:szCs w:val="20"/>
                <w:color w:val="auto"/>
              </w:rPr>
            </w:pPr>
            <w:r>
              <w:rPr>
                <w:rFonts w:ascii="Arial" w:cs="Arial" w:eastAsia="Arial" w:hAnsi="Arial"/>
                <w:sz w:val="15"/>
                <w:szCs w:val="15"/>
                <w:b w:val="1"/>
                <w:bCs w:val="1"/>
                <w:color w:val="auto"/>
              </w:rPr>
              <w:t>December 31, 2022</w:t>
            </w:r>
          </w:p>
        </w:tc>
      </w:tr>
      <w:tr>
        <w:trPr>
          <w:trHeight w:val="146"/>
        </w:trPr>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ind w:left="20"/>
              <w:spacing w:after="0" w:line="146" w:lineRule="exact"/>
              <w:rPr>
                <w:sz w:val="20"/>
                <w:szCs w:val="20"/>
                <w:color w:val="auto"/>
              </w:rPr>
            </w:pPr>
            <w:r>
              <w:rPr>
                <w:rFonts w:ascii="Arial" w:cs="Arial" w:eastAsia="Arial" w:hAnsi="Arial"/>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Arial" w:cs="Arial" w:eastAsia="Arial" w:hAnsi="Arial"/>
                <w:sz w:val="15"/>
                <w:szCs w:val="15"/>
                <w:b w:val="1"/>
                <w:bCs w:val="1"/>
                <w:color w:val="auto"/>
                <w:w w:val="95"/>
              </w:rPr>
              <w:t>Accumulated</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20"/>
              <w:spacing w:after="0" w:line="146" w:lineRule="exact"/>
              <w:rPr>
                <w:sz w:val="20"/>
                <w:szCs w:val="20"/>
                <w:color w:val="auto"/>
              </w:rPr>
            </w:pPr>
            <w:r>
              <w:rPr>
                <w:rFonts w:ascii="Arial" w:cs="Arial" w:eastAsia="Arial" w:hAnsi="Arial"/>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Arial" w:cs="Arial" w:eastAsia="Arial" w:hAnsi="Arial"/>
                <w:sz w:val="15"/>
                <w:szCs w:val="15"/>
                <w:b w:val="1"/>
                <w:bCs w:val="1"/>
                <w:color w:val="auto"/>
                <w:w w:val="95"/>
              </w:rPr>
              <w:t>Accumulated</w:t>
            </w:r>
          </w:p>
        </w:tc>
      </w:tr>
      <w:tr>
        <w:trPr>
          <w:trHeight w:val="212"/>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Other Intangible Asset</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Useful Life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Amortization</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98"/>
              </w:rPr>
              <w:t>Amortization</w:t>
            </w:r>
          </w:p>
        </w:tc>
      </w:tr>
      <w:tr>
        <w:trPr>
          <w:trHeight w:val="200"/>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In-place leases</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1"/>
              </w:rPr>
              <w:t>2 months - 13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(135.4)</w:t>
            </w:r>
          </w:p>
        </w:tc>
      </w:tr>
      <w:tr>
        <w:trPr>
          <w:trHeight w:val="198"/>
        </w:trPr>
        <w:tc>
          <w:tcPr>
            <w:tcW w:w="4080" w:type="dxa"/>
            <w:vAlign w:val="bottom"/>
            <w:gridSpan w:val="2"/>
          </w:tcPr>
          <w:p>
            <w:pPr>
              <w:ind w:left="140"/>
              <w:spacing w:after="0"/>
              <w:rPr>
                <w:sz w:val="20"/>
                <w:szCs w:val="20"/>
                <w:color w:val="auto"/>
              </w:rPr>
            </w:pPr>
            <w:r>
              <w:rPr>
                <w:rFonts w:ascii="Arial" w:cs="Arial" w:eastAsia="Arial" w:hAnsi="Arial"/>
                <w:sz w:val="15"/>
                <w:szCs w:val="15"/>
                <w:color w:val="auto"/>
              </w:rPr>
              <w:t>Non-competition agreements</w:t>
            </w:r>
          </w:p>
        </w:tc>
        <w:tc>
          <w:tcPr>
            <w:tcW w:w="1620" w:type="dxa"/>
            <w:vAlign w:val="bottom"/>
            <w:gridSpan w:val="2"/>
          </w:tcPr>
          <w:p>
            <w:pPr>
              <w:jc w:val="center"/>
              <w:ind w:right="100"/>
              <w:spacing w:after="0"/>
              <w:rPr>
                <w:sz w:val="20"/>
                <w:szCs w:val="20"/>
                <w:color w:val="auto"/>
              </w:rPr>
            </w:pPr>
            <w:r>
              <w:rPr>
                <w:rFonts w:ascii="Arial" w:cs="Arial" w:eastAsia="Arial" w:hAnsi="Arial"/>
                <w:sz w:val="15"/>
                <w:szCs w:val="15"/>
                <w:color w:val="auto"/>
                <w:w w:val="89"/>
              </w:rPr>
              <w:t>5 years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07"/>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Trademarks and trade names</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3 - 15 years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r>
      <w:tr>
        <w:trPr>
          <w:trHeight w:val="198"/>
        </w:trPr>
        <w:tc>
          <w:tcPr>
            <w:tcW w:w="4080" w:type="dxa"/>
            <w:vAlign w:val="bottom"/>
            <w:gridSpan w:val="2"/>
          </w:tcPr>
          <w:p>
            <w:pPr>
              <w:ind w:left="140"/>
              <w:spacing w:after="0"/>
              <w:rPr>
                <w:sz w:val="20"/>
                <w:szCs w:val="20"/>
                <w:color w:val="auto"/>
              </w:rPr>
            </w:pPr>
            <w:r>
              <w:rPr>
                <w:rFonts w:ascii="Arial" w:cs="Arial" w:eastAsia="Arial" w:hAnsi="Arial"/>
                <w:sz w:val="15"/>
                <w:szCs w:val="15"/>
                <w:color w:val="auto"/>
              </w:rPr>
              <w:t>Customer relationships</w:t>
            </w:r>
          </w:p>
        </w:tc>
        <w:tc>
          <w:tcPr>
            <w:tcW w:w="162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4 - 17 years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(34.1)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(24.7)</w:t>
            </w:r>
          </w:p>
        </w:tc>
      </w:tr>
      <w:tr>
        <w:trPr>
          <w:trHeight w:val="207"/>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Franchise agreements and other intangible assets</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1 - 27 years</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w:t>
            </w:r>
          </w:p>
        </w:tc>
      </w:tr>
      <w:tr>
        <w:trPr>
          <w:trHeight w:val="192"/>
        </w:trPr>
        <w:tc>
          <w:tcPr>
            <w:tcW w:w="4080" w:type="dxa"/>
            <w:vAlign w:val="bottom"/>
            <w:gridSpan w:val="2"/>
          </w:tcPr>
          <w:p>
            <w:pPr>
              <w:ind w:left="240"/>
              <w:spacing w:after="0"/>
              <w:rPr>
                <w:sz w:val="20"/>
                <w:szCs w:val="20"/>
                <w:color w:val="auto"/>
              </w:rPr>
            </w:pPr>
            <w:r>
              <w:rPr>
                <w:rFonts w:ascii="Arial" w:cs="Arial" w:eastAsia="Arial" w:hAnsi="Arial"/>
                <w:sz w:val="15"/>
                <w:szCs w:val="15"/>
                <w:b w:val="1"/>
                <w:bCs w:val="1"/>
                <w:color w:val="auto"/>
              </w:rPr>
              <w:t>Total finite-lived assets</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436.4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(205.7)</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437.2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(178.6)</w:t>
            </w:r>
          </w:p>
        </w:tc>
      </w:tr>
      <w:tr>
        <w:trPr>
          <w:trHeight w:val="207"/>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Indefinite-lived assets - Trademarks and trade names</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4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Indefinite-lived assets - Other</w:t>
            </w:r>
          </w:p>
        </w:tc>
        <w:tc>
          <w:tcPr>
            <w:tcW w:w="16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5"/>
                <w:szCs w:val="15"/>
                <w:color w:val="auto"/>
              </w:rPr>
              <w:t>N/A</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408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Total indefinite-lived assets</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4080" w:type="dxa"/>
            <w:vAlign w:val="bottom"/>
            <w:gridSpan w:val="2"/>
          </w:tcPr>
          <w:p>
            <w:pPr>
              <w:ind w:left="240"/>
              <w:spacing w:after="0"/>
              <w:rPr>
                <w:sz w:val="20"/>
                <w:szCs w:val="20"/>
                <w:color w:val="auto"/>
              </w:rPr>
            </w:pPr>
            <w:r>
              <w:rPr>
                <w:rFonts w:ascii="Arial" w:cs="Arial" w:eastAsia="Arial" w:hAnsi="Arial"/>
                <w:sz w:val="15"/>
                <w:szCs w:val="15"/>
                <w:b w:val="1"/>
                <w:bCs w:val="1"/>
                <w:color w:val="auto"/>
              </w:rPr>
              <w:t>Total</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580.4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(205.7)</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580.6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(178.6)</w:t>
            </w:r>
          </w:p>
        </w:tc>
      </w:tr>
      <w:tr>
        <w:trPr>
          <w:trHeight w:val="21"/>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expenses related to our Other intangible assets were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ind w:left="52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2540" w:type="dxa"/>
            <w:vAlign w:val="bottom"/>
            <w:gridSpan w:val="4"/>
          </w:tcPr>
          <w:p>
            <w:pPr>
              <w:jc w:val="right"/>
              <w:ind w:right="604"/>
              <w:spacing w:after="0"/>
              <w:rPr>
                <w:sz w:val="20"/>
                <w:szCs w:val="20"/>
                <w:color w:val="auto"/>
              </w:rPr>
            </w:pPr>
            <w:r>
              <w:rPr>
                <w:rFonts w:ascii="Arial" w:cs="Arial" w:eastAsia="Arial" w:hAnsi="Arial"/>
                <w:sz w:val="15"/>
                <w:szCs w:val="15"/>
                <w:b w:val="1"/>
                <w:bCs w:val="1"/>
                <w:color w:val="auto"/>
              </w:rPr>
              <w:t>Nine Months Ended</w:t>
            </w:r>
          </w:p>
        </w:tc>
      </w:tr>
      <w:tr>
        <w:trPr>
          <w:trHeight w:val="146"/>
        </w:trPr>
        <w:tc>
          <w:tcPr>
            <w:tcW w:w="5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ind w:left="60"/>
              <w:spacing w:after="0" w:line="146" w:lineRule="exact"/>
              <w:rPr>
                <w:sz w:val="20"/>
                <w:szCs w:val="20"/>
                <w:color w:val="auto"/>
              </w:rPr>
            </w:pPr>
            <w:r>
              <w:rPr>
                <w:rFonts w:ascii="Arial" w:cs="Arial" w:eastAsia="Arial" w:hAnsi="Arial"/>
                <w:sz w:val="15"/>
                <w:szCs w:val="15"/>
                <w:b w:val="1"/>
                <w:bCs w:val="1"/>
                <w:color w:val="auto"/>
              </w:rPr>
              <w:t>September 30,</w:t>
            </w: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04"/>
              <w:spacing w:after="0" w:line="146" w:lineRule="exact"/>
              <w:rPr>
                <w:sz w:val="20"/>
                <w:szCs w:val="20"/>
                <w:color w:val="auto"/>
              </w:rPr>
            </w:pPr>
            <w:r>
              <w:rPr>
                <w:rFonts w:ascii="Arial" w:cs="Arial" w:eastAsia="Arial" w:hAnsi="Arial"/>
                <w:sz w:val="15"/>
                <w:szCs w:val="15"/>
                <w:b w:val="1"/>
                <w:bCs w:val="1"/>
                <w:color w:val="auto"/>
                <w:w w:val="93"/>
              </w:rPr>
              <w:t>September 30,</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ind w:left="40"/>
              <w:spacing w:after="0" w:line="146" w:lineRule="exact"/>
              <w:rPr>
                <w:sz w:val="20"/>
                <w:szCs w:val="20"/>
                <w:color w:val="auto"/>
              </w:rPr>
            </w:pPr>
            <w:r>
              <w:rPr>
                <w:rFonts w:ascii="Arial" w:cs="Arial" w:eastAsia="Arial" w:hAnsi="Arial"/>
                <w:sz w:val="15"/>
                <w:szCs w:val="15"/>
                <w:b w:val="1"/>
                <w:bCs w:val="1"/>
                <w:color w:val="auto"/>
              </w:rPr>
              <w:t>September 30,</w:t>
            </w: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04"/>
              <w:spacing w:after="0" w:line="146" w:lineRule="exact"/>
              <w:rPr>
                <w:sz w:val="20"/>
                <w:szCs w:val="20"/>
                <w:color w:val="auto"/>
              </w:rPr>
            </w:pPr>
            <w:r>
              <w:rPr>
                <w:rFonts w:ascii="Arial" w:cs="Arial" w:eastAsia="Arial" w:hAnsi="Arial"/>
                <w:sz w:val="15"/>
                <w:szCs w:val="15"/>
                <w:b w:val="1"/>
                <w:bCs w:val="1"/>
                <w:color w:val="auto"/>
                <w:w w:val="93"/>
              </w:rPr>
              <w:t>September 30,</w:t>
            </w:r>
          </w:p>
        </w:tc>
      </w:tr>
      <w:tr>
        <w:trPr>
          <w:trHeight w:val="212"/>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Other Intangible Asset Amortization Expense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2022</w:t>
            </w:r>
          </w:p>
        </w:tc>
      </w:tr>
      <w:tr>
        <w:trPr>
          <w:trHeight w:val="200"/>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In-place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r>
      <w:tr>
        <w:trPr>
          <w:trHeight w:val="198"/>
        </w:trPr>
        <w:tc>
          <w:tcPr>
            <w:tcW w:w="5700" w:type="dxa"/>
            <w:vAlign w:val="bottom"/>
            <w:gridSpan w:val="2"/>
          </w:tcPr>
          <w:p>
            <w:pPr>
              <w:ind w:left="140"/>
              <w:spacing w:after="0"/>
              <w:rPr>
                <w:sz w:val="20"/>
                <w:szCs w:val="20"/>
                <w:color w:val="auto"/>
              </w:rPr>
            </w:pPr>
            <w:r>
              <w:rPr>
                <w:rFonts w:ascii="Arial" w:cs="Arial" w:eastAsia="Arial" w:hAnsi="Arial"/>
                <w:sz w:val="15"/>
                <w:szCs w:val="15"/>
                <w:color w:val="auto"/>
              </w:rPr>
              <w:t>Non-competition agreements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0.5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07"/>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Trademarks and trade names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r>
      <w:tr>
        <w:trPr>
          <w:trHeight w:val="198"/>
        </w:trPr>
        <w:tc>
          <w:tcPr>
            <w:tcW w:w="5700" w:type="dxa"/>
            <w:vAlign w:val="bottom"/>
            <w:gridSpan w:val="2"/>
          </w:tcPr>
          <w:p>
            <w:pPr>
              <w:ind w:left="140"/>
              <w:spacing w:after="0"/>
              <w:rPr>
                <w:sz w:val="20"/>
                <w:szCs w:val="20"/>
                <w:color w:val="auto"/>
              </w:rPr>
            </w:pPr>
            <w:r>
              <w:rPr>
                <w:rFonts w:ascii="Arial" w:cs="Arial" w:eastAsia="Arial" w:hAnsi="Arial"/>
                <w:sz w:val="15"/>
                <w:szCs w:val="15"/>
                <w:color w:val="auto"/>
              </w:rPr>
              <w:t>Customer relationships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203"/>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Franchise fees and other intangible assets</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200"/>
        </w:trPr>
        <w:tc>
          <w:tcPr>
            <w:tcW w:w="5700" w:type="dxa"/>
            <w:vAlign w:val="bottom"/>
            <w:gridSpan w:val="2"/>
          </w:tcPr>
          <w:p>
            <w:pPr>
              <w:ind w:left="260"/>
              <w:spacing w:after="0"/>
              <w:rPr>
                <w:sz w:val="20"/>
                <w:szCs w:val="20"/>
                <w:color w:val="auto"/>
              </w:rPr>
            </w:pPr>
            <w:r>
              <w:rPr>
                <w:rFonts w:ascii="Arial" w:cs="Arial" w:eastAsia="Arial" w:hAnsi="Arial"/>
                <w:sz w:val="15"/>
                <w:szCs w:val="15"/>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w:t>
            </w:r>
          </w:p>
        </w:tc>
      </w:tr>
      <w:tr>
        <w:trPr>
          <w:trHeight w:val="20"/>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anticipate amortization expense for Other intangible assets to be as follows for the next five years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Other Intangible Asset Future Amortization Expense</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3"/>
              </w:rPr>
              <w:t>Remainder 2023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2027</w:t>
            </w:r>
          </w:p>
        </w:tc>
      </w:tr>
      <w:tr>
        <w:trPr>
          <w:trHeight w:val="200"/>
        </w:trPr>
        <w:tc>
          <w:tcPr>
            <w:tcW w:w="41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In-place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198"/>
        </w:trPr>
        <w:tc>
          <w:tcPr>
            <w:tcW w:w="4160" w:type="dxa"/>
            <w:vAlign w:val="bottom"/>
            <w:gridSpan w:val="2"/>
          </w:tcPr>
          <w:p>
            <w:pPr>
              <w:ind w:left="140"/>
              <w:spacing w:after="0"/>
              <w:rPr>
                <w:sz w:val="20"/>
                <w:szCs w:val="20"/>
                <w:color w:val="auto"/>
              </w:rPr>
            </w:pPr>
            <w:r>
              <w:rPr>
                <w:rFonts w:ascii="Arial" w:cs="Arial" w:eastAsia="Arial" w:hAnsi="Arial"/>
                <w:sz w:val="15"/>
                <w:szCs w:val="15"/>
                <w:color w:val="auto"/>
              </w:rPr>
              <w:t>Non-competition agreements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41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Trademarks and trade names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r>
      <w:tr>
        <w:trPr>
          <w:trHeight w:val="198"/>
        </w:trPr>
        <w:tc>
          <w:tcPr>
            <w:tcW w:w="4160" w:type="dxa"/>
            <w:vAlign w:val="bottom"/>
            <w:gridSpan w:val="2"/>
          </w:tcPr>
          <w:p>
            <w:pPr>
              <w:ind w:left="140"/>
              <w:spacing w:after="0"/>
              <w:rPr>
                <w:sz w:val="20"/>
                <w:szCs w:val="20"/>
                <w:color w:val="auto"/>
              </w:rPr>
            </w:pPr>
            <w:r>
              <w:rPr>
                <w:rFonts w:ascii="Arial" w:cs="Arial" w:eastAsia="Arial" w:hAnsi="Arial"/>
                <w:sz w:val="15"/>
                <w:szCs w:val="15"/>
                <w:color w:val="auto"/>
              </w:rPr>
              <w:t>Customer relationships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203"/>
        </w:trPr>
        <w:tc>
          <w:tcPr>
            <w:tcW w:w="41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Franchise agreements and other intangible assets</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r>
      <w:tr>
        <w:trPr>
          <w:trHeight w:val="200"/>
        </w:trPr>
        <w:tc>
          <w:tcPr>
            <w:tcW w:w="4160" w:type="dxa"/>
            <w:vAlign w:val="bottom"/>
            <w:gridSpan w:val="2"/>
          </w:tcPr>
          <w:p>
            <w:pPr>
              <w:ind w:left="260"/>
              <w:spacing w:after="0"/>
              <w:rPr>
                <w:sz w:val="20"/>
                <w:szCs w:val="20"/>
                <w:color w:val="auto"/>
              </w:rPr>
            </w:pPr>
            <w:r>
              <w:rPr>
                <w:rFonts w:ascii="Arial" w:cs="Arial" w:eastAsia="Arial" w:hAnsi="Arial"/>
                <w:sz w:val="15"/>
                <w:szCs w:val="15"/>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w:t>
            </w: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Nonconsolidated Affiliates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Investments in joint ventures that are not consolidated, nor recorded at cost, are accounted for using the equity method of accounting as prescribed in ASC Topic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Investments in nonconsolidated affiliates are recorded within Other assets, net on the Consolidated Balance Sheets. Equity income and loss are recorded in Income / (loss) from nonconsolidated affiliates on the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RezPlot Systems LLC ("Rezplot")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September 30, 2023 and December 31, 2022, we had a 49.0% and 48.9% ownership interest, respectively, in Rezplot, a RV reservation software technology company, operating under the Campspot brand, which we acquired in January 2019. Our investment balance in Rezplot was zero as of September 30, 2023 and December 31, 2022, respectively, with subsequent equity losses being applied as a reduction to our notes receivable balance with Rezplot. Refer to Note 4, "Notes and Other Receivables," for additional information on the notes receivable.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Sungenia Joint Venture ("Sungenia JV")</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At September 30, 2023 and December 31, 2022, we had a 50.0% ownership interest in Sungenia JV, a joint venture formed between us and Ingenia Communities Group in November 2018, to establish and grow a manufactured housing community development program in Australia.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GTSC LLC </w:t>
      </w:r>
      <w:r>
        <w:rPr>
          <w:rFonts w:ascii="Arial" w:cs="Arial" w:eastAsia="Arial" w:hAnsi="Arial"/>
          <w:sz w:val="18"/>
          <w:szCs w:val="18"/>
          <w:color w:val="auto"/>
        </w:rPr>
        <w:t>(</w:t>
      </w:r>
      <w:r>
        <w:rPr>
          <w:rFonts w:ascii="Arial" w:cs="Arial" w:eastAsia="Arial" w:hAnsi="Arial"/>
          <w:sz w:val="18"/>
          <w:szCs w:val="18"/>
          <w:i w:val="1"/>
          <w:iCs w:val="1"/>
          <w:color w:val="auto"/>
        </w:rPr>
        <w:t>"GTSC"</w:t>
      </w:r>
      <w:r>
        <w:rPr>
          <w:rFonts w:ascii="Arial" w:cs="Arial" w:eastAsia="Arial" w:hAnsi="Arial"/>
          <w:sz w:val="18"/>
          <w:szCs w:val="18"/>
          <w:color w:val="auto"/>
        </w:rPr>
        <w: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September 30, 2023 and December 31, 2022, we had a 40.0% ownership interest in GTSC, which engages in acquiring, holding and selling loans secured, directly or indirectly, by manufactured homes located in our communities.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Origen Financial Services, LLC ("OFS")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At September 30, 2023 and December 31, 2022, we had no ownership interest, in OFS, an end-to-end online resident screening and document management suite. During the three months ended June 30, 2022, we sold our ownership interest in OFS for $0.6 million. The gain from the sale was $0.3 million, which was recorded in Income / (loss) from nonconsolidated affiliates on the Consolidated Statements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SV Lift, LLC ("SV Lift")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and December 31, 2022, we had a 50.0% ownership interest in SV Lift, which owns, operates and leases an aircraft.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balance in each nonconsolidated affiliate was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Investment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4"/>
              </w:rPr>
              <w:t>September 30, 2023</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6"/>
              </w:rPr>
              <w:t>December 31, 2022</w:t>
            </w:r>
          </w:p>
        </w:tc>
      </w:tr>
      <w:tr>
        <w:trPr>
          <w:trHeight w:val="20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Sungenia JV</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w:t>
            </w:r>
          </w:p>
        </w:tc>
      </w:tr>
      <w:tr>
        <w:trPr>
          <w:trHeight w:val="198"/>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Investment in GTSC</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57.4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54.5</w:t>
            </w:r>
          </w:p>
        </w:tc>
      </w:tr>
      <w:tr>
        <w:trPr>
          <w:trHeight w:val="20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SV Lift</w:t>
            </w: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200"/>
        </w:trPr>
        <w:tc>
          <w:tcPr>
            <w:tcW w:w="7500" w:type="dxa"/>
            <w:vAlign w:val="bottom"/>
            <w:gridSpan w:val="2"/>
          </w:tcPr>
          <w:p>
            <w:pPr>
              <w:ind w:left="120"/>
              <w:spacing w:after="0"/>
              <w:rPr>
                <w:sz w:val="20"/>
                <w:szCs w:val="20"/>
                <w:color w:val="auto"/>
              </w:rPr>
            </w:pPr>
            <w:r>
              <w:rPr>
                <w:rFonts w:ascii="Arial" w:cs="Arial" w:eastAsia="Arial" w:hAnsi="Arial"/>
                <w:sz w:val="15"/>
                <w:szCs w:val="15"/>
                <w:b w:val="1"/>
                <w:bCs w:val="1"/>
                <w:color w:val="auto"/>
              </w:rPr>
              <w:t>Total</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114.5</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101.3</w:t>
            </w:r>
          </w:p>
        </w:tc>
      </w:tr>
      <w:tr>
        <w:trPr>
          <w:trHeight w:val="20"/>
        </w:trPr>
        <w:tc>
          <w:tcPr>
            <w:tcW w:w="7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income from each nonconsolidated affiliate is as follows (in millions):</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5"/>
          </w:tcPr>
          <w:p>
            <w:pPr>
              <w:ind w:left="82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3160" w:type="dxa"/>
            <w:vAlign w:val="bottom"/>
            <w:gridSpan w:val="4"/>
          </w:tcPr>
          <w:p>
            <w:pPr>
              <w:ind w:left="860"/>
              <w:spacing w:after="0"/>
              <w:rPr>
                <w:sz w:val="20"/>
                <w:szCs w:val="20"/>
                <w:color w:val="auto"/>
              </w:rPr>
            </w:pPr>
            <w:r>
              <w:rPr>
                <w:rFonts w:ascii="Arial" w:cs="Arial" w:eastAsia="Arial" w:hAnsi="Arial"/>
                <w:sz w:val="15"/>
                <w:szCs w:val="15"/>
                <w:b w:val="1"/>
                <w:bCs w:val="1"/>
                <w:color w:val="auto"/>
              </w:rPr>
              <w:t>Nine Months Ended</w:t>
            </w:r>
          </w:p>
        </w:tc>
      </w:tr>
      <w:tr>
        <w:trPr>
          <w:trHeight w:val="20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Income from Nonconsolidated Affiliates</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2"/>
              </w:rPr>
              <w:t>September 30, 2023</w:t>
            </w:r>
          </w:p>
        </w:tc>
        <w:tc>
          <w:tcPr>
            <w:tcW w:w="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2"/>
              </w:rPr>
              <w:t>September 30, 2022</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2"/>
              </w:rPr>
              <w:t>September 30, 2023</w:t>
            </w:r>
          </w:p>
        </w:tc>
        <w:tc>
          <w:tcPr>
            <w:tcW w:w="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b w:val="1"/>
                <w:bCs w:val="1"/>
                <w:color w:val="auto"/>
              </w:rPr>
              <w:t>September 30, 2022</w:t>
            </w:r>
          </w:p>
        </w:tc>
      </w:tr>
      <w:tr>
        <w:trPr>
          <w:trHeight w:val="198"/>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RezPlot equity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center"/>
              <w:ind w:left="1064"/>
              <w:spacing w:after="0"/>
              <w:rPr>
                <w:sz w:val="20"/>
                <w:szCs w:val="20"/>
                <w:color w:val="auto"/>
              </w:rPr>
            </w:pPr>
            <w:r>
              <w:rPr>
                <w:rFonts w:ascii="Arial" w:cs="Arial" w:eastAsia="Arial" w:hAnsi="Arial"/>
                <w:sz w:val="15"/>
                <w:szCs w:val="15"/>
                <w:color w:val="auto"/>
                <w:w w:val="97"/>
              </w:rPr>
              <w:t>(3.0)</w:t>
            </w:r>
          </w:p>
        </w:tc>
      </w:tr>
      <w:tr>
        <w:trPr>
          <w:trHeight w:val="198"/>
        </w:trPr>
        <w:tc>
          <w:tcPr>
            <w:tcW w:w="4440" w:type="dxa"/>
            <w:vAlign w:val="bottom"/>
            <w:gridSpan w:val="2"/>
          </w:tcPr>
          <w:p>
            <w:pPr>
              <w:ind w:left="20"/>
              <w:spacing w:after="0"/>
              <w:rPr>
                <w:sz w:val="20"/>
                <w:szCs w:val="20"/>
                <w:color w:val="auto"/>
              </w:rPr>
            </w:pPr>
            <w:r>
              <w:rPr>
                <w:rFonts w:ascii="Arial" w:cs="Arial" w:eastAsia="Arial" w:hAnsi="Arial"/>
                <w:sz w:val="15"/>
                <w:szCs w:val="15"/>
                <w:color w:val="auto"/>
              </w:rPr>
              <w:t>Sungenia JV equity income</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ind w:left="1104"/>
              <w:spacing w:after="0"/>
              <w:rPr>
                <w:sz w:val="20"/>
                <w:szCs w:val="20"/>
                <w:color w:val="auto"/>
              </w:rPr>
            </w:pPr>
            <w:r>
              <w:rPr>
                <w:rFonts w:ascii="Arial" w:cs="Arial" w:eastAsia="Arial" w:hAnsi="Arial"/>
                <w:sz w:val="15"/>
                <w:szCs w:val="15"/>
                <w:color w:val="auto"/>
                <w:w w:val="86"/>
              </w:rPr>
              <w:t>2.6</w:t>
            </w:r>
          </w:p>
        </w:tc>
      </w:tr>
      <w:tr>
        <w:trPr>
          <w:trHeight w:val="207"/>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GTSC equity income</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ind w:left="1104"/>
              <w:spacing w:after="0"/>
              <w:rPr>
                <w:sz w:val="20"/>
                <w:szCs w:val="20"/>
                <w:color w:val="auto"/>
              </w:rPr>
            </w:pPr>
            <w:r>
              <w:rPr>
                <w:rFonts w:ascii="Arial" w:cs="Arial" w:eastAsia="Arial" w:hAnsi="Arial"/>
                <w:sz w:val="15"/>
                <w:szCs w:val="15"/>
                <w:color w:val="auto"/>
                <w:w w:val="86"/>
              </w:rPr>
              <w:t>4.6</w:t>
            </w:r>
          </w:p>
        </w:tc>
      </w:tr>
      <w:tr>
        <w:trPr>
          <w:trHeight w:val="198"/>
        </w:trPr>
        <w:tc>
          <w:tcPr>
            <w:tcW w:w="4440" w:type="dxa"/>
            <w:vAlign w:val="bottom"/>
            <w:gridSpan w:val="2"/>
          </w:tcPr>
          <w:p>
            <w:pPr>
              <w:ind w:left="20"/>
              <w:spacing w:after="0"/>
              <w:rPr>
                <w:sz w:val="20"/>
                <w:szCs w:val="20"/>
                <w:color w:val="auto"/>
              </w:rPr>
            </w:pPr>
            <w:r>
              <w:rPr>
                <w:rFonts w:ascii="Arial" w:cs="Arial" w:eastAsia="Arial" w:hAnsi="Arial"/>
                <w:sz w:val="15"/>
                <w:szCs w:val="15"/>
                <w:color w:val="auto"/>
              </w:rPr>
              <w:t>OFS equity income</w:t>
            </w: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80" w:type="dxa"/>
            <w:vAlign w:val="bottom"/>
          </w:tcPr>
          <w:p>
            <w:pPr>
              <w:jc w:val="center"/>
              <w:ind w:left="1104"/>
              <w:spacing w:after="0"/>
              <w:rPr>
                <w:sz w:val="20"/>
                <w:szCs w:val="20"/>
                <w:color w:val="auto"/>
              </w:rPr>
            </w:pPr>
            <w:r>
              <w:rPr>
                <w:rFonts w:ascii="Arial" w:cs="Arial" w:eastAsia="Arial" w:hAnsi="Arial"/>
                <w:sz w:val="15"/>
                <w:szCs w:val="15"/>
                <w:color w:val="auto"/>
                <w:w w:val="86"/>
              </w:rPr>
              <w:t>0.3</w:t>
            </w:r>
          </w:p>
        </w:tc>
      </w:tr>
      <w:tr>
        <w:trPr>
          <w:trHeight w:val="203"/>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SV Lift equity loss</w:t>
            </w: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center"/>
              <w:ind w:left="1064"/>
              <w:spacing w:after="0"/>
              <w:rPr>
                <w:sz w:val="20"/>
                <w:szCs w:val="20"/>
                <w:color w:val="auto"/>
              </w:rPr>
            </w:pPr>
            <w:r>
              <w:rPr>
                <w:rFonts w:ascii="Arial" w:cs="Arial" w:eastAsia="Arial" w:hAnsi="Arial"/>
                <w:sz w:val="15"/>
                <w:szCs w:val="15"/>
                <w:color w:val="auto"/>
                <w:w w:val="97"/>
              </w:rPr>
              <w:t>(0.7)</w:t>
            </w:r>
          </w:p>
        </w:tc>
      </w:tr>
      <w:tr>
        <w:trPr>
          <w:trHeight w:val="200"/>
        </w:trPr>
        <w:tc>
          <w:tcPr>
            <w:tcW w:w="4440" w:type="dxa"/>
            <w:vAlign w:val="bottom"/>
            <w:gridSpan w:val="2"/>
          </w:tcPr>
          <w:p>
            <w:pPr>
              <w:ind w:left="120"/>
              <w:spacing w:after="0"/>
              <w:rPr>
                <w:sz w:val="20"/>
                <w:szCs w:val="20"/>
                <w:color w:val="auto"/>
              </w:rPr>
            </w:pPr>
            <w:r>
              <w:rPr>
                <w:rFonts w:ascii="Arial" w:cs="Arial" w:eastAsia="Arial" w:hAnsi="Arial"/>
                <w:sz w:val="15"/>
                <w:szCs w:val="15"/>
                <w:b w:val="1"/>
                <w:bCs w:val="1"/>
                <w:color w:val="auto"/>
              </w:rPr>
              <w:t>Total Income from Nonconsolidated Affiliates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center"/>
              <w:ind w:left="1104"/>
              <w:spacing w:after="0"/>
              <w:rPr>
                <w:sz w:val="20"/>
                <w:szCs w:val="20"/>
                <w:color w:val="auto"/>
              </w:rPr>
            </w:pPr>
            <w:r>
              <w:rPr>
                <w:rFonts w:ascii="Arial" w:cs="Arial" w:eastAsia="Arial" w:hAnsi="Arial"/>
                <w:sz w:val="15"/>
                <w:szCs w:val="15"/>
                <w:color w:val="auto"/>
                <w:w w:val="86"/>
              </w:rPr>
              <w:t>3.8</w:t>
            </w:r>
          </w:p>
        </w:tc>
      </w:tr>
      <w:tr>
        <w:trPr>
          <w:trHeight w:val="21"/>
        </w:trPr>
        <w:tc>
          <w:tcPr>
            <w:tcW w:w="4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Sungenia JV investment balance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Pr>
          <w:p>
            <w:pPr>
              <w:spacing w:after="0"/>
              <w:rPr>
                <w:sz w:val="17"/>
                <w:szCs w:val="17"/>
                <w:color w:val="auto"/>
              </w:rPr>
            </w:pPr>
          </w:p>
        </w:tc>
        <w:tc>
          <w:tcPr>
            <w:tcW w:w="1520" w:type="dxa"/>
            <w:vAlign w:val="bottom"/>
          </w:tcPr>
          <w:p>
            <w:pPr>
              <w:jc w:val="right"/>
              <w:ind w:right="384"/>
              <w:spacing w:after="0"/>
              <w:rPr>
                <w:sz w:val="20"/>
                <w:szCs w:val="20"/>
                <w:color w:val="auto"/>
              </w:rPr>
            </w:pPr>
            <w:r>
              <w:rPr>
                <w:rFonts w:ascii="Arial" w:cs="Arial" w:eastAsia="Arial" w:hAnsi="Arial"/>
                <w:sz w:val="15"/>
                <w:szCs w:val="15"/>
                <w:b w:val="1"/>
                <w:bCs w:val="1"/>
                <w:color w:val="auto"/>
              </w:rPr>
              <w:t>Year Ended</w:t>
            </w:r>
          </w:p>
        </w:tc>
      </w:tr>
      <w:tr>
        <w:trPr>
          <w:trHeight w:val="207"/>
        </w:trPr>
        <w:tc>
          <w:tcPr>
            <w:tcW w:w="7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2023</w:t>
            </w:r>
          </w:p>
        </w:tc>
        <w:tc>
          <w:tcPr>
            <w:tcW w:w="160" w:type="dxa"/>
            <w:vAlign w:val="bottom"/>
          </w:tcPr>
          <w:p>
            <w:pPr>
              <w:spacing w:after="0"/>
              <w:rPr>
                <w:sz w:val="17"/>
                <w:szCs w:val="17"/>
                <w:color w:val="auto"/>
              </w:rPr>
            </w:pPr>
          </w:p>
        </w:tc>
        <w:tc>
          <w:tcPr>
            <w:tcW w:w="1520" w:type="dxa"/>
            <w:vAlign w:val="bottom"/>
          </w:tcPr>
          <w:p>
            <w:pPr>
              <w:jc w:val="right"/>
              <w:ind w:right="144"/>
              <w:spacing w:after="0"/>
              <w:rPr>
                <w:sz w:val="20"/>
                <w:szCs w:val="20"/>
                <w:color w:val="auto"/>
              </w:rPr>
            </w:pPr>
            <w:r>
              <w:rPr>
                <w:rFonts w:ascii="Arial" w:cs="Arial" w:eastAsia="Arial" w:hAnsi="Arial"/>
                <w:sz w:val="15"/>
                <w:szCs w:val="15"/>
                <w:b w:val="1"/>
                <w:bCs w:val="1"/>
                <w:color w:val="auto"/>
                <w:w w:val="94"/>
              </w:rPr>
              <w:t>December 31, 2022</w:t>
            </w:r>
          </w:p>
        </w:tc>
      </w:tr>
      <w:tr>
        <w:trPr>
          <w:trHeight w:val="200"/>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36.2</w:t>
            </w:r>
          </w:p>
        </w:tc>
      </w:tr>
      <w:tr>
        <w:trPr>
          <w:trHeight w:val="198"/>
        </w:trPr>
        <w:tc>
          <w:tcPr>
            <w:tcW w:w="7680" w:type="dxa"/>
            <w:vAlign w:val="bottom"/>
          </w:tcPr>
          <w:p>
            <w:pPr>
              <w:ind w:left="20"/>
              <w:spacing w:after="0"/>
              <w:rPr>
                <w:sz w:val="20"/>
                <w:szCs w:val="20"/>
                <w:color w:val="auto"/>
              </w:rPr>
            </w:pPr>
            <w:r>
              <w:rPr>
                <w:rFonts w:ascii="Arial" w:cs="Arial" w:eastAsia="Arial" w:hAnsi="Arial"/>
                <w:sz w:val="15"/>
                <w:szCs w:val="15"/>
                <w:color w:val="auto"/>
              </w:rPr>
              <w:t>Cumulative translation adjustment</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207"/>
        </w:trPr>
        <w:tc>
          <w:tcPr>
            <w:tcW w:w="7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Contributions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r>
      <w:tr>
        <w:trPr>
          <w:trHeight w:val="198"/>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Equity earnings</w:t>
            </w: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r>
      <w:tr>
        <w:trPr>
          <w:trHeight w:val="225"/>
        </w:trPr>
        <w:tc>
          <w:tcPr>
            <w:tcW w:w="7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55.3</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GTSC investment balance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Pr>
          <w:p>
            <w:pPr>
              <w:spacing w:after="0"/>
              <w:rPr>
                <w:sz w:val="17"/>
                <w:szCs w:val="17"/>
                <w:color w:val="auto"/>
              </w:rPr>
            </w:pPr>
          </w:p>
        </w:tc>
        <w:tc>
          <w:tcPr>
            <w:tcW w:w="1520" w:type="dxa"/>
            <w:vAlign w:val="bottom"/>
          </w:tcPr>
          <w:p>
            <w:pPr>
              <w:jc w:val="right"/>
              <w:ind w:right="384"/>
              <w:spacing w:after="0"/>
              <w:rPr>
                <w:sz w:val="20"/>
                <w:szCs w:val="20"/>
                <w:color w:val="auto"/>
              </w:rPr>
            </w:pPr>
            <w:r>
              <w:rPr>
                <w:rFonts w:ascii="Arial" w:cs="Arial" w:eastAsia="Arial" w:hAnsi="Arial"/>
                <w:sz w:val="15"/>
                <w:szCs w:val="15"/>
                <w:b w:val="1"/>
                <w:bCs w:val="1"/>
                <w:color w:val="auto"/>
              </w:rPr>
              <w:t>Year Ended</w:t>
            </w:r>
          </w:p>
        </w:tc>
      </w:tr>
      <w:tr>
        <w:trPr>
          <w:trHeight w:val="207"/>
        </w:trPr>
        <w:tc>
          <w:tcPr>
            <w:tcW w:w="7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2023</w:t>
            </w:r>
          </w:p>
        </w:tc>
        <w:tc>
          <w:tcPr>
            <w:tcW w:w="160" w:type="dxa"/>
            <w:vAlign w:val="bottom"/>
          </w:tcPr>
          <w:p>
            <w:pPr>
              <w:spacing w:after="0"/>
              <w:rPr>
                <w:sz w:val="17"/>
                <w:szCs w:val="17"/>
                <w:color w:val="auto"/>
              </w:rPr>
            </w:pPr>
          </w:p>
        </w:tc>
        <w:tc>
          <w:tcPr>
            <w:tcW w:w="1520" w:type="dxa"/>
            <w:vAlign w:val="bottom"/>
          </w:tcPr>
          <w:p>
            <w:pPr>
              <w:jc w:val="right"/>
              <w:ind w:right="144"/>
              <w:spacing w:after="0"/>
              <w:rPr>
                <w:sz w:val="20"/>
                <w:szCs w:val="20"/>
                <w:color w:val="auto"/>
              </w:rPr>
            </w:pPr>
            <w:r>
              <w:rPr>
                <w:rFonts w:ascii="Arial" w:cs="Arial" w:eastAsia="Arial" w:hAnsi="Arial"/>
                <w:sz w:val="15"/>
                <w:szCs w:val="15"/>
                <w:b w:val="1"/>
                <w:bCs w:val="1"/>
                <w:color w:val="auto"/>
                <w:w w:val="94"/>
              </w:rPr>
              <w:t>December 31, 2022</w:t>
            </w:r>
          </w:p>
        </w:tc>
      </w:tr>
      <w:tr>
        <w:trPr>
          <w:trHeight w:val="200"/>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w:t>
            </w:r>
          </w:p>
        </w:tc>
      </w:tr>
      <w:tr>
        <w:trPr>
          <w:trHeight w:val="198"/>
        </w:trPr>
        <w:tc>
          <w:tcPr>
            <w:tcW w:w="7680" w:type="dxa"/>
            <w:vAlign w:val="bottom"/>
          </w:tcPr>
          <w:p>
            <w:pPr>
              <w:ind w:left="20"/>
              <w:spacing w:after="0"/>
              <w:rPr>
                <w:sz w:val="20"/>
                <w:szCs w:val="20"/>
                <w:color w:val="auto"/>
              </w:rPr>
            </w:pPr>
            <w:r>
              <w:rPr>
                <w:rFonts w:ascii="Arial" w:cs="Arial" w:eastAsia="Arial" w:hAnsi="Arial"/>
                <w:sz w:val="15"/>
                <w:szCs w:val="15"/>
                <w:color w:val="auto"/>
              </w:rPr>
              <w:t>Contributions</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22.5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37.4</w:t>
            </w:r>
          </w:p>
        </w:tc>
      </w:tr>
      <w:tr>
        <w:trPr>
          <w:trHeight w:val="207"/>
        </w:trPr>
        <w:tc>
          <w:tcPr>
            <w:tcW w:w="7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w:t>
            </w:r>
          </w:p>
        </w:tc>
      </w:tr>
      <w:tr>
        <w:trPr>
          <w:trHeight w:val="198"/>
        </w:trPr>
        <w:tc>
          <w:tcPr>
            <w:tcW w:w="7680" w:type="dxa"/>
            <w:vAlign w:val="bottom"/>
          </w:tcPr>
          <w:p>
            <w:pPr>
              <w:ind w:left="20"/>
              <w:spacing w:after="0"/>
              <w:rPr>
                <w:sz w:val="20"/>
                <w:szCs w:val="20"/>
                <w:color w:val="auto"/>
              </w:rPr>
            </w:pPr>
            <w:r>
              <w:rPr>
                <w:rFonts w:ascii="Arial" w:cs="Arial" w:eastAsia="Arial" w:hAnsi="Arial"/>
                <w:sz w:val="15"/>
                <w:szCs w:val="15"/>
                <w:color w:val="auto"/>
              </w:rPr>
              <w:t>Equity earnings</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203"/>
        </w:trPr>
        <w:tc>
          <w:tcPr>
            <w:tcW w:w="7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adjustment</w:t>
            </w: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200"/>
        </w:trPr>
        <w:tc>
          <w:tcPr>
            <w:tcW w:w="7680" w:type="dxa"/>
            <w:vAlign w:val="bottom"/>
          </w:tcPr>
          <w:p>
            <w:pPr>
              <w:ind w:left="120"/>
              <w:spacing w:after="0"/>
              <w:rPr>
                <w:sz w:val="20"/>
                <w:szCs w:val="20"/>
                <w:color w:val="auto"/>
              </w:rPr>
            </w:pPr>
            <w:r>
              <w:rPr>
                <w:rFonts w:ascii="Arial" w:cs="Arial" w:eastAsia="Arial" w:hAnsi="Arial"/>
                <w:sz w:val="15"/>
                <w:szCs w:val="15"/>
                <w:b w:val="1"/>
                <w:bCs w:val="1"/>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57.4</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54.5</w:t>
            </w:r>
          </w:p>
        </w:tc>
      </w:tr>
      <w:tr>
        <w:trPr>
          <w:trHeight w:val="21"/>
        </w:trPr>
        <w:tc>
          <w:tcPr>
            <w:tcW w:w="7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Consolidated Variable Interest Entities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Operating Partnership</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consolidate the Operating Partnership under the guidance set forth in ASC 810, "</w:t>
      </w:r>
      <w:r>
        <w:rPr>
          <w:rFonts w:ascii="Arial" w:cs="Arial" w:eastAsia="Arial" w:hAnsi="Arial"/>
          <w:sz w:val="16"/>
          <w:szCs w:val="16"/>
          <w:i w:val="1"/>
          <w:iCs w:val="1"/>
          <w:color w:val="auto"/>
        </w:rPr>
        <w:t>Consolidation</w:t>
      </w:r>
      <w:r>
        <w:rPr>
          <w:rFonts w:ascii="Arial" w:cs="Arial" w:eastAsia="Arial" w:hAnsi="Arial"/>
          <w:sz w:val="16"/>
          <w:szCs w:val="16"/>
          <w:color w:val="auto"/>
        </w:rPr>
        <w:t>." We evaluated whether the Operating Partnership met the criteria for classification as a variable interest entity ("VIE") or, alternatively, as a voting interest entity and concluded that the Operating Partnership met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Consolidated VIEs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consolidate Sun NG RV Resorts LLC ("Sun NG Resorts"), Sun NG Whitewater RV Resorts LLC, Sun NG Beaver Brook LLC, FPG Sun Menifee 80 LLC, Solar Energy Project LLC, Solar Energy Project CA II LLC, Solar Energy Project III LLC and FPG Sun Moreno Valley 66 LLC under the guidance set forth in ASC 810, "</w:t>
      </w:r>
      <w:r>
        <w:rPr>
          <w:rFonts w:ascii="Arial" w:cs="Arial" w:eastAsia="Arial" w:hAnsi="Arial"/>
          <w:sz w:val="18"/>
          <w:szCs w:val="18"/>
          <w:i w:val="1"/>
          <w:iCs w:val="1"/>
          <w:color w:val="auto"/>
        </w:rPr>
        <w:t>Consolidation</w:t>
      </w:r>
      <w:r>
        <w:rPr>
          <w:rFonts w:ascii="Arial" w:cs="Arial" w:eastAsia="Arial" w:hAnsi="Arial"/>
          <w:sz w:val="18"/>
          <w:szCs w:val="18"/>
          <w:color w:val="auto"/>
        </w:rPr>
        <w:t>." We concluded that each entity is a VIE where we are the primary beneficiary, as we have the power to direct the significant activities of and absorb the significant losses and receive the significant benefits from each entity. Refer to Note 8, "Debt and Line of Credit," and Note 9, "Equity and Temporary Equity," for additional information on Sun NG Resorts.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assets and liabilities of our consolidated VIEs after eliminations, with the exception of the Operating Partnership, included in our Consolidated Balance Sheets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2023</w:t>
            </w:r>
          </w:p>
        </w:tc>
        <w:tc>
          <w:tcPr>
            <w:tcW w:w="160" w:type="dxa"/>
            <w:vAlign w:val="bottom"/>
          </w:tcPr>
          <w:p>
            <w:pPr>
              <w:spacing w:after="0"/>
              <w:rPr>
                <w:sz w:val="17"/>
                <w:szCs w:val="17"/>
                <w:color w:val="auto"/>
              </w:rPr>
            </w:pPr>
          </w:p>
        </w:tc>
        <w:tc>
          <w:tcPr>
            <w:tcW w:w="1520" w:type="dxa"/>
            <w:vAlign w:val="bottom"/>
          </w:tcPr>
          <w:p>
            <w:pPr>
              <w:jc w:val="right"/>
              <w:ind w:right="144"/>
              <w:spacing w:after="0"/>
              <w:rPr>
                <w:sz w:val="20"/>
                <w:szCs w:val="20"/>
                <w:color w:val="auto"/>
              </w:rPr>
            </w:pPr>
            <w:r>
              <w:rPr>
                <w:rFonts w:ascii="Arial" w:cs="Arial" w:eastAsia="Arial" w:hAnsi="Arial"/>
                <w:sz w:val="15"/>
                <w:szCs w:val="15"/>
                <w:b w:val="1"/>
                <w:bCs w:val="1"/>
                <w:color w:val="auto"/>
                <w:w w:val="94"/>
              </w:rPr>
              <w:t>December 31, 2022</w:t>
            </w:r>
          </w:p>
        </w:tc>
      </w:tr>
      <w:tr>
        <w:trPr>
          <w:trHeight w:val="186"/>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r>
      <w:tr>
        <w:trPr>
          <w:trHeight w:val="199"/>
        </w:trPr>
        <w:tc>
          <w:tcPr>
            <w:tcW w:w="7680" w:type="dxa"/>
            <w:vAlign w:val="bottom"/>
          </w:tcPr>
          <w:p>
            <w:pPr>
              <w:ind w:left="20"/>
              <w:spacing w:after="0"/>
              <w:rPr>
                <w:sz w:val="20"/>
                <w:szCs w:val="20"/>
                <w:color w:val="auto"/>
              </w:rPr>
            </w:pPr>
            <w:r>
              <w:rPr>
                <w:rFonts w:ascii="Arial" w:cs="Arial" w:eastAsia="Arial" w:hAnsi="Arial"/>
                <w:sz w:val="15"/>
                <w:szCs w:val="15"/>
                <w:color w:val="auto"/>
              </w:rPr>
              <w:t>Investment property, net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834.1</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739.7</w:t>
            </w:r>
          </w:p>
        </w:tc>
      </w:tr>
      <w:tr>
        <w:trPr>
          <w:trHeight w:val="206"/>
        </w:trPr>
        <w:tc>
          <w:tcPr>
            <w:tcW w:w="7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r>
      <w:tr>
        <w:trPr>
          <w:trHeight w:val="199"/>
        </w:trPr>
        <w:tc>
          <w:tcPr>
            <w:tcW w:w="7680" w:type="dxa"/>
            <w:vAlign w:val="bottom"/>
          </w:tcPr>
          <w:p>
            <w:pPr>
              <w:ind w:left="20"/>
              <w:spacing w:after="0"/>
              <w:rPr>
                <w:sz w:val="20"/>
                <w:szCs w:val="20"/>
                <w:color w:val="auto"/>
              </w:rPr>
            </w:pPr>
            <w:r>
              <w:rPr>
                <w:rFonts w:ascii="Arial" w:cs="Arial" w:eastAsia="Arial" w:hAnsi="Arial"/>
                <w:sz w:val="15"/>
                <w:szCs w:val="15"/>
                <w:color w:val="auto"/>
              </w:rPr>
              <w:t>Other intangible assets, net</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12.1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13.0</w:t>
            </w:r>
          </w:p>
        </w:tc>
      </w:tr>
      <w:tr>
        <w:trPr>
          <w:trHeight w:val="203"/>
        </w:trPr>
        <w:tc>
          <w:tcPr>
            <w:tcW w:w="7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 net</w:t>
            </w: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w:t>
            </w:r>
          </w:p>
        </w:tc>
      </w:tr>
      <w:tr>
        <w:trPr>
          <w:trHeight w:val="200"/>
        </w:trPr>
        <w:tc>
          <w:tcPr>
            <w:tcW w:w="7680" w:type="dxa"/>
            <w:vAlign w:val="bottom"/>
          </w:tcPr>
          <w:p>
            <w:pPr>
              <w:ind w:left="140"/>
              <w:spacing w:after="0"/>
              <w:rPr>
                <w:sz w:val="20"/>
                <w:szCs w:val="20"/>
                <w:color w:val="auto"/>
              </w:rPr>
            </w:pPr>
            <w:r>
              <w:rPr>
                <w:rFonts w:ascii="Arial" w:cs="Arial" w:eastAsia="Arial" w:hAnsi="Arial"/>
                <w:sz w:val="15"/>
                <w:szCs w:val="15"/>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868.5</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777.3</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3"/>
        </w:trPr>
        <w:tc>
          <w:tcPr>
            <w:tcW w:w="7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00"/>
        </w:trPr>
        <w:tc>
          <w:tcPr>
            <w:tcW w:w="7680" w:type="dxa"/>
            <w:vAlign w:val="bottom"/>
          </w:tcPr>
          <w:p>
            <w:pPr>
              <w:ind w:left="20"/>
              <w:spacing w:after="0"/>
              <w:rPr>
                <w:sz w:val="20"/>
                <w:szCs w:val="20"/>
                <w:color w:val="auto"/>
              </w:rPr>
            </w:pPr>
            <w:r>
              <w:rPr>
                <w:rFonts w:ascii="Arial" w:cs="Arial" w:eastAsia="Arial" w:hAnsi="Arial"/>
                <w:sz w:val="15"/>
                <w:szCs w:val="15"/>
                <w:b w:val="1"/>
                <w:bCs w:val="1"/>
                <w:color w:val="auto"/>
              </w:rPr>
              <w:t>Liabilities and Other Equity</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5"/>
        </w:trPr>
        <w:tc>
          <w:tcPr>
            <w:tcW w:w="7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Secured debt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w:t>
            </w:r>
          </w:p>
        </w:tc>
      </w:tr>
      <w:tr>
        <w:trPr>
          <w:trHeight w:val="198"/>
        </w:trPr>
        <w:tc>
          <w:tcPr>
            <w:tcW w:w="7680" w:type="dxa"/>
            <w:vAlign w:val="bottom"/>
          </w:tcPr>
          <w:p>
            <w:pPr>
              <w:ind w:left="20"/>
              <w:spacing w:after="0"/>
              <w:rPr>
                <w:sz w:val="20"/>
                <w:szCs w:val="20"/>
                <w:color w:val="auto"/>
              </w:rPr>
            </w:pPr>
            <w:r>
              <w:rPr>
                <w:rFonts w:ascii="Arial" w:cs="Arial" w:eastAsia="Arial" w:hAnsi="Arial"/>
                <w:sz w:val="15"/>
                <w:szCs w:val="15"/>
                <w:color w:val="auto"/>
              </w:rPr>
              <w:t>Unsecured debt</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35.2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35.2</w:t>
            </w:r>
          </w:p>
        </w:tc>
      </w:tr>
      <w:tr>
        <w:trPr>
          <w:trHeight w:val="206"/>
        </w:trPr>
        <w:tc>
          <w:tcPr>
            <w:tcW w:w="7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Advanced reservation deposits and rent</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w:t>
            </w:r>
          </w:p>
        </w:tc>
      </w:tr>
      <w:tr>
        <w:trPr>
          <w:trHeight w:val="198"/>
        </w:trPr>
        <w:tc>
          <w:tcPr>
            <w:tcW w:w="7680" w:type="dxa"/>
            <w:vAlign w:val="bottom"/>
          </w:tcPr>
          <w:p>
            <w:pPr>
              <w:ind w:left="20"/>
              <w:spacing w:after="0"/>
              <w:rPr>
                <w:sz w:val="20"/>
                <w:szCs w:val="20"/>
                <w:color w:val="auto"/>
              </w:rPr>
            </w:pPr>
            <w:r>
              <w:rPr>
                <w:rFonts w:ascii="Arial" w:cs="Arial" w:eastAsia="Arial" w:hAnsi="Arial"/>
                <w:sz w:val="15"/>
                <w:szCs w:val="15"/>
                <w:color w:val="auto"/>
              </w:rPr>
              <w:t>Accrued expenses and accounts payable</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27.9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11.8</w:t>
            </w:r>
          </w:p>
        </w:tc>
      </w:tr>
      <w:tr>
        <w:trPr>
          <w:trHeight w:val="207"/>
        </w:trPr>
        <w:tc>
          <w:tcPr>
            <w:tcW w:w="7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r>
      <w:tr>
        <w:trPr>
          <w:trHeight w:val="192"/>
        </w:trPr>
        <w:tc>
          <w:tcPr>
            <w:tcW w:w="7680" w:type="dxa"/>
            <w:vAlign w:val="bottom"/>
          </w:tcPr>
          <w:p>
            <w:pPr>
              <w:ind w:left="140"/>
              <w:spacing w:after="0"/>
              <w:rPr>
                <w:sz w:val="20"/>
                <w:szCs w:val="20"/>
                <w:color w:val="auto"/>
              </w:rPr>
            </w:pPr>
            <w:r>
              <w:rPr>
                <w:rFonts w:ascii="Arial" w:cs="Arial" w:eastAsia="Arial" w:hAnsi="Arial"/>
                <w:sz w:val="15"/>
                <w:szCs w:val="15"/>
                <w:b w:val="1"/>
                <w:bCs w:val="1"/>
                <w:color w:val="auto"/>
              </w:rPr>
              <w:t>Total Liabilities</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101.7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84.4</w:t>
            </w:r>
          </w:p>
        </w:tc>
      </w:tr>
      <w:tr>
        <w:trPr>
          <w:trHeight w:val="203"/>
        </w:trPr>
        <w:tc>
          <w:tcPr>
            <w:tcW w:w="7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Temporary equity</w:t>
            </w: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47.0</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41.3</w:t>
            </w:r>
          </w:p>
        </w:tc>
      </w:tr>
      <w:tr>
        <w:trPr>
          <w:trHeight w:val="200"/>
        </w:trPr>
        <w:tc>
          <w:tcPr>
            <w:tcW w:w="768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Other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148.7</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125.7</w:t>
            </w:r>
          </w:p>
        </w:tc>
      </w:tr>
      <w:tr>
        <w:trPr>
          <w:trHeight w:val="21"/>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assets related to the consolidated VIEs, with the exception of the Operating Partnership, comprised 4.9% and 4.5% of our consolidated total assets at September 30, 2023 and December 31, 2022, respectively. Total liabilities comprised 1.1% and 0.9% of our consolidated total liabilities at September 30, 2023 and December 31, 2022, respectively. Equity Interests and Noncontrolling interests related to the consolidated VIEs, on an absolute basis, comprised less than 1.0% of our consolidated total equity at September 30, 2023 and December 31, 2022,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and Line of Credit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certain information regarding debt, including premiums, discounts and deferred financing costs (in millions, except for statistical information):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4"/>
          </w:tcPr>
          <w:p>
            <w:pPr>
              <w:jc w:val="right"/>
              <w:ind w:right="840"/>
              <w:spacing w:after="0"/>
              <w:rPr>
                <w:sz w:val="20"/>
                <w:szCs w:val="20"/>
                <w:color w:val="auto"/>
              </w:rPr>
            </w:pPr>
            <w:r>
              <w:rPr>
                <w:rFonts w:ascii="Arial" w:cs="Arial" w:eastAsia="Arial" w:hAnsi="Arial"/>
                <w:sz w:val="15"/>
                <w:szCs w:val="15"/>
                <w:b w:val="1"/>
                <w:bCs w:val="1"/>
                <w:color w:val="auto"/>
              </w:rPr>
              <w:t>Weighted Average</w:t>
            </w:r>
          </w:p>
        </w:tc>
        <w:tc>
          <w:tcPr>
            <w:tcW w:w="2680" w:type="dxa"/>
            <w:vAlign w:val="bottom"/>
            <w:gridSpan w:val="3"/>
          </w:tcPr>
          <w:p>
            <w:pPr>
              <w:jc w:val="right"/>
              <w:ind w:right="684"/>
              <w:spacing w:after="0"/>
              <w:rPr>
                <w:sz w:val="20"/>
                <w:szCs w:val="20"/>
                <w:color w:val="auto"/>
              </w:rPr>
            </w:pPr>
            <w:r>
              <w:rPr>
                <w:rFonts w:ascii="Arial" w:cs="Arial" w:eastAsia="Arial" w:hAnsi="Arial"/>
                <w:sz w:val="15"/>
                <w:szCs w:val="15"/>
                <w:b w:val="1"/>
                <w:bCs w:val="1"/>
                <w:color w:val="auto"/>
              </w:rPr>
              <w:t>Weighted Average</w:t>
            </w:r>
          </w:p>
        </w:tc>
      </w:tr>
      <w:tr>
        <w:trPr>
          <w:trHeight w:val="202"/>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4"/>
          </w:tcPr>
          <w:p>
            <w:pPr>
              <w:jc w:val="right"/>
              <w:ind w:right="544"/>
              <w:spacing w:after="0"/>
              <w:rPr>
                <w:sz w:val="20"/>
                <w:szCs w:val="20"/>
                <w:color w:val="auto"/>
              </w:rPr>
            </w:pPr>
            <w:r>
              <w:rPr>
                <w:rFonts w:ascii="Arial" w:cs="Arial" w:eastAsia="Arial" w:hAnsi="Arial"/>
                <w:sz w:val="15"/>
                <w:szCs w:val="15"/>
                <w:b w:val="1"/>
                <w:bCs w:val="1"/>
                <w:color w:val="auto"/>
              </w:rPr>
              <w:t>Carrying Amount</w:t>
            </w:r>
          </w:p>
        </w:tc>
        <w:tc>
          <w:tcPr>
            <w:tcW w:w="200" w:type="dxa"/>
            <w:vAlign w:val="bottom"/>
          </w:tcPr>
          <w:p>
            <w:pPr>
              <w:spacing w:after="0"/>
              <w:rPr>
                <w:sz w:val="17"/>
                <w:szCs w:val="17"/>
                <w:color w:val="auto"/>
              </w:rPr>
            </w:pPr>
          </w:p>
        </w:tc>
        <w:tc>
          <w:tcPr>
            <w:tcW w:w="2640" w:type="dxa"/>
            <w:vAlign w:val="bottom"/>
            <w:gridSpan w:val="4"/>
          </w:tcPr>
          <w:p>
            <w:pPr>
              <w:jc w:val="right"/>
              <w:ind w:right="840"/>
              <w:spacing w:after="0"/>
              <w:rPr>
                <w:sz w:val="20"/>
                <w:szCs w:val="20"/>
                <w:color w:val="auto"/>
              </w:rPr>
            </w:pPr>
            <w:r>
              <w:rPr>
                <w:rFonts w:ascii="Arial" w:cs="Arial" w:eastAsia="Arial" w:hAnsi="Arial"/>
                <w:sz w:val="15"/>
                <w:szCs w:val="15"/>
                <w:b w:val="1"/>
                <w:bCs w:val="1"/>
                <w:color w:val="auto"/>
              </w:rPr>
              <w:t>Years to Maturity</w:t>
            </w:r>
          </w:p>
        </w:tc>
        <w:tc>
          <w:tcPr>
            <w:tcW w:w="2680" w:type="dxa"/>
            <w:vAlign w:val="bottom"/>
            <w:gridSpan w:val="3"/>
          </w:tcPr>
          <w:p>
            <w:pPr>
              <w:jc w:val="right"/>
              <w:ind w:right="804"/>
              <w:spacing w:after="0"/>
              <w:rPr>
                <w:sz w:val="20"/>
                <w:szCs w:val="20"/>
                <w:color w:val="auto"/>
              </w:rPr>
            </w:pPr>
            <w:r>
              <w:rPr>
                <w:rFonts w:ascii="Arial" w:cs="Arial" w:eastAsia="Arial" w:hAnsi="Arial"/>
                <w:sz w:val="15"/>
                <w:szCs w:val="15"/>
                <w:b w:val="1"/>
                <w:bCs w:val="1"/>
                <w:color w:val="auto"/>
              </w:rPr>
              <w:t>Interest Rates</w:t>
            </w:r>
          </w:p>
        </w:tc>
      </w:tr>
      <w:tr>
        <w:trPr>
          <w:trHeight w:val="156"/>
        </w:trPr>
        <w:tc>
          <w:tcPr>
            <w:tcW w:w="3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64"/>
              <w:spacing w:after="0" w:line="156" w:lineRule="exact"/>
              <w:rPr>
                <w:sz w:val="20"/>
                <w:szCs w:val="20"/>
                <w:color w:val="auto"/>
              </w:rPr>
            </w:pPr>
            <w:r>
              <w:rPr>
                <w:rFonts w:ascii="Arial" w:cs="Arial" w:eastAsia="Arial" w:hAnsi="Arial"/>
                <w:sz w:val="15"/>
                <w:szCs w:val="15"/>
                <w:b w:val="1"/>
                <w:bCs w:val="1"/>
                <w:color w:val="auto"/>
                <w:w w:val="92"/>
              </w:rPr>
              <w:t>December 31,</w:t>
            </w:r>
          </w:p>
        </w:tc>
        <w:tc>
          <w:tcPr>
            <w:tcW w:w="200" w:type="dxa"/>
            <w:vAlign w:val="bottom"/>
          </w:tcPr>
          <w:p>
            <w:pPr>
              <w:spacing w:after="0"/>
              <w:rPr>
                <w:sz w:val="13"/>
                <w:szCs w:val="13"/>
                <w:color w:val="auto"/>
              </w:rPr>
            </w:pPr>
          </w:p>
        </w:tc>
        <w:tc>
          <w:tcPr>
            <w:tcW w:w="1260" w:type="dxa"/>
            <w:vAlign w:val="bottom"/>
            <w:tcBorders>
              <w:top w:val="single" w:sz="8" w:color="auto"/>
            </w:tcBorders>
            <w:gridSpan w:val="2"/>
          </w:tcPr>
          <w:p>
            <w:pPr>
              <w:ind w:left="120"/>
              <w:spacing w:after="0" w:line="156" w:lineRule="exact"/>
              <w:rPr>
                <w:sz w:val="20"/>
                <w:szCs w:val="20"/>
                <w:color w:val="auto"/>
              </w:rPr>
            </w:pPr>
            <w:r>
              <w:rPr>
                <w:rFonts w:ascii="Arial" w:cs="Arial" w:eastAsia="Arial" w:hAnsi="Arial"/>
                <w:sz w:val="15"/>
                <w:szCs w:val="15"/>
                <w:b w:val="1"/>
                <w:bCs w:val="1"/>
                <w:color w:val="auto"/>
              </w:rPr>
              <w:t>September 30,</w:t>
            </w:r>
          </w:p>
        </w:tc>
        <w:tc>
          <w:tcPr>
            <w:tcW w:w="1180" w:type="dxa"/>
            <w:vAlign w:val="bottom"/>
            <w:tcBorders>
              <w:top w:val="single" w:sz="8" w:color="auto"/>
            </w:tcBorders>
          </w:tcPr>
          <w:p>
            <w:pPr>
              <w:jc w:val="right"/>
              <w:ind w:right="84"/>
              <w:spacing w:after="0" w:line="156" w:lineRule="exact"/>
              <w:rPr>
                <w:sz w:val="20"/>
                <w:szCs w:val="20"/>
                <w:color w:val="auto"/>
              </w:rPr>
            </w:pPr>
            <w:r>
              <w:rPr>
                <w:rFonts w:ascii="Arial" w:cs="Arial" w:eastAsia="Arial" w:hAnsi="Arial"/>
                <w:sz w:val="15"/>
                <w:szCs w:val="15"/>
                <w:b w:val="1"/>
                <w:bCs w:val="1"/>
                <w:color w:val="auto"/>
              </w:rPr>
              <w:t>December 31,</w:t>
            </w:r>
          </w:p>
        </w:tc>
        <w:tc>
          <w:tcPr>
            <w:tcW w:w="200" w:type="dxa"/>
            <w:vAlign w:val="bottom"/>
          </w:tcPr>
          <w:p>
            <w:pPr>
              <w:spacing w:after="0"/>
              <w:rPr>
                <w:sz w:val="13"/>
                <w:szCs w:val="13"/>
                <w:color w:val="auto"/>
              </w:rPr>
            </w:pPr>
          </w:p>
        </w:tc>
        <w:tc>
          <w:tcPr>
            <w:tcW w:w="1380" w:type="dxa"/>
            <w:vAlign w:val="bottom"/>
            <w:tcBorders>
              <w:top w:val="single" w:sz="8" w:color="auto"/>
            </w:tcBorders>
            <w:gridSpan w:val="2"/>
          </w:tcPr>
          <w:p>
            <w:pPr>
              <w:ind w:left="180"/>
              <w:spacing w:after="0" w:line="156" w:lineRule="exact"/>
              <w:rPr>
                <w:sz w:val="20"/>
                <w:szCs w:val="20"/>
                <w:color w:val="auto"/>
              </w:rPr>
            </w:pPr>
            <w:r>
              <w:rPr>
                <w:rFonts w:ascii="Arial" w:cs="Arial" w:eastAsia="Arial" w:hAnsi="Arial"/>
                <w:sz w:val="15"/>
                <w:szCs w:val="15"/>
                <w:b w:val="1"/>
                <w:bCs w:val="1"/>
                <w:color w:val="auto"/>
              </w:rPr>
              <w:t>September 30,</w:t>
            </w:r>
          </w:p>
        </w:tc>
        <w:tc>
          <w:tcPr>
            <w:tcW w:w="1300" w:type="dxa"/>
            <w:vAlign w:val="bottom"/>
            <w:tcBorders>
              <w:top w:val="single" w:sz="8" w:color="auto"/>
            </w:tcBorders>
          </w:tcPr>
          <w:p>
            <w:pPr>
              <w:spacing w:after="0"/>
              <w:rPr>
                <w:sz w:val="13"/>
                <w:szCs w:val="13"/>
                <w:color w:val="auto"/>
              </w:rPr>
            </w:pPr>
          </w:p>
        </w:tc>
      </w:tr>
      <w:tr>
        <w:trPr>
          <w:trHeight w:val="202"/>
        </w:trPr>
        <w:tc>
          <w:tcPr>
            <w:tcW w:w="3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3"/>
              </w:rPr>
              <w:t>December 31, 2022</w:t>
            </w:r>
          </w:p>
        </w:tc>
      </w:tr>
      <w:tr>
        <w:trPr>
          <w:trHeight w:val="200"/>
        </w:trPr>
        <w:tc>
          <w:tcPr>
            <w:tcW w:w="3280" w:type="dxa"/>
            <w:vAlign w:val="bottom"/>
            <w:shd w:val="clear" w:color="auto" w:fill="CCEEFF"/>
          </w:tcPr>
          <w:p>
            <w:pPr>
              <w:ind w:left="20"/>
              <w:spacing w:after="0" w:line="200" w:lineRule="exact"/>
              <w:rPr>
                <w:sz w:val="20"/>
                <w:szCs w:val="20"/>
                <w:color w:val="auto"/>
              </w:rPr>
            </w:pPr>
            <w:r>
              <w:rPr>
                <w:rFonts w:ascii="Arial" w:cs="Arial" w:eastAsia="Arial" w:hAnsi="Arial"/>
                <w:sz w:val="15"/>
                <w:szCs w:val="15"/>
                <w:color w:val="auto"/>
              </w:rPr>
              <w:t>Secured Debt</w:t>
            </w:r>
            <w:r>
              <w:rPr>
                <w:rFonts w:ascii="Arial" w:cs="Arial" w:eastAsia="Arial" w:hAnsi="Arial"/>
                <w:sz w:val="19"/>
                <w:szCs w:val="19"/>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3,217.8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3.81 %</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3.723 %</w:t>
            </w:r>
          </w:p>
        </w:tc>
      </w:tr>
      <w:tr>
        <w:trPr>
          <w:trHeight w:val="198"/>
        </w:trPr>
        <w:tc>
          <w:tcPr>
            <w:tcW w:w="3280" w:type="dxa"/>
            <w:vAlign w:val="bottom"/>
          </w:tcPr>
          <w:p>
            <w:pPr>
              <w:ind w:left="20"/>
              <w:spacing w:after="0"/>
              <w:rPr>
                <w:sz w:val="20"/>
                <w:szCs w:val="20"/>
                <w:color w:val="auto"/>
              </w:rPr>
            </w:pPr>
            <w:r>
              <w:rPr>
                <w:rFonts w:ascii="Arial" w:cs="Arial" w:eastAsia="Arial" w:hAnsi="Arial"/>
                <w:sz w:val="15"/>
                <w:szCs w:val="15"/>
                <w:color w:val="auto"/>
              </w:rPr>
              <w:t>Unsecured Debt</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3280" w:type="dxa"/>
            <w:vAlign w:val="bottom"/>
            <w:shd w:val="clear" w:color="auto" w:fill="CCEEFF"/>
          </w:tcPr>
          <w:p>
            <w:pPr>
              <w:ind w:left="140"/>
              <w:spacing w:after="0" w:line="206" w:lineRule="exact"/>
              <w:rPr>
                <w:sz w:val="20"/>
                <w:szCs w:val="20"/>
                <w:color w:val="auto"/>
              </w:rPr>
            </w:pPr>
            <w:r>
              <w:rPr>
                <w:rFonts w:ascii="Arial" w:cs="Arial" w:eastAsia="Arial" w:hAnsi="Arial"/>
                <w:sz w:val="15"/>
                <w:szCs w:val="15"/>
                <w:color w:val="auto"/>
              </w:rPr>
              <w:t>Senior unsecured notes</w:t>
            </w:r>
            <w:r>
              <w:rPr>
                <w:rFonts w:ascii="Arial" w:cs="Arial" w:eastAsia="Arial" w:hAnsi="Arial"/>
                <w:sz w:val="19"/>
                <w:szCs w:val="19"/>
                <w:color w:val="auto"/>
                <w:vertAlign w:val="superscript"/>
              </w:rPr>
              <w:t>(2)</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1,779.6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3.375 %</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2.9 %</w:t>
            </w:r>
          </w:p>
        </w:tc>
      </w:tr>
      <w:tr>
        <w:trPr>
          <w:trHeight w:val="203"/>
        </w:trPr>
        <w:tc>
          <w:tcPr>
            <w:tcW w:w="3280" w:type="dxa"/>
            <w:vAlign w:val="bottom"/>
          </w:tcPr>
          <w:p>
            <w:pPr>
              <w:ind w:left="140"/>
              <w:spacing w:after="0" w:line="203" w:lineRule="exact"/>
              <w:rPr>
                <w:sz w:val="20"/>
                <w:szCs w:val="20"/>
                <w:color w:val="auto"/>
              </w:rPr>
            </w:pPr>
            <w:r>
              <w:rPr>
                <w:rFonts w:ascii="Arial" w:cs="Arial" w:eastAsia="Arial" w:hAnsi="Arial"/>
                <w:sz w:val="15"/>
                <w:szCs w:val="15"/>
                <w:color w:val="auto"/>
              </w:rPr>
              <w:t>Line of credit and other debt</w:t>
            </w:r>
            <w:r>
              <w:rPr>
                <w:rFonts w:ascii="Arial" w:cs="Arial" w:eastAsia="Arial" w:hAnsi="Arial"/>
                <w:sz w:val="19"/>
                <w:szCs w:val="19"/>
                <w:color w:val="auto"/>
                <w:vertAlign w:val="superscript"/>
              </w:rPr>
              <w:t>(3)</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2,084.9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2,130.6</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5.394 %</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4.417 %</w:t>
            </w:r>
          </w:p>
        </w:tc>
      </w:tr>
      <w:tr>
        <w:trPr>
          <w:trHeight w:val="162"/>
        </w:trPr>
        <w:tc>
          <w:tcPr>
            <w:tcW w:w="328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w w:val="97"/>
              </w:rPr>
              <w:t>Preferred equity - Sun NG Resorts - mandatorily</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02"/>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redeemable</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6.0 %</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6.0 %</w:t>
            </w:r>
          </w:p>
        </w:tc>
      </w:tr>
      <w:tr>
        <w:trPr>
          <w:trHeight w:val="198"/>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Preferred OP units - mandatorily redeemable</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0.3</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3.1</w:t>
            </w:r>
          </w:p>
        </w:tc>
        <w:tc>
          <w:tcPr>
            <w:tcW w:w="2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6.5 %</w:t>
            </w: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5.921 %</w:t>
            </w:r>
          </w:p>
        </w:tc>
      </w:tr>
      <w:tr>
        <w:trPr>
          <w:trHeight w:val="196"/>
        </w:trPr>
        <w:tc>
          <w:tcPr>
            <w:tcW w:w="3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Unsecured Debt</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4,305.5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3,979.4</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0"/>
        </w:trPr>
        <w:tc>
          <w:tcPr>
            <w:tcW w:w="3280" w:type="dxa"/>
            <w:vAlign w:val="bottom"/>
          </w:tcPr>
          <w:p>
            <w:pPr>
              <w:ind w:left="220"/>
              <w:spacing w:after="0"/>
              <w:rPr>
                <w:sz w:val="20"/>
                <w:szCs w:val="20"/>
                <w:color w:val="auto"/>
              </w:rPr>
            </w:pPr>
            <w:r>
              <w:rPr>
                <w:rFonts w:ascii="Arial" w:cs="Arial" w:eastAsia="Arial" w:hAnsi="Arial"/>
                <w:sz w:val="15"/>
                <w:szCs w:val="15"/>
                <w:color w:val="auto"/>
              </w:rPr>
              <w:t>Total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7,665.0</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7,197.2</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7.4</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4.131 %</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3.746 %</w:t>
            </w:r>
          </w:p>
        </w:tc>
      </w:tr>
      <w:tr>
        <w:trPr>
          <w:trHeight w:val="21"/>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76"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Balances at September 30, 2023 and December 31, 2022 include $0.1 million of net debt premium, respectively, and $15.1 million and $14.6 million of deferred financing costs, respectively.</w:t>
      </w:r>
    </w:p>
    <w:p>
      <w:pPr>
        <w:spacing w:after="0" w:line="57" w:lineRule="exact"/>
        <w:rPr>
          <w:rFonts w:ascii="Arial" w:cs="Arial" w:eastAsia="Arial" w:hAnsi="Arial"/>
          <w:sz w:val="17"/>
          <w:szCs w:val="17"/>
          <w:color w:val="auto"/>
          <w:vertAlign w:val="superscript"/>
        </w:rPr>
      </w:pPr>
    </w:p>
    <w:p>
      <w:pPr>
        <w:ind w:left="180" w:hanging="172"/>
        <w:spacing w:after="0" w:line="220" w:lineRule="auto"/>
        <w:tabs>
          <w:tab w:leader="none" w:pos="174"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Balances at September 30, 2023 and December 31, 2022 include $6.7 million and $6.1 million of net debt discount, respectively, and $16.4 million and $14.3 million of deferred financing costs, respectively. Weighted average interest rates include the impact of hedge activity.</w:t>
      </w:r>
    </w:p>
    <w:p>
      <w:pPr>
        <w:spacing w:after="0" w:line="47" w:lineRule="exact"/>
        <w:rPr>
          <w:rFonts w:ascii="Arial" w:cs="Arial" w:eastAsia="Arial" w:hAnsi="Arial"/>
          <w:sz w:val="19"/>
          <w:szCs w:val="19"/>
          <w:color w:val="auto"/>
          <w:vertAlign w:val="superscript"/>
        </w:rPr>
      </w:pPr>
    </w:p>
    <w:p>
      <w:pPr>
        <w:ind w:left="180" w:hanging="172"/>
        <w:spacing w:after="0" w:line="217" w:lineRule="auto"/>
        <w:tabs>
          <w:tab w:leader="none" w:pos="17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Balances at September 30, 2023 and December 31, 2022 include $2.0 million and $3.0 million of deferred financing costs, respectively. Weighted average interest rates include the impact of hedge activity.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Secured Debt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Secured debt consists of mortgage term loans. During the nine months ended September 30, 2023, no mortgage term loans were repaid. During the year ended December 31, 2022, we repaid the following mortgage term loans during the quarters presented below (in millions, except for statistical information):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44"/>
              <w:spacing w:after="0"/>
              <w:rPr>
                <w:sz w:val="20"/>
                <w:szCs w:val="20"/>
                <w:color w:val="auto"/>
              </w:rPr>
            </w:pPr>
            <w:r>
              <w:rPr>
                <w:rFonts w:ascii="Arial" w:cs="Arial" w:eastAsia="Arial" w:hAnsi="Arial"/>
                <w:sz w:val="15"/>
                <w:szCs w:val="15"/>
                <w:b w:val="1"/>
                <w:bCs w:val="1"/>
                <w:color w:val="auto"/>
                <w:w w:val="86"/>
              </w:rPr>
              <w:t>Loss on</w:t>
            </w:r>
          </w:p>
        </w:tc>
      </w:tr>
      <w:tr>
        <w:trPr>
          <w:trHeight w:val="158"/>
        </w:trPr>
        <w:tc>
          <w:tcPr>
            <w:tcW w:w="4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ind w:right="44"/>
              <w:spacing w:after="0" w:line="159" w:lineRule="exact"/>
              <w:rPr>
                <w:sz w:val="20"/>
                <w:szCs w:val="20"/>
                <w:color w:val="auto"/>
              </w:rPr>
            </w:pPr>
            <w:r>
              <w:rPr>
                <w:rFonts w:ascii="Arial" w:cs="Arial" w:eastAsia="Arial" w:hAnsi="Arial"/>
                <w:sz w:val="15"/>
                <w:szCs w:val="15"/>
                <w:b w:val="1"/>
                <w:bCs w:val="1"/>
                <w:color w:val="auto"/>
                <w:w w:val="93"/>
              </w:rPr>
              <w:t>Extinguishment of</w:t>
            </w:r>
          </w:p>
        </w:tc>
      </w:tr>
      <w:tr>
        <w:trPr>
          <w:trHeight w:val="202"/>
        </w:trPr>
        <w:tc>
          <w:tcPr>
            <w:tcW w:w="4460" w:type="dxa"/>
            <w:vAlign w:val="bottom"/>
            <w:tcBorders>
              <w:bottom w:val="single" w:sz="8" w:color="auto"/>
            </w:tcBorders>
          </w:tcPr>
          <w:p>
            <w:pPr>
              <w:ind w:left="2020"/>
              <w:spacing w:after="0"/>
              <w:rPr>
                <w:sz w:val="20"/>
                <w:szCs w:val="20"/>
                <w:color w:val="auto"/>
              </w:rPr>
            </w:pPr>
            <w:r>
              <w:rPr>
                <w:rFonts w:ascii="Arial" w:cs="Arial" w:eastAsia="Arial" w:hAnsi="Arial"/>
                <w:sz w:val="15"/>
                <w:szCs w:val="15"/>
                <w:b w:val="1"/>
                <w:bCs w:val="1"/>
                <w:color w:val="auto"/>
              </w:rPr>
              <w:t>Period</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3"/>
              </w:rPr>
              <w:t>Repayment Amount</w:t>
            </w:r>
          </w:p>
        </w:tc>
        <w:tc>
          <w:tcPr>
            <w:tcW w:w="26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Fixed Interest Rate</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rPr>
              <w:t>Maturity Date</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9"/>
              </w:rPr>
              <w:t>Debt</w:t>
            </w:r>
          </w:p>
        </w:tc>
      </w:tr>
      <w:tr>
        <w:trPr>
          <w:trHeight w:val="173"/>
        </w:trPr>
        <w:tc>
          <w:tcPr>
            <w:tcW w:w="4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December 6, 2022 -</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02"/>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Three months ended September 30, 2022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97"/>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4.81 %</w:t>
            </w:r>
          </w:p>
        </w:tc>
        <w:tc>
          <w:tcPr>
            <w:tcW w:w="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September 6, 2024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r>
      <w:tr>
        <w:trPr>
          <w:trHeight w:val="194"/>
        </w:trPr>
        <w:tc>
          <w:tcPr>
            <w:tcW w:w="4540" w:type="dxa"/>
            <w:vAlign w:val="bottom"/>
            <w:gridSpan w:val="2"/>
          </w:tcPr>
          <w:p>
            <w:pPr>
              <w:ind w:left="20"/>
              <w:spacing w:after="0"/>
              <w:rPr>
                <w:sz w:val="20"/>
                <w:szCs w:val="20"/>
                <w:color w:val="auto"/>
              </w:rPr>
            </w:pPr>
            <w:r>
              <w:rPr>
                <w:rFonts w:ascii="Arial" w:cs="Arial" w:eastAsia="Arial" w:hAnsi="Arial"/>
                <w:sz w:val="15"/>
                <w:szCs w:val="15"/>
                <w:color w:val="auto"/>
              </w:rPr>
              <w:t>Three months ended June 30, 2022</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15.8</w:t>
            </w:r>
          </w:p>
        </w:tc>
        <w:tc>
          <w:tcPr>
            <w:tcW w:w="2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3.89 %</w:t>
            </w:r>
          </w:p>
        </w:tc>
        <w:tc>
          <w:tcPr>
            <w:tcW w:w="8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Arial" w:cs="Arial" w:eastAsia="Arial" w:hAnsi="Arial"/>
                <w:sz w:val="15"/>
                <w:szCs w:val="15"/>
                <w:color w:val="auto"/>
              </w:rPr>
              <w:t>October 1, 2022</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73"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17 mortgage term loans which were scheduled to mature from December 6, 2022 to September 6, 2024, and were secured by 35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nine months ended September 30, 2023 and the year ended December 31, 2022, we entered into the following mortgage term loans during the quarters presented below (in millions, except for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80" w:type="dxa"/>
            <w:vAlign w:val="bottom"/>
          </w:tcPr>
          <w:p>
            <w:pPr>
              <w:ind w:left="2040"/>
              <w:spacing w:after="0"/>
              <w:rPr>
                <w:sz w:val="20"/>
                <w:szCs w:val="20"/>
                <w:color w:val="auto"/>
              </w:rPr>
            </w:pPr>
            <w:r>
              <w:rPr>
                <w:rFonts w:ascii="Arial" w:cs="Arial" w:eastAsia="Arial" w:hAnsi="Arial"/>
                <w:sz w:val="15"/>
                <w:szCs w:val="15"/>
                <w:b w:val="1"/>
                <w:bCs w:val="1"/>
                <w:color w:val="auto"/>
              </w:rPr>
              <w:t>Period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224"/>
              <w:spacing w:after="0"/>
              <w:rPr>
                <w:sz w:val="20"/>
                <w:szCs w:val="20"/>
                <w:color w:val="auto"/>
              </w:rPr>
            </w:pPr>
            <w:r>
              <w:rPr>
                <w:rFonts w:ascii="Arial" w:cs="Arial" w:eastAsia="Arial" w:hAnsi="Arial"/>
                <w:sz w:val="15"/>
                <w:szCs w:val="15"/>
                <w:b w:val="1"/>
                <w:bCs w:val="1"/>
                <w:color w:val="auto"/>
              </w:rPr>
              <w:t>Loan Amount</w:t>
            </w:r>
          </w:p>
        </w:tc>
        <w:tc>
          <w:tcPr>
            <w:tcW w:w="400" w:type="dxa"/>
            <w:vAlign w:val="bottom"/>
          </w:tcPr>
          <w:p>
            <w:pPr>
              <w:spacing w:after="0"/>
              <w:rPr>
                <w:sz w:val="17"/>
                <w:szCs w:val="17"/>
                <w:color w:val="auto"/>
              </w:rPr>
            </w:pPr>
          </w:p>
        </w:tc>
        <w:tc>
          <w:tcPr>
            <w:tcW w:w="1520" w:type="dxa"/>
            <w:vAlign w:val="bottom"/>
            <w:gridSpan w:val="2"/>
          </w:tcPr>
          <w:p>
            <w:pPr>
              <w:ind w:left="220"/>
              <w:spacing w:after="0"/>
              <w:rPr>
                <w:sz w:val="20"/>
                <w:szCs w:val="20"/>
                <w:color w:val="auto"/>
              </w:rPr>
            </w:pPr>
            <w:r>
              <w:rPr>
                <w:rFonts w:ascii="Arial" w:cs="Arial" w:eastAsia="Arial" w:hAnsi="Arial"/>
                <w:sz w:val="15"/>
                <w:szCs w:val="15"/>
                <w:b w:val="1"/>
                <w:bCs w:val="1"/>
                <w:color w:val="auto"/>
              </w:rPr>
              <w:t>Term (in years)</w:t>
            </w:r>
          </w:p>
        </w:tc>
        <w:tc>
          <w:tcPr>
            <w:tcW w:w="1640" w:type="dxa"/>
            <w:vAlign w:val="bottom"/>
            <w:gridSpan w:val="2"/>
          </w:tcPr>
          <w:p>
            <w:pPr>
              <w:ind w:left="360"/>
              <w:spacing w:after="0"/>
              <w:rPr>
                <w:sz w:val="20"/>
                <w:szCs w:val="20"/>
                <w:color w:val="auto"/>
              </w:rPr>
            </w:pPr>
            <w:r>
              <w:rPr>
                <w:rFonts w:ascii="Arial" w:cs="Arial" w:eastAsia="Arial" w:hAnsi="Arial"/>
                <w:sz w:val="15"/>
                <w:szCs w:val="15"/>
                <w:b w:val="1"/>
                <w:bCs w:val="1"/>
                <w:color w:val="auto"/>
              </w:rPr>
              <w:t>Interest Rate</w:t>
            </w:r>
          </w:p>
        </w:tc>
        <w:tc>
          <w:tcPr>
            <w:tcW w:w="1560" w:type="dxa"/>
            <w:vAlign w:val="bottom"/>
          </w:tcPr>
          <w:p>
            <w:pPr>
              <w:ind w:left="300"/>
              <w:spacing w:after="0"/>
              <w:rPr>
                <w:sz w:val="20"/>
                <w:szCs w:val="20"/>
                <w:color w:val="auto"/>
              </w:rPr>
            </w:pPr>
            <w:r>
              <w:rPr>
                <w:rFonts w:ascii="Arial" w:cs="Arial" w:eastAsia="Arial" w:hAnsi="Arial"/>
                <w:sz w:val="15"/>
                <w:szCs w:val="15"/>
                <w:b w:val="1"/>
                <w:bCs w:val="1"/>
                <w:color w:val="auto"/>
              </w:rPr>
              <w:t>Maturity Date</w:t>
            </w:r>
          </w:p>
        </w:tc>
      </w:tr>
      <w:tr>
        <w:trPr>
          <w:trHeight w:val="192"/>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Three months ended March 31, 2023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85.0</w:t>
            </w:r>
          </w:p>
        </w:tc>
        <w:tc>
          <w:tcPr>
            <w:tcW w:w="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5.0 %</w:t>
            </w:r>
          </w:p>
        </w:tc>
        <w:tc>
          <w:tcPr>
            <w:tcW w:w="8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February 13, 2026</w:t>
            </w:r>
          </w:p>
        </w:tc>
      </w:tr>
      <w:tr>
        <w:trPr>
          <w:trHeight w:val="170"/>
        </w:trPr>
        <w:tc>
          <w:tcPr>
            <w:tcW w:w="4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ind w:left="20"/>
              <w:spacing w:after="0" w:line="170" w:lineRule="exact"/>
              <w:rPr>
                <w:sz w:val="20"/>
                <w:szCs w:val="20"/>
                <w:color w:val="auto"/>
              </w:rPr>
            </w:pPr>
            <w:r>
              <w:rPr>
                <w:rFonts w:ascii="Arial" w:cs="Arial" w:eastAsia="Arial" w:hAnsi="Arial"/>
                <w:sz w:val="15"/>
                <w:szCs w:val="15"/>
                <w:color w:val="auto"/>
              </w:rPr>
              <w:t>April 1, 2030 - April 1,</w:t>
            </w:r>
          </w:p>
        </w:tc>
      </w:tr>
      <w:tr>
        <w:trPr>
          <w:trHeight w:val="202"/>
        </w:trPr>
        <w:tc>
          <w:tcPr>
            <w:tcW w:w="4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99.1</w:t>
            </w:r>
          </w:p>
        </w:tc>
        <w:tc>
          <w:tcPr>
            <w:tcW w:w="400" w:type="dxa"/>
            <w:vAlign w:val="bottom"/>
            <w:shd w:val="clear" w:color="auto" w:fill="CCEEFF"/>
          </w:tcPr>
          <w:p>
            <w:pPr>
              <w:ind w:left="20"/>
              <w:spacing w:after="0"/>
              <w:rPr>
                <w:sz w:val="20"/>
                <w:szCs w:val="20"/>
                <w:color w:val="auto"/>
              </w:rPr>
            </w:pPr>
            <w:r>
              <w:rPr>
                <w:rFonts w:ascii="Arial" w:cs="Arial" w:eastAsia="Arial" w:hAnsi="Arial"/>
                <w:sz w:val="10"/>
                <w:szCs w:val="10"/>
                <w:color w:val="auto"/>
              </w:rPr>
              <w:t>(2)</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7 - 10</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5.72 %</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2033</w:t>
            </w:r>
          </w:p>
        </w:tc>
      </w:tr>
      <w:tr>
        <w:trPr>
          <w:trHeight w:val="162"/>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ind w:left="20"/>
              <w:spacing w:after="0" w:line="162" w:lineRule="exact"/>
              <w:rPr>
                <w:sz w:val="20"/>
                <w:szCs w:val="20"/>
                <w:color w:val="auto"/>
              </w:rPr>
            </w:pPr>
            <w:r>
              <w:rPr>
                <w:rFonts w:ascii="Arial" w:cs="Arial" w:eastAsia="Arial" w:hAnsi="Arial"/>
                <w:sz w:val="15"/>
                <w:szCs w:val="15"/>
                <w:color w:val="auto"/>
              </w:rPr>
              <w:t>June 15, 2026 -</w:t>
            </w:r>
          </w:p>
        </w:tc>
      </w:tr>
      <w:tr>
        <w:trPr>
          <w:trHeight w:val="198"/>
        </w:trPr>
        <w:tc>
          <w:tcPr>
            <w:tcW w:w="4480" w:type="dxa"/>
            <w:vAlign w:val="bottom"/>
          </w:tcPr>
          <w:p>
            <w:pPr>
              <w:ind w:left="20"/>
              <w:spacing w:after="0"/>
              <w:rPr>
                <w:sz w:val="20"/>
                <w:szCs w:val="20"/>
                <w:color w:val="auto"/>
              </w:rPr>
            </w:pPr>
            <w:r>
              <w:rPr>
                <w:rFonts w:ascii="Arial" w:cs="Arial" w:eastAsia="Arial" w:hAnsi="Arial"/>
                <w:sz w:val="15"/>
                <w:szCs w:val="15"/>
                <w:color w:val="auto"/>
              </w:rPr>
              <w:t>Three months ended December 31, 2022</w:t>
            </w:r>
          </w:p>
        </w:tc>
        <w:tc>
          <w:tcPr>
            <w:tcW w:w="30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226.0</w:t>
            </w:r>
          </w:p>
        </w:tc>
        <w:tc>
          <w:tcPr>
            <w:tcW w:w="400" w:type="dxa"/>
            <w:vAlign w:val="bottom"/>
          </w:tcPr>
          <w:p>
            <w:pPr>
              <w:ind w:left="20"/>
              <w:spacing w:after="0"/>
              <w:rPr>
                <w:sz w:val="20"/>
                <w:szCs w:val="20"/>
                <w:color w:val="auto"/>
              </w:rPr>
            </w:pPr>
            <w:r>
              <w:rPr>
                <w:rFonts w:ascii="Arial" w:cs="Arial" w:eastAsia="Arial" w:hAnsi="Arial"/>
                <w:sz w:val="10"/>
                <w:szCs w:val="10"/>
                <w:color w:val="auto"/>
              </w:rPr>
              <w:t>(3)</w:t>
            </w:r>
          </w:p>
        </w:tc>
        <w:tc>
          <w:tcPr>
            <w:tcW w:w="1440" w:type="dxa"/>
            <w:vAlign w:val="bottom"/>
          </w:tcPr>
          <w:p>
            <w:pPr>
              <w:jc w:val="right"/>
              <w:spacing w:after="0"/>
              <w:rPr>
                <w:sz w:val="20"/>
                <w:szCs w:val="20"/>
                <w:color w:val="auto"/>
              </w:rPr>
            </w:pPr>
            <w:r>
              <w:rPr>
                <w:rFonts w:ascii="Arial" w:cs="Arial" w:eastAsia="Arial" w:hAnsi="Arial"/>
                <w:sz w:val="15"/>
                <w:szCs w:val="15"/>
                <w:color w:val="auto"/>
              </w:rPr>
              <w:t>4 - 7</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4.5 %</w:t>
            </w:r>
          </w:p>
        </w:tc>
        <w:tc>
          <w:tcPr>
            <w:tcW w:w="80" w:type="dxa"/>
            <w:vAlign w:val="bottom"/>
          </w:tcPr>
          <w:p>
            <w:pPr>
              <w:spacing w:after="0"/>
              <w:rPr>
                <w:sz w:val="17"/>
                <w:szCs w:val="17"/>
                <w:color w:val="auto"/>
              </w:rPr>
            </w:pPr>
          </w:p>
        </w:tc>
        <w:tc>
          <w:tcPr>
            <w:tcW w:w="1560" w:type="dxa"/>
            <w:vAlign w:val="bottom"/>
          </w:tcPr>
          <w:p>
            <w:pPr>
              <w:ind w:left="20"/>
              <w:spacing w:after="0"/>
              <w:rPr>
                <w:sz w:val="20"/>
                <w:szCs w:val="20"/>
                <w:color w:val="auto"/>
              </w:rPr>
            </w:pPr>
            <w:r>
              <w:rPr>
                <w:rFonts w:ascii="Arial" w:cs="Arial" w:eastAsia="Arial" w:hAnsi="Arial"/>
                <w:sz w:val="15"/>
                <w:szCs w:val="15"/>
                <w:color w:val="auto"/>
              </w:rPr>
              <w:t>December 15, 2029</w:t>
            </w: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Three months ended September 30, 2022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w:t>
            </w:r>
          </w:p>
        </w:tc>
        <w:tc>
          <w:tcPr>
            <w:tcW w:w="400" w:type="dxa"/>
            <w:vAlign w:val="bottom"/>
            <w:shd w:val="clear" w:color="auto" w:fill="CCEEFF"/>
          </w:tcPr>
          <w:p>
            <w:pPr>
              <w:ind w:left="20"/>
              <w:spacing w:after="0"/>
              <w:rPr>
                <w:sz w:val="20"/>
                <w:szCs w:val="20"/>
                <w:color w:val="auto"/>
              </w:rPr>
            </w:pPr>
            <w:r>
              <w:rPr>
                <w:rFonts w:ascii="Arial" w:cs="Arial" w:eastAsia="Arial" w:hAnsi="Arial"/>
                <w:sz w:val="10"/>
                <w:szCs w:val="10"/>
                <w:color w:val="auto"/>
              </w:rPr>
              <w:t>(4)(5)</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August 10, 2047</w:t>
            </w:r>
          </w:p>
        </w:tc>
      </w:tr>
      <w:tr>
        <w:trPr>
          <w:trHeight w:val="224"/>
        </w:trPr>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400" w:type="dxa"/>
            <w:vAlign w:val="bottom"/>
            <w:shd w:val="clear" w:color="auto" w:fill="CCEEFF"/>
          </w:tcPr>
          <w:p>
            <w:pPr>
              <w:ind w:left="20"/>
              <w:spacing w:after="0"/>
              <w:rPr>
                <w:sz w:val="20"/>
                <w:szCs w:val="20"/>
                <w:color w:val="auto"/>
              </w:rPr>
            </w:pPr>
            <w:r>
              <w:rPr>
                <w:rFonts w:ascii="Arial" w:cs="Arial" w:eastAsia="Arial" w:hAnsi="Arial"/>
                <w:sz w:val="10"/>
                <w:szCs w:val="10"/>
                <w:color w:val="auto"/>
              </w:rPr>
              <w:t>(5)</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August 10, 2047</w:t>
            </w:r>
          </w:p>
        </w:tc>
      </w:tr>
    </w:tbl>
    <w:p>
      <w:pPr>
        <w:spacing w:after="0" w:line="65"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Includes five existing encumbered properties.</w:t>
      </w:r>
    </w:p>
    <w:p>
      <w:pPr>
        <w:spacing w:after="0" w:line="57"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Includes 22 existing encumbered properties.</w:t>
      </w:r>
    </w:p>
    <w:p>
      <w:pPr>
        <w:spacing w:after="0" w:line="57"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Includes 18 existing encumbered properties.</w:t>
      </w:r>
    </w:p>
    <w:p>
      <w:pPr>
        <w:spacing w:after="0" w:line="57"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Represents a construction loan (undrawn as of September 30, 2023).</w:t>
      </w:r>
    </w:p>
    <w:p>
      <w:pPr>
        <w:spacing w:after="0" w:line="4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0"/>
        </w:numPr>
        <w:rPr>
          <w:rFonts w:ascii="Arial" w:cs="Arial" w:eastAsia="Arial" w:hAnsi="Arial"/>
          <w:sz w:val="9"/>
          <w:szCs w:val="9"/>
          <w:color w:val="auto"/>
        </w:rPr>
      </w:pPr>
      <w:r>
        <w:rPr>
          <w:rFonts w:ascii="Arial" w:cs="Arial" w:eastAsia="Arial" w:hAnsi="Arial"/>
          <w:sz w:val="14"/>
          <w:szCs w:val="14"/>
          <w:color w:val="auto"/>
        </w:rPr>
        <w:t>Represents loans jointly secured by one property.</w:t>
      </w:r>
    </w:p>
    <w:p>
      <w:pPr>
        <w:spacing w:after="0" w:line="25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mortgage term loans, which total $3.4 billion as of September 30, 2023, are secured by 154 properties comprised of 61,653 sites representing approximately $2.7 billion of net book value. Refer to Note 19, "Subsequent Events," for activity subsequent to September 30,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Unsecured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certain information regarding our outstanding senior unsecured notes (in millions, except for statistical information). All senior unsecured notes include interest payments on a semi-annual basis in arrears, and are recorded in the Unsecured debt line item on the Consolidated 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4"/>
          </w:tcPr>
          <w:p>
            <w:pPr>
              <w:jc w:val="right"/>
              <w:ind w:right="1124"/>
              <w:spacing w:after="0"/>
              <w:rPr>
                <w:sz w:val="20"/>
                <w:szCs w:val="20"/>
                <w:color w:val="auto"/>
              </w:rPr>
            </w:pPr>
            <w:r>
              <w:rPr>
                <w:rFonts w:ascii="Arial" w:cs="Arial" w:eastAsia="Arial" w:hAnsi="Arial"/>
                <w:sz w:val="15"/>
                <w:szCs w:val="15"/>
                <w:b w:val="1"/>
                <w:bCs w:val="1"/>
                <w:color w:val="auto"/>
              </w:rPr>
              <w:t>Carrying Amount</w:t>
            </w:r>
          </w:p>
        </w:tc>
      </w:tr>
      <w:tr>
        <w:trPr>
          <w:trHeight w:val="200"/>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Arial" w:cs="Arial" w:eastAsia="Arial" w:hAnsi="Arial"/>
                <w:sz w:val="15"/>
                <w:szCs w:val="15"/>
                <w:b w:val="1"/>
                <w:bCs w:val="1"/>
                <w:color w:val="auto"/>
              </w:rPr>
              <w:t>Principal Amount</w:t>
            </w:r>
          </w:p>
        </w:tc>
        <w:tc>
          <w:tcPr>
            <w:tcW w:w="160" w:type="dxa"/>
            <w:vAlign w:val="bottom"/>
          </w:tcPr>
          <w:p>
            <w:pPr>
              <w:spacing w:after="0"/>
              <w:rPr>
                <w:sz w:val="17"/>
                <w:szCs w:val="17"/>
                <w:color w:val="auto"/>
              </w:rPr>
            </w:pPr>
          </w:p>
        </w:tc>
        <w:tc>
          <w:tcPr>
            <w:tcW w:w="16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2023</w:t>
            </w:r>
          </w:p>
        </w:tc>
        <w:tc>
          <w:tcPr>
            <w:tcW w:w="180" w:type="dxa"/>
            <w:vAlign w:val="bottom"/>
          </w:tcPr>
          <w:p>
            <w:pPr>
              <w:spacing w:after="0"/>
              <w:rPr>
                <w:sz w:val="17"/>
                <w:szCs w:val="17"/>
                <w:color w:val="auto"/>
              </w:rPr>
            </w:pPr>
          </w:p>
        </w:tc>
        <w:tc>
          <w:tcPr>
            <w:tcW w:w="1560" w:type="dxa"/>
            <w:vAlign w:val="bottom"/>
          </w:tcPr>
          <w:p>
            <w:pPr>
              <w:jc w:val="right"/>
              <w:ind w:right="184"/>
              <w:spacing w:after="0"/>
              <w:rPr>
                <w:sz w:val="20"/>
                <w:szCs w:val="20"/>
                <w:color w:val="auto"/>
              </w:rPr>
            </w:pPr>
            <w:r>
              <w:rPr>
                <w:rFonts w:ascii="Arial" w:cs="Arial" w:eastAsia="Arial" w:hAnsi="Arial"/>
                <w:sz w:val="15"/>
                <w:szCs w:val="15"/>
                <w:b w:val="1"/>
                <w:bCs w:val="1"/>
                <w:color w:val="auto"/>
                <w:w w:val="94"/>
              </w:rPr>
              <w:t>December 31, 2022</w:t>
            </w:r>
          </w:p>
        </w:tc>
      </w:tr>
      <w:tr>
        <w:trPr>
          <w:trHeight w:val="198"/>
        </w:trPr>
        <w:tc>
          <w:tcPr>
            <w:tcW w:w="5860" w:type="dxa"/>
            <w:vAlign w:val="bottom"/>
            <w:tcBorders>
              <w:top w:val="single" w:sz="8" w:color="CCEEFF"/>
            </w:tcBorders>
            <w:shd w:val="clear" w:color="auto" w:fill="CCEEFF"/>
          </w:tcPr>
          <w:p>
            <w:pPr>
              <w:ind w:left="20"/>
              <w:spacing w:after="0" w:line="198" w:lineRule="exact"/>
              <w:rPr>
                <w:sz w:val="20"/>
                <w:szCs w:val="20"/>
                <w:color w:val="auto"/>
              </w:rPr>
            </w:pPr>
            <w:r>
              <w:rPr>
                <w:rFonts w:ascii="Arial" w:cs="Arial" w:eastAsia="Arial" w:hAnsi="Arial"/>
                <w:sz w:val="15"/>
                <w:szCs w:val="15"/>
                <w:color w:val="auto"/>
              </w:rPr>
              <w:t>5.7% notes, issued in January 2023 and due in January 2033</w:t>
            </w:r>
            <w:r>
              <w:rPr>
                <w:rFonts w:ascii="Arial" w:cs="Arial" w:eastAsia="Arial" w:hAnsi="Arial"/>
                <w:sz w:val="19"/>
                <w:szCs w:val="19"/>
                <w:color w:val="auto"/>
                <w:vertAlign w:val="superscript"/>
              </w:rPr>
              <w:t>(1)</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400.0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395.6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N/A</w:t>
            </w:r>
          </w:p>
        </w:tc>
      </w:tr>
      <w:tr>
        <w:trPr>
          <w:trHeight w:val="198"/>
        </w:trPr>
        <w:tc>
          <w:tcPr>
            <w:tcW w:w="5860" w:type="dxa"/>
            <w:vAlign w:val="bottom"/>
          </w:tcPr>
          <w:p>
            <w:pPr>
              <w:ind w:left="20"/>
              <w:spacing w:after="0"/>
              <w:rPr>
                <w:sz w:val="20"/>
                <w:szCs w:val="20"/>
                <w:color w:val="auto"/>
              </w:rPr>
            </w:pPr>
            <w:r>
              <w:rPr>
                <w:rFonts w:ascii="Arial" w:cs="Arial" w:eastAsia="Arial" w:hAnsi="Arial"/>
                <w:sz w:val="15"/>
                <w:szCs w:val="15"/>
                <w:color w:val="auto"/>
              </w:rPr>
              <w:t>4.2% notes, issued in April 2022 and due in April 2032</w:t>
            </w:r>
          </w:p>
        </w:tc>
        <w:tc>
          <w:tcPr>
            <w:tcW w:w="20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600.0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592.4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591.8</w:t>
            </w:r>
          </w:p>
        </w:tc>
      </w:tr>
      <w:tr>
        <w:trPr>
          <w:trHeight w:val="207"/>
        </w:trPr>
        <w:tc>
          <w:tcPr>
            <w:tcW w:w="5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2.3% notes, issued in October 2021 and due in November 2028</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446.2</w:t>
            </w:r>
          </w:p>
        </w:tc>
      </w:tr>
      <w:tr>
        <w:trPr>
          <w:trHeight w:val="198"/>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2.7% notes, issued in June 2021 and October 2021, and due in July 2031</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750.0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742.3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741.6</w:t>
            </w:r>
          </w:p>
        </w:tc>
      </w:tr>
      <w:tr>
        <w:trPr>
          <w:trHeight w:val="225"/>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2,200.0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2,176.9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1,779.6</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ind w:left="180" w:right="20" w:hanging="172"/>
        <w:spacing w:after="0" w:line="266" w:lineRule="auto"/>
        <w:tabs>
          <w:tab w:leader="none" w:pos="150"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In January 2023, the Operating Partnership issued $400.0 million of senior unsecured notes with an interest rate of 5.7% and a 10-year term, due January 15, 2033 (the "2033 Notes"). Interest on the notes is payable semi-annually in arrears on January 15 and July 15 of each year, beginning on July 15, 2023. The net proceeds from the offering were $395.3 million, after deducting underwriters' discounts and estimated offering expenses. We used the net proceeds from the offering to repay borrowings outstanding under our Senior Credit Facility.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2022, the Operating Partnership (as borrower), SUI (as guarantor), and certain lenders entered into Amendment No. 1 to the Fourth Amended and Restated Credit Agreement and Other Loan Documents (the "Credit Facility Amendment"), which amended our senior credit facility (the "Senior Credit Facility").</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Credit Facility Amendment increased the aggregate amount of our Senior Credit Facility to $4.2 billion with the ability to upsize the total borrowings by an additional $800.0 million, subject to certain conditions. The increased aggregate amount under the Senior Credit Facility consists of the following:</w:t>
      </w:r>
    </w:p>
    <w:p>
      <w:pPr>
        <w:jc w:val="both"/>
        <w:ind w:firstLine="8"/>
        <w:spacing w:after="0" w:line="253" w:lineRule="auto"/>
        <w:tabs>
          <w:tab w:leader="none" w:pos="2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revolving loan in an amount up to $3.05 billion and (b) a term loan facility of $1.15 billion, with the ability to draw funds from the combined facilities in U.S. dollars, Pound sterling, Euros, Canadian dollars and Australian dollars, subject to certain limitations. The Credit Facility Amendment extended the maturity date of the revolving loan facility to April 7, 2026. At our option that maturity date may be extended two additional six-month periods. In addition, the Credit Facility Amendment established the maturity date of the term loan facility under the Credit Facility Amendment as April 7, 2025, which may not be further extended.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Senior Credit Facility bears interest at a floating rate based on the Adjusted Term Secured Overnight Financing Rate ("SOFR"), the Adjusted Eurocurrency Rate, the Australian Bank Bill Swap Bid Rate ("BBSY"), the Daily Sterling Overnight Index Average ("SONIA") Rate or the Canadian Dollar Offered Rate, as applicable, plus a margin, in all cases, which can range from 0.725% to 1.6%, subject to certain adjustments. As of September 30, 2023, the margins based on our credit ratings were 0.85% on the revolving loan facility and 0.95% on the term loan facility. During the nine months ended September 30, 2023 and year ended December 31, 2022, we achieved sustainability related requirements resulting in a favorable 0.04% and 0.01% adjustments, respectively, to both margins.</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lenders' option, the Senior Credit Facility will become immediately due and payable upon an event of default under the Credit Facility Amendment. We had $1.0 billion and $1.1 billion of borrowings outstanding under the revolving loan as of September 30, 2023 and December 31, 2022, respectively. We also had $1.1 billion of borrowings outstanding under the term loan on the Senior Credit Facility as of September 30, 2023 and December 31, 2022, respectively. These balances are recorded in Unsecured debt on the Consolidated Balance Sheets.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Senior Credit Facility provides us with the ability to issue letters of credit. Our issuance of letters of credit does not increase our borrowings outstanding under the Senior Credit Facility, but does reduce the borrowing amount available. We had $16.7 million and $2.6 million of outstanding letters of credit at September 30, 2023 and December 31, 2022,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Term Loan</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October 2019, we assumed a $58.0 million secured term loan facility related to an acquisition. The term loan initially had a four-year term ending October 29, 2023, and bore interest at a floating rate based on the Eurodollar rate or Prime rate plus a margin ranging from 1.2% to 2.05%. Effective July 1, 2021, we amended the agreement to release the associated collateral, extend the term loan facility maturity date to October 29, 2025 and adjust the interest rate margin to a range from 0.8% to 1.6%. In August 2022, we amended the secured term loan facility to transition from the Eurodollar rate to SOFR. As of September 30, 2023, the margin based on our credit rating was 0.95%. The outstanding balance was $9.2 million at September 30, 2023 and $19.8 million at December 31, 2022, respectively. In accordance with the amended agreement, we achieved sustainability related requirements resulting in a favorable 0.01% adjustment to the margins. These balances are recorded in Unsecured debt on the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Equity - Sun NG Resorts - Mandatorily Redeemable</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investment in Sun NG Resorts in June 2018, unrelated third parties purchased $35.3 million of mandatorily redeemable Preferred Equity ("Preferred Equity - Sun NG Resorts") that carries a preferred rate of return of 6.0% per annum and has a seven-year term ending June 1, 2025. If we terminate the property management agreement related to the property, we must acquire NG Sun LLC's interest in such property, which, in addition to its Series B preferred equity interests and common equity interests allocated to such property, may include its and certain unrelated third parties' Preferred Equity - Sun NG Resorts allocated to such property. The Preferred Equity - Sun NG Resorts as of September 30, 2023 and December 31, 2022, respectively, was $35.2 million. This balance is recorded in Unsecured debt on the Consolidated Balance Sheets. Refer to Note 7, "Consolidated Variable Interest Entities," and Note 9, "Equity and Temporary Equity," 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OP Units - Mandatorily Redeemable</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September 30, 2023 and December 31, 2022, respectively, our Preferred OP units include $8.5 million and $34.0 million of Aspen preferred OP units. These balances are recorded in Unsecured debt on the Consolidated Balance Sheets. As of September 30, 2023, 314,934 of Aspen preferred OP units were outstanding and convertible into 104,544 common OP units.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2020, we amended the Operating Partnership's partnership agreement to extend the automatic redemption date and reduce the annual distribution rate for 270,000 of the Aspen preferred OP units (the "Extended Units"). The Extended Units redemption date was extended to January 1, 2034, and their distribution rate was lowered to 3.8%. During the three months ended March 31, 2023, all of the Extended Units, representing $7.3 million of unsecured debt, converted into common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the remaining Aspen preferred OP units, subject to certain limitations, at any time prior to January 1, 2024, the holder of each Aspen preferred OP unit may, at its option, convert such unit into: (a) if the average closing price of our common stock for the preceding ten trading days is $68.00 per share or less, 0.397 common OP units; or (b) if the 10-day average closing price is greater than $68.00 per share, a number of common OP units determined by dividing</w:t>
      </w:r>
    </w:p>
    <w:p>
      <w:pPr>
        <w:spacing w:after="0" w:line="2" w:lineRule="exact"/>
        <w:rPr>
          <w:sz w:val="20"/>
          <w:szCs w:val="20"/>
          <w:color w:val="auto"/>
        </w:rPr>
      </w:pPr>
    </w:p>
    <w:p>
      <w:pPr>
        <w:jc w:val="both"/>
        <w:ind w:firstLine="8"/>
        <w:spacing w:after="0" w:line="292" w:lineRule="auto"/>
        <w:tabs>
          <w:tab w:leader="none" w:pos="22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sum of (A) $27.00 plus (B) 25.0% of the amount by which the 10-day average closing price exceeds $68.00 per share, by (ii) the 10-day average closing price. The current preferred distribution rate on the remaining Aspen preferred OP units is 6.5%. On January 2, 2024, we are required to redeem for cash all Aspen preferred OP units that have not been converted to common OP units. During the nine months ended September 30, 2023, unit holders converted 673,885 of the remaining Aspen preferred OP units, representing $18.2 million of unsecured debt, into common equity and common OP units. Refer to Note 9, "Equity and Temporary Equity," for additional details related to Aspen preferred OP unit conversions</w:t>
      </w:r>
      <w:r>
        <w:rPr>
          <w:rFonts w:ascii="Arial" w:cs="Arial" w:eastAsia="Arial" w:hAnsi="Arial"/>
          <w:sz w:val="16"/>
          <w:szCs w:val="16"/>
          <w:color w:val="CC0099"/>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mortgage term loans, senior unsecured notes and Senior Credit Facility are subject to various financial and other covenants. The most restrictive covenants are pursuant to (a) the terms of the Senior Credit Facility, which contains a maximum leverage ratio, minimum fixed charge coverage ratio and maximum secured leverage ratio, and (b) the terms of the senior unsecured notes, which contain a total debt to total assets ratio, secured debt to total assets ratio, consolidated income available for debt service to debt service ratio and unencumbered total asset value to unsecured debt ratio. At September 30, 2023, we were in compliance with all financial covenants.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and any of our other subsidiaries or any other person or entity.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Capitalized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capitalize interest during the construction and development of our communities. Capitalized interest costs associated with construction and development activities during the three and nine months ended September 30, 2023 and 2022 were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gridSpan w:val="5"/>
          </w:tcPr>
          <w:p>
            <w:pPr>
              <w:ind w:left="82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3160" w:type="dxa"/>
            <w:vAlign w:val="bottom"/>
            <w:gridSpan w:val="4"/>
          </w:tcPr>
          <w:p>
            <w:pPr>
              <w:jc w:val="right"/>
              <w:ind w:right="924"/>
              <w:spacing w:after="0"/>
              <w:rPr>
                <w:sz w:val="20"/>
                <w:szCs w:val="20"/>
                <w:color w:val="auto"/>
              </w:rPr>
            </w:pPr>
            <w:r>
              <w:rPr>
                <w:rFonts w:ascii="Arial" w:cs="Arial" w:eastAsia="Arial" w:hAnsi="Arial"/>
                <w:sz w:val="15"/>
                <w:szCs w:val="15"/>
                <w:b w:val="1"/>
                <w:bCs w:val="1"/>
                <w:color w:val="auto"/>
              </w:rPr>
              <w:t>Nine Months Ended</w:t>
            </w:r>
          </w:p>
        </w:tc>
      </w:tr>
      <w:tr>
        <w:trPr>
          <w:trHeight w:val="198"/>
        </w:trPr>
        <w:tc>
          <w:tcPr>
            <w:tcW w:w="44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2"/>
              </w:rPr>
              <w:t>September 30, 2023</w:t>
            </w:r>
          </w:p>
        </w:tc>
        <w:tc>
          <w:tcPr>
            <w:tcW w:w="10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1"/>
              </w:rPr>
              <w:t>September 30, 2022</w:t>
            </w:r>
          </w:p>
        </w:tc>
        <w:tc>
          <w:tcPr>
            <w:tcW w:w="2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1"/>
              </w:rPr>
              <w:t>September 30, 2023</w:t>
            </w:r>
          </w:p>
        </w:tc>
        <w:tc>
          <w:tcPr>
            <w:tcW w:w="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2"/>
              </w:rPr>
              <w:t>September 30, 2022</w:t>
            </w:r>
          </w:p>
        </w:tc>
      </w:tr>
      <w:tr>
        <w:trPr>
          <w:trHeight w:val="198"/>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capitalized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and Temporary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Temporary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Preferred OP Units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Temporary equity includes preferred securities that are redeemable for cash at the holder's option or upon the occurrence of an event that is not solely within our control based on a fixed or determinable price. These securities are not mandatorily redeemable for cash nor do they contain a fixed maturity date. The following table sets forth the various series of redeemable preferred OP units that were outstanding as of September 30, 2023 and December 31, 2022 and the related terms, and summarizes the balance included within Temporary Equity on our Consolidated Balance Sheets (in millions, except for statistical information):</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4"/>
              </w:rPr>
              <w:t>OP Units Outstanding</w:t>
            </w:r>
          </w:p>
        </w:tc>
        <w:tc>
          <w:tcPr>
            <w:tcW w:w="80" w:type="dxa"/>
            <w:vAlign w:val="bottom"/>
          </w:tcPr>
          <w:p>
            <w:pPr>
              <w:spacing w:after="0"/>
              <w:rPr>
                <w:sz w:val="14"/>
                <w:szCs w:val="14"/>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Exchange</w:t>
            </w:r>
          </w:p>
        </w:tc>
        <w:tc>
          <w:tcPr>
            <w:tcW w:w="124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4"/>
              </w:rPr>
              <w:t>Annual</w:t>
            </w:r>
          </w:p>
        </w:tc>
        <w:tc>
          <w:tcPr>
            <w:tcW w:w="1240" w:type="dxa"/>
            <w:vAlign w:val="bottom"/>
            <w:gridSpan w:val="2"/>
            <w:vMerge w:val="restart"/>
          </w:tcPr>
          <w:p>
            <w:pPr>
              <w:ind w:left="420"/>
              <w:spacing w:after="0"/>
              <w:rPr>
                <w:sz w:val="20"/>
                <w:szCs w:val="20"/>
                <w:color w:val="auto"/>
              </w:rPr>
            </w:pPr>
            <w:r>
              <w:rPr>
                <w:rFonts w:ascii="Arial" w:cs="Arial" w:eastAsia="Arial" w:hAnsi="Arial"/>
                <w:sz w:val="15"/>
                <w:szCs w:val="15"/>
                <w:b w:val="1"/>
                <w:bCs w:val="1"/>
                <w:color w:val="auto"/>
              </w:rPr>
              <w:t>Cash</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4"/>
            <w:vMerge w:val="restart"/>
          </w:tcPr>
          <w:p>
            <w:pPr>
              <w:jc w:val="right"/>
              <w:ind w:right="944"/>
              <w:spacing w:after="0"/>
              <w:rPr>
                <w:sz w:val="20"/>
                <w:szCs w:val="20"/>
                <w:color w:val="auto"/>
              </w:rPr>
            </w:pPr>
            <w:r>
              <w:rPr>
                <w:rFonts w:ascii="Arial" w:cs="Arial" w:eastAsia="Arial" w:hAnsi="Arial"/>
                <w:sz w:val="15"/>
                <w:szCs w:val="15"/>
                <w:b w:val="1"/>
                <w:bCs w:val="1"/>
                <w:color w:val="auto"/>
              </w:rPr>
              <w:t>Carrying Amount</w:t>
            </w:r>
          </w:p>
        </w:tc>
        <w:tc>
          <w:tcPr>
            <w:tcW w:w="0" w:type="dxa"/>
            <w:vAlign w:val="bottom"/>
          </w:tcPr>
          <w:p>
            <w:pPr>
              <w:spacing w:after="0"/>
              <w:rPr>
                <w:sz w:val="1"/>
                <w:szCs w:val="1"/>
                <w:color w:val="auto"/>
              </w:rPr>
            </w:pPr>
          </w:p>
        </w:tc>
      </w:tr>
      <w:tr>
        <w:trPr>
          <w:trHeight w:val="139"/>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33" w:lineRule="exact"/>
              <w:rPr>
                <w:sz w:val="20"/>
                <w:szCs w:val="20"/>
                <w:color w:val="auto"/>
              </w:rPr>
            </w:pPr>
            <w:r>
              <w:rPr>
                <w:rFonts w:ascii="Arial" w:cs="Arial" w:eastAsia="Arial" w:hAnsi="Arial"/>
                <w:sz w:val="15"/>
                <w:szCs w:val="15"/>
                <w:b w:val="1"/>
                <w:bCs w:val="1"/>
                <w:color w:val="auto"/>
                <w:w w:val="94"/>
              </w:rPr>
              <w:t>Distribution</w:t>
            </w:r>
          </w:p>
        </w:tc>
        <w:tc>
          <w:tcPr>
            <w:tcW w:w="124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Description</w:t>
            </w: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8"/>
              </w:rPr>
              <w:t>September 30, 2023</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44"/>
              <w:spacing w:after="0" w:line="196" w:lineRule="exact"/>
              <w:rPr>
                <w:sz w:val="20"/>
                <w:szCs w:val="20"/>
                <w:color w:val="auto"/>
              </w:rPr>
            </w:pPr>
            <w:r>
              <w:rPr>
                <w:rFonts w:ascii="Arial" w:cs="Arial" w:eastAsia="Arial" w:hAnsi="Arial"/>
                <w:sz w:val="15"/>
                <w:szCs w:val="15"/>
                <w:b w:val="1"/>
                <w:bCs w:val="1"/>
                <w:color w:val="auto"/>
              </w:rPr>
              <w:t>Rate</w:t>
            </w:r>
            <w:r>
              <w:rPr>
                <w:rFonts w:ascii="Arial" w:cs="Arial" w:eastAsia="Arial" w:hAnsi="Arial"/>
                <w:sz w:val="19"/>
                <w:szCs w:val="19"/>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5"/>
                <w:szCs w:val="15"/>
                <w:b w:val="1"/>
                <w:bCs w:val="1"/>
                <w:color w:val="auto"/>
                <w:w w:val="87"/>
              </w:rPr>
              <w:t>Rate</w:t>
            </w:r>
            <w:r>
              <w:rPr>
                <w:rFonts w:ascii="Arial" w:cs="Arial" w:eastAsia="Arial" w:hAnsi="Arial"/>
                <w:sz w:val="19"/>
                <w:szCs w:val="19"/>
                <w:b w:val="1"/>
                <w:bCs w:val="1"/>
                <w:color w:val="auto"/>
                <w:w w:val="87"/>
                <w:vertAlign w:val="superscript"/>
              </w:rPr>
              <w:t>(2)</w:t>
            </w: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5"/>
                <w:szCs w:val="15"/>
                <w:b w:val="1"/>
                <w:bCs w:val="1"/>
                <w:color w:val="auto"/>
                <w:w w:val="99"/>
              </w:rPr>
              <w:t>Redemption</w:t>
            </w:r>
            <w:r>
              <w:rPr>
                <w:rFonts w:ascii="Arial" w:cs="Arial" w:eastAsia="Arial" w:hAnsi="Arial"/>
                <w:sz w:val="19"/>
                <w:szCs w:val="19"/>
                <w:b w:val="1"/>
                <w:bCs w:val="1"/>
                <w:color w:val="auto"/>
                <w:w w:val="99"/>
                <w:vertAlign w:val="superscript"/>
              </w:rPr>
              <w:t>(3)</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98"/>
              </w:rPr>
              <w:t>Redemption Period</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1"/>
              </w:rPr>
              <w:t>September 30, 2023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3"/>
              </w:rPr>
              <w:t>December 31, 2022</w:t>
            </w:r>
          </w:p>
        </w:tc>
        <w:tc>
          <w:tcPr>
            <w:tcW w:w="0" w:type="dxa"/>
            <w:vAlign w:val="bottom"/>
          </w:tcPr>
          <w:p>
            <w:pPr>
              <w:spacing w:after="0"/>
              <w:rPr>
                <w:sz w:val="1"/>
                <w:szCs w:val="1"/>
                <w:color w:val="auto"/>
              </w:rPr>
            </w:pPr>
          </w:p>
        </w:tc>
      </w:tr>
      <w:tr>
        <w:trPr>
          <w:trHeight w:val="156"/>
        </w:trPr>
        <w:tc>
          <w:tcPr>
            <w:tcW w:w="144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Series D preferred</w:t>
            </w: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Any time after earlier</w:t>
            </w: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40" w:type="dxa"/>
            <w:vAlign w:val="bottom"/>
            <w:gridSpan w:val="2"/>
            <w:vMerge w:val="continue"/>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488,958</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0.8000</w:t>
            </w:r>
          </w:p>
        </w:tc>
        <w:tc>
          <w:tcPr>
            <w:tcW w:w="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4.0 %</w:t>
            </w:r>
          </w:p>
        </w:tc>
        <w:tc>
          <w:tcPr>
            <w:tcW w:w="8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Holder's Option</w:t>
            </w:r>
          </w:p>
        </w:tc>
        <w:tc>
          <w:tcPr>
            <w:tcW w:w="15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5"/>
                <w:szCs w:val="15"/>
                <w:color w:val="auto"/>
              </w:rPr>
              <w:t>of January 31, 2024 or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48.2</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48.1</w:t>
            </w:r>
          </w:p>
        </w:tc>
        <w:tc>
          <w:tcPr>
            <w:tcW w:w="0" w:type="dxa"/>
            <w:vAlign w:val="bottom"/>
          </w:tcPr>
          <w:p>
            <w:pPr>
              <w:spacing w:after="0"/>
              <w:rPr>
                <w:sz w:val="1"/>
                <w:szCs w:val="1"/>
                <w:color w:val="auto"/>
              </w:rPr>
            </w:pPr>
          </w:p>
        </w:tc>
      </w:tr>
      <w:tr>
        <w:trPr>
          <w:trHeight w:val="202"/>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OP units</w:t>
            </w:r>
          </w:p>
        </w:tc>
        <w:tc>
          <w:tcPr>
            <w:tcW w:w="154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death of holder</w:t>
            </w:r>
          </w:p>
        </w:tc>
        <w:tc>
          <w:tcPr>
            <w:tcW w:w="120" w:type="dxa"/>
            <w:vAlign w:val="bottom"/>
            <w:vMerge w:val="continue"/>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40" w:type="dxa"/>
            <w:vAlign w:val="bottom"/>
            <w:gridSpan w:val="2"/>
            <w:vMerge w:val="restart"/>
          </w:tcPr>
          <w:p>
            <w:pPr>
              <w:ind w:left="20"/>
              <w:spacing w:after="0"/>
              <w:rPr>
                <w:sz w:val="20"/>
                <w:szCs w:val="20"/>
                <w:color w:val="auto"/>
              </w:rPr>
            </w:pPr>
            <w:r>
              <w:rPr>
                <w:rFonts w:ascii="Arial" w:cs="Arial" w:eastAsia="Arial" w:hAnsi="Arial"/>
                <w:sz w:val="15"/>
                <w:szCs w:val="15"/>
                <w:color w:val="auto"/>
              </w:rPr>
              <w:t>Series F preferred</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Any time after earlier</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40" w:type="dxa"/>
            <w:vAlign w:val="bottom"/>
            <w:gridSpan w:val="2"/>
            <w:vMerge w:val="continue"/>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90,000</w:t>
            </w:r>
          </w:p>
        </w:tc>
        <w:tc>
          <w:tcPr>
            <w:tcW w:w="940" w:type="dxa"/>
            <w:vAlign w:val="bottom"/>
            <w:gridSpan w:val="2"/>
            <w:vMerge w:val="restart"/>
          </w:tcPr>
          <w:p>
            <w:pPr>
              <w:jc w:val="right"/>
              <w:spacing w:after="0"/>
              <w:rPr>
                <w:sz w:val="20"/>
                <w:szCs w:val="20"/>
                <w:color w:val="auto"/>
              </w:rPr>
            </w:pPr>
            <w:r>
              <w:rPr>
                <w:rFonts w:ascii="Arial" w:cs="Arial" w:eastAsia="Arial" w:hAnsi="Arial"/>
                <w:sz w:val="15"/>
                <w:szCs w:val="15"/>
                <w:color w:val="auto"/>
              </w:rPr>
              <w:t>0.6250</w:t>
            </w:r>
          </w:p>
        </w:tc>
        <w:tc>
          <w:tcPr>
            <w:tcW w:w="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3.0 %</w:t>
            </w:r>
          </w:p>
        </w:tc>
        <w:tc>
          <w:tcPr>
            <w:tcW w:w="8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5"/>
                <w:szCs w:val="15"/>
                <w:color w:val="auto"/>
              </w:rPr>
              <w:t>Holder's Option</w:t>
            </w:r>
          </w:p>
        </w:tc>
        <w:tc>
          <w:tcPr>
            <w:tcW w:w="156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of May 14, 2025 or</w:t>
            </w:r>
          </w:p>
        </w:tc>
        <w:tc>
          <w:tcPr>
            <w:tcW w:w="120" w:type="dxa"/>
            <w:vAlign w:val="bottom"/>
          </w:tcPr>
          <w:p>
            <w:pPr>
              <w:spacing w:after="0"/>
              <w:rPr>
                <w:sz w:val="12"/>
                <w:szCs w:val="12"/>
                <w:color w:val="auto"/>
              </w:rPr>
            </w:pPr>
          </w:p>
        </w:tc>
        <w:tc>
          <w:tcPr>
            <w:tcW w:w="1440" w:type="dxa"/>
            <w:vAlign w:val="bottom"/>
            <w:vMerge w:val="restart"/>
          </w:tcPr>
          <w:p>
            <w:pPr>
              <w:jc w:val="right"/>
              <w:ind w:right="4"/>
              <w:spacing w:after="0"/>
              <w:rPr>
                <w:sz w:val="20"/>
                <w:szCs w:val="20"/>
                <w:color w:val="auto"/>
              </w:rPr>
            </w:pPr>
            <w:r>
              <w:rPr>
                <w:rFonts w:ascii="Arial" w:cs="Arial" w:eastAsia="Arial" w:hAnsi="Arial"/>
                <w:sz w:val="15"/>
                <w:szCs w:val="15"/>
                <w:color w:val="auto"/>
              </w:rPr>
              <w:t>8.7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98"/>
        </w:trPr>
        <w:tc>
          <w:tcPr>
            <w:tcW w:w="1440" w:type="dxa"/>
            <w:vAlign w:val="bottom"/>
            <w:gridSpan w:val="2"/>
          </w:tcPr>
          <w:p>
            <w:pPr>
              <w:ind w:left="20"/>
              <w:spacing w:after="0"/>
              <w:rPr>
                <w:sz w:val="20"/>
                <w:szCs w:val="20"/>
                <w:color w:val="auto"/>
              </w:rPr>
            </w:pPr>
            <w:r>
              <w:rPr>
                <w:rFonts w:ascii="Arial" w:cs="Arial" w:eastAsia="Arial" w:hAnsi="Arial"/>
                <w:sz w:val="15"/>
                <w:szCs w:val="15"/>
                <w:color w:val="auto"/>
              </w:rPr>
              <w:t>OP units</w:t>
            </w:r>
          </w:p>
        </w:tc>
        <w:tc>
          <w:tcPr>
            <w:tcW w:w="15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death of holder</w:t>
            </w:r>
          </w:p>
        </w:tc>
        <w:tc>
          <w:tcPr>
            <w:tcW w:w="12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44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Series G preferred</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5"/>
                <w:szCs w:val="15"/>
                <w:color w:val="auto"/>
              </w:rPr>
              <w:t>Any time after earlier</w:t>
            </w: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40" w:type="dxa"/>
            <w:vAlign w:val="bottom"/>
            <w:gridSpan w:val="2"/>
            <w:vMerge w:val="continue"/>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210,710</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0.6452</w:t>
            </w:r>
          </w:p>
        </w:tc>
        <w:tc>
          <w:tcPr>
            <w:tcW w:w="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3.2 %</w:t>
            </w:r>
          </w:p>
        </w:tc>
        <w:tc>
          <w:tcPr>
            <w:tcW w:w="8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Holder's Option</w:t>
            </w:r>
          </w:p>
        </w:tc>
        <w:tc>
          <w:tcPr>
            <w:tcW w:w="15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5"/>
                <w:szCs w:val="15"/>
                <w:color w:val="auto"/>
                <w:w w:val="99"/>
              </w:rPr>
              <w:t>of September 30, 2025</w:t>
            </w:r>
          </w:p>
        </w:tc>
        <w:tc>
          <w:tcPr>
            <w:tcW w:w="12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21.1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24.4</w:t>
            </w:r>
          </w:p>
        </w:tc>
        <w:tc>
          <w:tcPr>
            <w:tcW w:w="0" w:type="dxa"/>
            <w:vAlign w:val="bottom"/>
          </w:tcPr>
          <w:p>
            <w:pPr>
              <w:spacing w:after="0"/>
              <w:rPr>
                <w:sz w:val="1"/>
                <w:szCs w:val="1"/>
                <w:color w:val="auto"/>
              </w:rPr>
            </w:pPr>
          </w:p>
        </w:tc>
      </w:tr>
      <w:tr>
        <w:trPr>
          <w:trHeight w:val="202"/>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OP units</w:t>
            </w:r>
          </w:p>
        </w:tc>
        <w:tc>
          <w:tcPr>
            <w:tcW w:w="154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or death of holder</w:t>
            </w:r>
          </w:p>
        </w:tc>
        <w:tc>
          <w:tcPr>
            <w:tcW w:w="12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40" w:type="dxa"/>
            <w:vAlign w:val="bottom"/>
            <w:gridSpan w:val="2"/>
            <w:vMerge w:val="restart"/>
          </w:tcPr>
          <w:p>
            <w:pPr>
              <w:ind w:left="20"/>
              <w:spacing w:after="0"/>
              <w:rPr>
                <w:sz w:val="20"/>
                <w:szCs w:val="20"/>
                <w:color w:val="auto"/>
              </w:rPr>
            </w:pPr>
            <w:r>
              <w:rPr>
                <w:rFonts w:ascii="Arial" w:cs="Arial" w:eastAsia="Arial" w:hAnsi="Arial"/>
                <w:sz w:val="15"/>
                <w:szCs w:val="15"/>
                <w:color w:val="auto"/>
              </w:rPr>
              <w:t>Series H preferred</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Any time after earlier</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40" w:type="dxa"/>
            <w:vAlign w:val="bottom"/>
            <w:gridSpan w:val="2"/>
            <w:vMerge w:val="continue"/>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581,238</w:t>
            </w:r>
          </w:p>
        </w:tc>
        <w:tc>
          <w:tcPr>
            <w:tcW w:w="940" w:type="dxa"/>
            <w:vAlign w:val="bottom"/>
            <w:gridSpan w:val="2"/>
            <w:vMerge w:val="restart"/>
          </w:tcPr>
          <w:p>
            <w:pPr>
              <w:jc w:val="right"/>
              <w:spacing w:after="0"/>
              <w:rPr>
                <w:sz w:val="20"/>
                <w:szCs w:val="20"/>
                <w:color w:val="auto"/>
              </w:rPr>
            </w:pPr>
            <w:r>
              <w:rPr>
                <w:rFonts w:ascii="Arial" w:cs="Arial" w:eastAsia="Arial" w:hAnsi="Arial"/>
                <w:sz w:val="15"/>
                <w:szCs w:val="15"/>
                <w:color w:val="auto"/>
              </w:rPr>
              <w:t>0.6098</w:t>
            </w:r>
          </w:p>
        </w:tc>
        <w:tc>
          <w:tcPr>
            <w:tcW w:w="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3.0 %</w:t>
            </w:r>
          </w:p>
        </w:tc>
        <w:tc>
          <w:tcPr>
            <w:tcW w:w="8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5"/>
                <w:szCs w:val="15"/>
                <w:color w:val="auto"/>
              </w:rPr>
              <w:t>Holder's Option</w:t>
            </w:r>
          </w:p>
        </w:tc>
        <w:tc>
          <w:tcPr>
            <w:tcW w:w="156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of October 30, 2025 or</w:t>
            </w:r>
          </w:p>
        </w:tc>
        <w:tc>
          <w:tcPr>
            <w:tcW w:w="120" w:type="dxa"/>
            <w:vAlign w:val="bottom"/>
          </w:tcPr>
          <w:p>
            <w:pPr>
              <w:spacing w:after="0"/>
              <w:rPr>
                <w:sz w:val="12"/>
                <w:szCs w:val="12"/>
                <w:color w:val="auto"/>
              </w:rPr>
            </w:pPr>
          </w:p>
        </w:tc>
        <w:tc>
          <w:tcPr>
            <w:tcW w:w="1440" w:type="dxa"/>
            <w:vAlign w:val="bottom"/>
            <w:vMerge w:val="restart"/>
          </w:tcPr>
          <w:p>
            <w:pPr>
              <w:jc w:val="right"/>
              <w:ind w:right="4"/>
              <w:spacing w:after="0"/>
              <w:rPr>
                <w:sz w:val="20"/>
                <w:szCs w:val="20"/>
                <w:color w:val="auto"/>
              </w:rPr>
            </w:pPr>
            <w:r>
              <w:rPr>
                <w:rFonts w:ascii="Arial" w:cs="Arial" w:eastAsia="Arial" w:hAnsi="Arial"/>
                <w:sz w:val="15"/>
                <w:szCs w:val="15"/>
                <w:color w:val="auto"/>
              </w:rPr>
              <w:t>56.5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56.7</w:t>
            </w:r>
          </w:p>
        </w:tc>
        <w:tc>
          <w:tcPr>
            <w:tcW w:w="0" w:type="dxa"/>
            <w:vAlign w:val="bottom"/>
          </w:tcPr>
          <w:p>
            <w:pPr>
              <w:spacing w:after="0"/>
              <w:rPr>
                <w:sz w:val="1"/>
                <w:szCs w:val="1"/>
                <w:color w:val="auto"/>
              </w:rPr>
            </w:pPr>
          </w:p>
        </w:tc>
      </w:tr>
      <w:tr>
        <w:trPr>
          <w:trHeight w:val="198"/>
        </w:trPr>
        <w:tc>
          <w:tcPr>
            <w:tcW w:w="1440" w:type="dxa"/>
            <w:vAlign w:val="bottom"/>
            <w:gridSpan w:val="2"/>
          </w:tcPr>
          <w:p>
            <w:pPr>
              <w:ind w:left="20"/>
              <w:spacing w:after="0"/>
              <w:rPr>
                <w:sz w:val="20"/>
                <w:szCs w:val="20"/>
                <w:color w:val="auto"/>
              </w:rPr>
            </w:pPr>
            <w:r>
              <w:rPr>
                <w:rFonts w:ascii="Arial" w:cs="Arial" w:eastAsia="Arial" w:hAnsi="Arial"/>
                <w:sz w:val="15"/>
                <w:szCs w:val="15"/>
                <w:color w:val="auto"/>
              </w:rPr>
              <w:t>OP units</w:t>
            </w:r>
          </w:p>
        </w:tc>
        <w:tc>
          <w:tcPr>
            <w:tcW w:w="15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death of holder</w:t>
            </w:r>
          </w:p>
        </w:tc>
        <w:tc>
          <w:tcPr>
            <w:tcW w:w="12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5"/>
                <w:szCs w:val="15"/>
                <w:color w:val="auto"/>
              </w:rPr>
              <w:t>During the 30-day</w:t>
            </w: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5"/>
                <w:szCs w:val="15"/>
                <w:color w:val="auto"/>
              </w:rPr>
              <w:t>period following a</w:t>
            </w: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5"/>
                <w:szCs w:val="15"/>
                <w:color w:val="auto"/>
              </w:rPr>
              <w:t>change of control of</w:t>
            </w: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w w:val="96"/>
              </w:rPr>
              <w:t>Series J preferred OP</w:t>
            </w: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5"/>
                <w:szCs w:val="15"/>
                <w:color w:val="auto"/>
              </w:rPr>
              <w:t>the Company or any</w:t>
            </w: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40" w:type="dxa"/>
            <w:vAlign w:val="bottom"/>
            <w:gridSpan w:val="2"/>
            <w:vMerge w:val="continue"/>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time after April 21,</w:t>
            </w: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units</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0.6061</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2.85 %</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Holder's Option</w:t>
            </w:r>
          </w:p>
        </w:tc>
        <w:tc>
          <w:tcPr>
            <w:tcW w:w="1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162"/>
        </w:trPr>
        <w:tc>
          <w:tcPr>
            <w:tcW w:w="144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Series K preferred</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Within 60 days after</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OP units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1,000,000</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0.5882</w:t>
            </w: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4.0 %</w:t>
            </w: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Holder's Option</w:t>
            </w:r>
          </w:p>
        </w:tc>
        <w:tc>
          <w:tcPr>
            <w:tcW w:w="15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March 23, 2028</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99.7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1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2,608,906</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257.5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161.5</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Exchange rates are subject to adjustment upon stock splits, recapitalizations and similar events. The exchange rates of certain series of OP units are approximated to four decimal places.</w:t>
      </w:r>
    </w:p>
    <w:p>
      <w:pPr>
        <w:spacing w:after="0" w:line="57" w:lineRule="exact"/>
        <w:rPr>
          <w:rFonts w:ascii="Arial" w:cs="Arial" w:eastAsia="Arial" w:hAnsi="Arial"/>
          <w:sz w:val="17"/>
          <w:szCs w:val="17"/>
          <w:color w:val="auto"/>
          <w:vertAlign w:val="superscript"/>
        </w:rPr>
      </w:pPr>
    </w:p>
    <w:p>
      <w:pPr>
        <w:ind w:left="140" w:hanging="132"/>
        <w:spacing w:after="0" w:line="224" w:lineRule="auto"/>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Distributions are payable on the issue price of each OP unit which is $100.00 per unit for all these preferred OP units.</w:t>
      </w:r>
    </w:p>
    <w:p>
      <w:pPr>
        <w:spacing w:after="0" w:line="57"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The redemption price for each preferred OP unit redeemed will be equal to its issue price plus all accrued but unpaid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Equity Interests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redeemable equity interests included in Temporary Equity on our Consolidated Balance Sheets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984"/>
              <w:spacing w:after="0"/>
              <w:rPr>
                <w:sz w:val="20"/>
                <w:szCs w:val="20"/>
                <w:color w:val="auto"/>
              </w:rPr>
            </w:pPr>
            <w:r>
              <w:rPr>
                <w:rFonts w:ascii="Arial" w:cs="Arial" w:eastAsia="Arial" w:hAnsi="Arial"/>
                <w:sz w:val="15"/>
                <w:szCs w:val="15"/>
                <w:b w:val="1"/>
                <w:bCs w:val="1"/>
                <w:color w:val="auto"/>
              </w:rPr>
              <w:t>Carrying Amount</w:t>
            </w:r>
          </w:p>
        </w:tc>
        <w:tc>
          <w:tcPr>
            <w:tcW w:w="0" w:type="dxa"/>
            <w:vAlign w:val="bottom"/>
          </w:tcPr>
          <w:p>
            <w:pPr>
              <w:spacing w:after="0"/>
              <w:rPr>
                <w:sz w:val="1"/>
                <w:szCs w:val="1"/>
                <w:color w:val="auto"/>
              </w:rPr>
            </w:pPr>
          </w:p>
        </w:tc>
      </w:tr>
      <w:tr>
        <w:trPr>
          <w:trHeight w:val="200"/>
        </w:trPr>
        <w:tc>
          <w:tcPr>
            <w:tcW w:w="2200" w:type="dxa"/>
            <w:vAlign w:val="bottom"/>
            <w:tcBorders>
              <w:bottom w:val="single" w:sz="8" w:color="auto"/>
            </w:tcBorders>
          </w:tcPr>
          <w:p>
            <w:pPr>
              <w:ind w:left="620"/>
              <w:spacing w:after="0"/>
              <w:rPr>
                <w:sz w:val="20"/>
                <w:szCs w:val="20"/>
                <w:color w:val="auto"/>
              </w:rPr>
            </w:pPr>
            <w:r>
              <w:rPr>
                <w:rFonts w:ascii="Arial" w:cs="Arial" w:eastAsia="Arial" w:hAnsi="Arial"/>
                <w:sz w:val="15"/>
                <w:szCs w:val="15"/>
                <w:b w:val="1"/>
                <w:bCs w:val="1"/>
                <w:color w:val="auto"/>
              </w:rPr>
              <w:t>Equity Interest</w:t>
            </w:r>
          </w:p>
        </w:tc>
        <w:tc>
          <w:tcPr>
            <w:tcW w:w="80" w:type="dxa"/>
            <w:vAlign w:val="bottom"/>
            <w:tcBorders>
              <w:bottom w:val="single" w:sz="8" w:color="CCEEFF"/>
            </w:tcBorders>
          </w:tcPr>
          <w:p>
            <w:pPr>
              <w:spacing w:after="0"/>
              <w:rPr>
                <w:sz w:val="17"/>
                <w:szCs w:val="17"/>
                <w:color w:val="auto"/>
              </w:rPr>
            </w:pPr>
          </w:p>
        </w:tc>
        <w:tc>
          <w:tcPr>
            <w:tcW w:w="5580" w:type="dxa"/>
            <w:vAlign w:val="bottom"/>
            <w:tcBorders>
              <w:bottom w:val="single" w:sz="8" w:color="auto"/>
            </w:tcBorders>
          </w:tcPr>
          <w:p>
            <w:pPr>
              <w:ind w:left="2420"/>
              <w:spacing w:after="0"/>
              <w:rPr>
                <w:sz w:val="20"/>
                <w:szCs w:val="20"/>
                <w:color w:val="auto"/>
              </w:rPr>
            </w:pPr>
            <w:r>
              <w:rPr>
                <w:rFonts w:ascii="Arial" w:cs="Arial" w:eastAsia="Arial" w:hAnsi="Arial"/>
                <w:sz w:val="15"/>
                <w:szCs w:val="15"/>
                <w:b w:val="1"/>
                <w:bCs w:val="1"/>
                <w:color w:val="auto"/>
              </w:rPr>
              <w:t>Description</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1"/>
              </w:rPr>
              <w:t>September 30, 2023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3"/>
              </w:rPr>
              <w:t>December 31, 2022</w:t>
            </w:r>
          </w:p>
        </w:tc>
        <w:tc>
          <w:tcPr>
            <w:tcW w:w="0" w:type="dxa"/>
            <w:vAlign w:val="bottom"/>
          </w:tcPr>
          <w:p>
            <w:pPr>
              <w:spacing w:after="0"/>
              <w:rPr>
                <w:sz w:val="1"/>
                <w:szCs w:val="1"/>
                <w:color w:val="auto"/>
              </w:rPr>
            </w:pPr>
          </w:p>
        </w:tc>
      </w:tr>
      <w:tr>
        <w:trPr>
          <w:trHeight w:val="158"/>
        </w:trPr>
        <w:tc>
          <w:tcPr>
            <w:tcW w:w="2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6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5"/>
                <w:szCs w:val="15"/>
                <w:color w:val="auto"/>
                <w:w w:val="99"/>
              </w:rPr>
              <w:t>In connection with the investment in land for future development in the city of Moreno</w:t>
            </w:r>
          </w:p>
        </w:tc>
        <w:tc>
          <w:tcPr>
            <w:tcW w:w="1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FPG Sun Moreno Valley 66 LLC</w:t>
            </w:r>
          </w:p>
        </w:tc>
        <w:tc>
          <w:tcPr>
            <w:tcW w:w="5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Valley, California, at the property known as FPG Sun Moreno Valley 66 LLC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60" w:type="dxa"/>
            <w:vAlign w:val="bottom"/>
            <w:gridSpan w:val="2"/>
          </w:tcPr>
          <w:p>
            <w:pPr>
              <w:ind w:left="20"/>
              <w:spacing w:after="0" w:line="162" w:lineRule="exact"/>
              <w:rPr>
                <w:sz w:val="20"/>
                <w:szCs w:val="20"/>
                <w:color w:val="auto"/>
              </w:rPr>
            </w:pPr>
            <w:r>
              <w:rPr>
                <w:rFonts w:ascii="Arial" w:cs="Arial" w:eastAsia="Arial" w:hAnsi="Arial"/>
                <w:sz w:val="15"/>
                <w:szCs w:val="15"/>
                <w:color w:val="auto"/>
                <w:w w:val="98"/>
              </w:rPr>
              <w:t>A joint venture that operates and maintains solar energy equipment in select California</w:t>
            </w: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280" w:type="dxa"/>
            <w:vAlign w:val="bottom"/>
            <w:gridSpan w:val="2"/>
          </w:tcPr>
          <w:p>
            <w:pPr>
              <w:ind w:left="20"/>
              <w:spacing w:after="0"/>
              <w:rPr>
                <w:sz w:val="20"/>
                <w:szCs w:val="20"/>
                <w:color w:val="auto"/>
              </w:rPr>
            </w:pPr>
            <w:r>
              <w:rPr>
                <w:rFonts w:ascii="Arial" w:cs="Arial" w:eastAsia="Arial" w:hAnsi="Arial"/>
                <w:sz w:val="15"/>
                <w:szCs w:val="15"/>
                <w:color w:val="auto"/>
              </w:rPr>
              <w:t>Solar Energy Project CA II LLC</w:t>
            </w:r>
          </w:p>
        </w:tc>
        <w:tc>
          <w:tcPr>
            <w:tcW w:w="5660" w:type="dxa"/>
            <w:vAlign w:val="bottom"/>
            <w:gridSpan w:val="2"/>
          </w:tcPr>
          <w:p>
            <w:pPr>
              <w:ind w:left="20"/>
              <w:spacing w:after="0"/>
              <w:rPr>
                <w:sz w:val="20"/>
                <w:szCs w:val="20"/>
                <w:color w:val="auto"/>
              </w:rPr>
            </w:pPr>
            <w:r>
              <w:rPr>
                <w:rFonts w:ascii="Arial" w:cs="Arial" w:eastAsia="Arial" w:hAnsi="Arial"/>
                <w:sz w:val="15"/>
                <w:szCs w:val="15"/>
                <w:color w:val="auto"/>
              </w:rPr>
              <w:t>communities</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66"/>
        </w:trPr>
        <w:tc>
          <w:tcPr>
            <w:tcW w:w="2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5"/>
                <w:szCs w:val="15"/>
                <w:color w:val="auto"/>
                <w:w w:val="98"/>
              </w:rPr>
              <w:t>A joint venture that operates and maintains solar energy equipment in select California</w:t>
            </w: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Solar Energy Project LLC</w:t>
            </w:r>
          </w:p>
        </w:tc>
        <w:tc>
          <w:tcPr>
            <w:tcW w:w="5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communities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60" w:type="dxa"/>
            <w:vAlign w:val="bottom"/>
            <w:gridSpan w:val="2"/>
          </w:tcPr>
          <w:p>
            <w:pPr>
              <w:ind w:left="20"/>
              <w:spacing w:after="0" w:line="162" w:lineRule="exact"/>
              <w:rPr>
                <w:sz w:val="20"/>
                <w:szCs w:val="20"/>
                <w:color w:val="auto"/>
              </w:rPr>
            </w:pPr>
            <w:r>
              <w:rPr>
                <w:rFonts w:ascii="Arial" w:cs="Arial" w:eastAsia="Arial" w:hAnsi="Arial"/>
                <w:sz w:val="15"/>
                <w:szCs w:val="15"/>
                <w:color w:val="auto"/>
                <w:w w:val="95"/>
              </w:rPr>
              <w:t>A joint venture that operates and maintains solar energy equipment in select Arizona and</w:t>
            </w: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280" w:type="dxa"/>
            <w:vAlign w:val="bottom"/>
            <w:gridSpan w:val="2"/>
          </w:tcPr>
          <w:p>
            <w:pPr>
              <w:ind w:left="20"/>
              <w:spacing w:after="0"/>
              <w:rPr>
                <w:sz w:val="20"/>
                <w:szCs w:val="20"/>
                <w:color w:val="auto"/>
              </w:rPr>
            </w:pPr>
            <w:r>
              <w:rPr>
                <w:rFonts w:ascii="Arial" w:cs="Arial" w:eastAsia="Arial" w:hAnsi="Arial"/>
                <w:sz w:val="15"/>
                <w:szCs w:val="15"/>
                <w:color w:val="auto"/>
              </w:rPr>
              <w:t>Solar Energy Project III LLC</w:t>
            </w:r>
          </w:p>
        </w:tc>
        <w:tc>
          <w:tcPr>
            <w:tcW w:w="5660" w:type="dxa"/>
            <w:vAlign w:val="bottom"/>
            <w:gridSpan w:val="2"/>
          </w:tcPr>
          <w:p>
            <w:pPr>
              <w:ind w:left="20"/>
              <w:spacing w:after="0"/>
              <w:rPr>
                <w:sz w:val="20"/>
                <w:szCs w:val="20"/>
                <w:color w:val="auto"/>
              </w:rPr>
            </w:pPr>
            <w:r>
              <w:rPr>
                <w:rFonts w:ascii="Arial" w:cs="Arial" w:eastAsia="Arial" w:hAnsi="Arial"/>
                <w:sz w:val="15"/>
                <w:szCs w:val="15"/>
                <w:color w:val="auto"/>
              </w:rPr>
              <w:t>California communities</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6"/>
        </w:trPr>
        <w:tc>
          <w:tcPr>
            <w:tcW w:w="2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5"/>
                <w:szCs w:val="15"/>
                <w:color w:val="auto"/>
                <w:w w:val="98"/>
              </w:rPr>
              <w:t>In connection with the investment in land for future development in the city of Menifee,</w:t>
            </w: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FPG Sun Menifee 80 LLC</w:t>
            </w:r>
          </w:p>
        </w:tc>
        <w:tc>
          <w:tcPr>
            <w:tcW w:w="5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 California, at the property known as FPG Sun Menifee 80 LLC</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98"/>
        </w:trPr>
        <w:tc>
          <w:tcPr>
            <w:tcW w:w="2280" w:type="dxa"/>
            <w:vAlign w:val="bottom"/>
            <w:gridSpan w:val="2"/>
          </w:tcPr>
          <w:p>
            <w:pPr>
              <w:ind w:left="20"/>
              <w:spacing w:after="0"/>
              <w:rPr>
                <w:sz w:val="20"/>
                <w:szCs w:val="20"/>
                <w:color w:val="auto"/>
              </w:rPr>
            </w:pPr>
            <w:r>
              <w:rPr>
                <w:rFonts w:ascii="Arial" w:cs="Arial" w:eastAsia="Arial" w:hAnsi="Arial"/>
                <w:sz w:val="15"/>
                <w:szCs w:val="15"/>
                <w:color w:val="auto"/>
              </w:rPr>
              <w:t>NG Sun Whitewater LLC</w:t>
            </w:r>
          </w:p>
        </w:tc>
        <w:tc>
          <w:tcPr>
            <w:tcW w:w="5660" w:type="dxa"/>
            <w:vAlign w:val="bottom"/>
            <w:gridSpan w:val="2"/>
          </w:tcPr>
          <w:p>
            <w:pPr>
              <w:ind w:left="20"/>
              <w:spacing w:after="0"/>
              <w:rPr>
                <w:sz w:val="20"/>
                <w:szCs w:val="20"/>
                <w:color w:val="auto"/>
              </w:rPr>
            </w:pPr>
            <w:r>
              <w:rPr>
                <w:rFonts w:ascii="Arial" w:cs="Arial" w:eastAsia="Arial" w:hAnsi="Arial"/>
                <w:sz w:val="15"/>
                <w:szCs w:val="15"/>
                <w:color w:val="auto"/>
              </w:rPr>
              <w:t>In connection with the investment in land at the property known as Whitewater</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66"/>
        </w:trPr>
        <w:tc>
          <w:tcPr>
            <w:tcW w:w="228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NG Sun LLC</w:t>
            </w:r>
            <w:r>
              <w:rPr>
                <w:rFonts w:ascii="Arial" w:cs="Arial" w:eastAsia="Arial" w:hAnsi="Arial"/>
                <w:sz w:val="19"/>
                <w:szCs w:val="19"/>
                <w:color w:val="auto"/>
                <w:vertAlign w:val="superscript"/>
              </w:rPr>
              <w:t>(1)</w:t>
            </w:r>
          </w:p>
        </w:tc>
        <w:tc>
          <w:tcPr>
            <w:tcW w:w="56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5"/>
                <w:szCs w:val="15"/>
                <w:color w:val="auto"/>
              </w:rPr>
              <w:t>In connection with the investment in Sun NG Resorts, a joint venture that operates a</w:t>
            </w: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80" w:type="dxa"/>
            <w:vAlign w:val="bottom"/>
            <w:gridSpan w:val="2"/>
            <w:vMerge w:val="continue"/>
            <w:shd w:val="clear" w:color="auto" w:fill="CCEEFF"/>
          </w:tcPr>
          <w:p>
            <w:pPr>
              <w:spacing w:after="0"/>
              <w:rPr>
                <w:sz w:val="17"/>
                <w:szCs w:val="17"/>
                <w:color w:val="auto"/>
              </w:rPr>
            </w:pPr>
          </w:p>
        </w:tc>
        <w:tc>
          <w:tcPr>
            <w:tcW w:w="5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portfolio of RV communities in the U.S.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6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In connection with the investment in Sun NG Beaver Brook LLC, a joint venture that</w:t>
            </w: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NG Sun Beaver Brook LLC</w:t>
            </w:r>
          </w:p>
        </w:tc>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operates one RV communities in the U.S.</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25"/>
        </w:trPr>
        <w:tc>
          <w:tcPr>
            <w:tcW w:w="2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rPr>
              <w:t>Total</w:t>
            </w:r>
          </w:p>
        </w:tc>
        <w:tc>
          <w:tcPr>
            <w:tcW w:w="5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47.0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41.4</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180" w:hanging="172"/>
        <w:spacing w:after="0" w:line="268" w:lineRule="auto"/>
        <w:tabs>
          <w:tab w:leader="none" w:pos="15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i w:val="1"/>
          <w:iCs w:val="1"/>
          <w:color w:val="auto"/>
        </w:rPr>
        <w:t xml:space="preserve">Equity Interest - NG Sun LLC </w:t>
      </w:r>
      <w:r>
        <w:rPr>
          <w:rFonts w:ascii="Arial" w:cs="Arial" w:eastAsia="Arial" w:hAnsi="Arial"/>
          <w:sz w:val="13"/>
          <w:szCs w:val="13"/>
          <w:color w:val="auto"/>
        </w:rPr>
        <w:t>- In June 2018, in connection with the investment in Sun NG Resorts, unrelated third parties purchased $6.5 million of Series B preferred equity interests and</w:t>
      </w:r>
      <w:r>
        <w:rPr>
          <w:rFonts w:ascii="Arial" w:cs="Arial" w:eastAsia="Arial" w:hAnsi="Arial"/>
          <w:sz w:val="13"/>
          <w:szCs w:val="13"/>
          <w:i w:val="1"/>
          <w:iCs w:val="1"/>
          <w:color w:val="auto"/>
        </w:rPr>
        <w:t xml:space="preserve"> </w:t>
      </w:r>
      <w:r>
        <w:rPr>
          <w:rFonts w:ascii="Arial" w:cs="Arial" w:eastAsia="Arial" w:hAnsi="Arial"/>
          <w:sz w:val="13"/>
          <w:szCs w:val="13"/>
          <w:color w:val="auto"/>
        </w:rPr>
        <w:t>$15.4 million of common equity interests in Sun NG Resorts (herein jointly referred to as "Equity Interest - NG Sun LLC"). In April and September 2020, in connection with certain acquisitions, $3.0 million of Series B preferred equity interests were converted to common equity interests. The Series B preferred equity interests carry a preferred return at a rate that, at any time, is equal to the interest rate on Sun NG Resorts' indebtedness at such time. The current rate of return is 5.0%. The Equity Interest - NG Sun LLC does not have a fixed maturity date and portions can be redeemed in the fourth quarters of 2024, 2025 or 2026 at the holders' option.</w:t>
      </w:r>
    </w:p>
    <w:p>
      <w:pPr>
        <w:spacing w:after="0" w:line="32" w:lineRule="exact"/>
        <w:rPr>
          <w:sz w:val="20"/>
          <w:szCs w:val="20"/>
          <w:color w:val="auto"/>
        </w:rPr>
      </w:pPr>
    </w:p>
    <w:p>
      <w:pPr>
        <w:jc w:val="both"/>
        <w:ind w:left="180"/>
        <w:spacing w:after="0" w:line="289" w:lineRule="auto"/>
        <w:rPr>
          <w:sz w:val="20"/>
          <w:szCs w:val="20"/>
          <w:color w:val="auto"/>
        </w:rPr>
      </w:pPr>
      <w:r>
        <w:rPr>
          <w:rFonts w:ascii="Arial" w:cs="Arial" w:eastAsia="Arial" w:hAnsi="Arial"/>
          <w:sz w:val="13"/>
          <w:szCs w:val="13"/>
          <w:color w:val="auto"/>
        </w:rPr>
        <w:t>During the fourth quarter of 2024, NG Sun LLC may offer Sun NG LLC to purchase its entire interest in Sun NG Resorts, which includes its Equity Interest - NG Sun LLC and may include certain unrelated third parties' Preferred Equity - Sun NG Resorts. If we exercise this option, the related property management agreements will be terminated, and we are required to purchase the interests of NG Sun LLC and the property management agreements at fair value. If we elect not to purchase NG Sun LLC's interest in Sun NG Resorts, we must cause a sale of Sun NG Resorts. If such sale does not close within 90 days and NG Sun LLC does not agree to extend such period, then we are obligated to purchase NG Sun LLC's interest in Sun NG Resorts. Certain properties would be excluded from this process and would instead be transferred to new limited liability companies held jointly by NG Sun LLC and us.</w:t>
      </w:r>
    </w:p>
    <w:p>
      <w:pPr>
        <w:spacing w:after="0" w:line="18" w:lineRule="exact"/>
        <w:rPr>
          <w:sz w:val="20"/>
          <w:szCs w:val="20"/>
          <w:color w:val="auto"/>
        </w:rPr>
      </w:pPr>
    </w:p>
    <w:p>
      <w:pPr>
        <w:jc w:val="both"/>
        <w:ind w:left="180"/>
        <w:spacing w:after="0" w:line="299" w:lineRule="auto"/>
        <w:rPr>
          <w:sz w:val="20"/>
          <w:szCs w:val="20"/>
          <w:color w:val="auto"/>
        </w:rPr>
      </w:pPr>
      <w:r>
        <w:rPr>
          <w:rFonts w:ascii="Arial" w:cs="Arial" w:eastAsia="Arial" w:hAnsi="Arial"/>
          <w:sz w:val="13"/>
          <w:szCs w:val="13"/>
          <w:color w:val="auto"/>
        </w:rPr>
        <w:t>In December 2021, the operating agreement was amended and we paid Sun NG Resorts a contingent consideration earnout in the amount of $38.3 million. The contingent consideration payment was recognized as an additional purchase price payment within Land improvements and buildings in the Consolidated Balance Sheets, and within Acquisition of properties, net of cash acquired in the Consolidated Statement of Cash Flows. The Equity Interest - NG Sun LLC balance was $34.1 million and $31.1 million as of September 30, 2023 and December 31, 2022, respectively. Refer to Note 7, "Consolidated Variable Interest Entities," and Note 8, "Debt and Line of Credit,"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Permanent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Universal Shelf Registration Statement</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April 2021, we filed a new universal shelf registration statement on Form S-3 with the SEC. The shelf registration statement was deemed automatically effective and provides for the registration of unspecified amounts of equity and debt securities. At our 2023 Annual Meeting of Shareholders on May 16, 2023, our shareholders approved the Articles of Amendment to the Company's charter, which increased the authorized number of shares of capital stock to 380,000,000 shares, of which 360,000,000 shares are common stock and 20,000,000 shares are preferred stock, par value $0.01 per share. As of September 30, 2023, we had 124,447,044 shares of common stock issued and outstanding and no shares of preferred stock were issued and outstanding.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November 2021, we entered into two forward sale agreements relating to an underwritten registered public offering of 4,025,000 shares of our common stock at a public offering price of $185.00 per share and completed the offering on November 18, 2021 (the "November 2021 Forward Sale Agreements"). We did not initially receive any proceeds from the sale of shares of our common stock by the forward purchaser or its affiliates. In April 2022, we completed the physical settlement of the 4,025,000 shares of common stock and received aggregate net proceeds of $705.4 million. We used the net proceeds to repay borrowings outstanding under our Senior Credit Facility, and for working capital and general corporate purposes.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Sales Agreement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2021, we entered into an At the Market Offering Sales Agreement with certain sales agents and forward sellers pursuant to which we may sell, from time to time, up to an aggregate gross sales price of $1.25 billion of our common stock (the "Sales Agreement"), through the sales agents, acting as our sales agents or, if applicable, as forward sellers, or directly to the sales agents as principals for their own accounts. The sales agents and forward sellers are entitled to compensation in an agreed amount not to exceed 2.0% of the gross price per share for any shares sold under the Sales Agreement. We simultaneously terminated our prior sales agreement upon entering into the Sales Agreement. Through September 30, 2023, we had entered into forward sales agreements under our Sales Agreement for an aggregate gross sales price of $160.6 million.</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September 30, 2022, we entered into forward sale agreements with respect to 15,000 shares of common stock under our Sales Agreement for $2.6 million. Additionally, we settled all of our outstanding forward sale agreements with respect to 1,526,212 shares of common stock which includes 620,109; 600,503; 290,600; and 15,000 shares of common stock from the three months ended December 31, 2021, March 31, June 30 and September 30, 2022 forward sale agreements, respectively. The net proceeds of $275.5 million from the settlement of these forward sale agreements were used to repay borrowings outstanding under our Senior Credit Facility.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June 30, 2022, we completed the physical settlement of 1,200,000 shares of common stock under our prior at the market offering program and received net proceeds of $229.5 million. Additionally, we entered into forward sales agreements with respect to 290,600 shares of common stock for $50.1 million, under our Sales Agreement. These forward sale agreements were settled during the three months ended September 30, 2022.</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months ended March 31, 2022, we entered into forward sales agreements with respect to 600,503 shares of common stock for $107.9 million, under our Sales Agreement. These forward sale agreements were settled during the three months ended September 30, 2022.</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2021, we entered into forward sale agreements with respect to 1,820,109 shares of common stock under our prior at the market offering program for $356.5 million. We completed the physical settlement of 1,200,000 and 620,109 shares of common stock during the three months ended June 30, 2022 and September 30, 2022,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of Common Stock in Connection with the Acquisition of Certain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April 2022, we issued 186,044 shares of common stock with a value of $33.9 million in connection with the acquisition of Park Holidays.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of Common OP Units in Connection with the Acquisition of Certain Properties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6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w w:val="99"/>
              </w:rPr>
              <w:t>Nine Months Ended September 30, 2023 and 2022</w:t>
            </w:r>
          </w:p>
        </w:tc>
        <w:tc>
          <w:tcPr>
            <w:tcW w:w="80" w:type="dxa"/>
            <w:vAlign w:val="bottom"/>
            <w:tcBorders>
              <w:bottom w:val="single" w:sz="8" w:color="CCEEFF"/>
            </w:tcBorders>
          </w:tcPr>
          <w:p>
            <w:pPr>
              <w:spacing w:after="0"/>
              <w:rPr>
                <w:sz w:val="17"/>
                <w:szCs w:val="17"/>
                <w:color w:val="auto"/>
              </w:rPr>
            </w:pPr>
          </w:p>
        </w:tc>
        <w:tc>
          <w:tcPr>
            <w:tcW w:w="21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Common OP Units Issued</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93"/>
              </w:rPr>
              <w:t>Value at Issuance (in millions)</w:t>
            </w:r>
          </w:p>
        </w:tc>
        <w:tc>
          <w:tcPr>
            <w:tcW w:w="100" w:type="dxa"/>
            <w:vAlign w:val="bottom"/>
            <w:tcBorders>
              <w:bottom w:val="single" w:sz="8" w:color="CCEEFF"/>
            </w:tcBorders>
          </w:tcPr>
          <w:p>
            <w:pPr>
              <w:spacing w:after="0"/>
              <w:rPr>
                <w:sz w:val="17"/>
                <w:szCs w:val="17"/>
                <w:color w:val="auto"/>
              </w:rPr>
            </w:pPr>
          </w:p>
        </w:tc>
        <w:tc>
          <w:tcPr>
            <w:tcW w:w="2380" w:type="dxa"/>
            <w:vAlign w:val="bottom"/>
            <w:tcBorders>
              <w:bottom w:val="single" w:sz="8" w:color="auto"/>
            </w:tcBorders>
          </w:tcPr>
          <w:p>
            <w:pPr>
              <w:ind w:left="540"/>
              <w:spacing w:after="0"/>
              <w:rPr>
                <w:sz w:val="20"/>
                <w:szCs w:val="20"/>
                <w:color w:val="auto"/>
              </w:rPr>
            </w:pPr>
            <w:r>
              <w:rPr>
                <w:rFonts w:ascii="Arial" w:cs="Arial" w:eastAsia="Arial" w:hAnsi="Arial"/>
                <w:sz w:val="15"/>
                <w:szCs w:val="15"/>
                <w:b w:val="1"/>
                <w:bCs w:val="1"/>
                <w:color w:val="auto"/>
              </w:rPr>
              <w:t>Related Acquisition</w:t>
            </w:r>
          </w:p>
        </w:tc>
      </w:tr>
      <w:tr>
        <w:trPr>
          <w:trHeight w:val="200"/>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January 2023</w:t>
            </w:r>
          </w:p>
        </w:tc>
        <w:tc>
          <w:tcPr>
            <w:tcW w:w="2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31,289</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5"/>
                <w:szCs w:val="15"/>
                <w:color w:val="auto"/>
              </w:rPr>
              <w:t>Fox Run</w:t>
            </w:r>
          </w:p>
        </w:tc>
      </w:tr>
      <w:tr>
        <w:trPr>
          <w:trHeight w:val="198"/>
        </w:trPr>
        <w:tc>
          <w:tcPr>
            <w:tcW w:w="3940" w:type="dxa"/>
            <w:vAlign w:val="bottom"/>
            <w:gridSpan w:val="2"/>
          </w:tcPr>
          <w:p>
            <w:pPr>
              <w:ind w:left="20"/>
              <w:spacing w:after="0"/>
              <w:rPr>
                <w:sz w:val="20"/>
                <w:szCs w:val="20"/>
                <w:color w:val="auto"/>
              </w:rPr>
            </w:pPr>
            <w:r>
              <w:rPr>
                <w:rFonts w:ascii="Arial" w:cs="Arial" w:eastAsia="Arial" w:hAnsi="Arial"/>
                <w:sz w:val="15"/>
                <w:szCs w:val="15"/>
                <w:color w:val="auto"/>
              </w:rPr>
              <w:t>May 2022</w:t>
            </w:r>
          </w:p>
        </w:tc>
        <w:tc>
          <w:tcPr>
            <w:tcW w:w="2180" w:type="dxa"/>
            <w:vAlign w:val="bottom"/>
          </w:tcPr>
          <w:p>
            <w:pPr>
              <w:jc w:val="right"/>
              <w:spacing w:after="0"/>
              <w:rPr>
                <w:sz w:val="20"/>
                <w:szCs w:val="20"/>
                <w:color w:val="auto"/>
              </w:rPr>
            </w:pPr>
            <w:r>
              <w:rPr>
                <w:rFonts w:ascii="Arial" w:cs="Arial" w:eastAsia="Arial" w:hAnsi="Arial"/>
                <w:sz w:val="15"/>
                <w:szCs w:val="15"/>
                <w:color w:val="auto"/>
              </w:rPr>
              <w:t>10,854</w:t>
            </w:r>
          </w:p>
        </w:tc>
        <w:tc>
          <w:tcPr>
            <w:tcW w:w="280" w:type="dxa"/>
            <w:vAlign w:val="bottom"/>
          </w:tcPr>
          <w:p>
            <w:pPr>
              <w:jc w:val="right"/>
              <w:ind w:right="90"/>
              <w:spacing w:after="0"/>
              <w:rPr>
                <w:sz w:val="20"/>
                <w:szCs w:val="20"/>
                <w:color w:val="auto"/>
              </w:rPr>
            </w:pPr>
            <w:r>
              <w:rPr>
                <w:rFonts w:ascii="Arial" w:cs="Arial" w:eastAsia="Arial" w:hAnsi="Arial"/>
                <w:sz w:val="10"/>
                <w:szCs w:val="10"/>
                <w:color w:val="auto"/>
                <w:w w:val="97"/>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2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5"/>
                <w:szCs w:val="15"/>
                <w:color w:val="auto"/>
              </w:rPr>
              <w:t>Rudgate</w:t>
            </w:r>
          </w:p>
        </w:tc>
      </w:tr>
      <w:tr>
        <w:trPr>
          <w:trHeight w:val="207"/>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May 2022</w:t>
            </w:r>
          </w:p>
        </w:tc>
        <w:tc>
          <w:tcPr>
            <w:tcW w:w="2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5,605</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5"/>
                <w:szCs w:val="15"/>
                <w:color w:val="auto"/>
              </w:rPr>
              <w:t>Kittery Point</w:t>
            </w:r>
          </w:p>
        </w:tc>
      </w:tr>
      <w:tr>
        <w:trPr>
          <w:trHeight w:val="194"/>
        </w:trPr>
        <w:tc>
          <w:tcPr>
            <w:tcW w:w="3940" w:type="dxa"/>
            <w:vAlign w:val="bottom"/>
            <w:gridSpan w:val="2"/>
          </w:tcPr>
          <w:p>
            <w:pPr>
              <w:ind w:left="20"/>
              <w:spacing w:after="0"/>
              <w:rPr>
                <w:sz w:val="20"/>
                <w:szCs w:val="20"/>
                <w:color w:val="auto"/>
              </w:rPr>
            </w:pPr>
            <w:r>
              <w:rPr>
                <w:rFonts w:ascii="Arial" w:cs="Arial" w:eastAsia="Arial" w:hAnsi="Arial"/>
                <w:sz w:val="15"/>
                <w:szCs w:val="15"/>
                <w:color w:val="auto"/>
              </w:rPr>
              <w:t>February 2022</w:t>
            </w:r>
          </w:p>
        </w:tc>
        <w:tc>
          <w:tcPr>
            <w:tcW w:w="2180" w:type="dxa"/>
            <w:vAlign w:val="bottom"/>
          </w:tcPr>
          <w:p>
            <w:pPr>
              <w:jc w:val="right"/>
              <w:spacing w:after="0"/>
              <w:rPr>
                <w:sz w:val="20"/>
                <w:szCs w:val="20"/>
                <w:color w:val="auto"/>
              </w:rPr>
            </w:pPr>
            <w:r>
              <w:rPr>
                <w:rFonts w:ascii="Arial" w:cs="Arial" w:eastAsia="Arial" w:hAnsi="Arial"/>
                <w:sz w:val="15"/>
                <w:szCs w:val="15"/>
                <w:color w:val="auto"/>
              </w:rPr>
              <w:t>14,683</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2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5"/>
                <w:szCs w:val="15"/>
                <w:color w:val="auto"/>
              </w:rPr>
              <w:t>Jarrett Bay Boatworks</w:t>
            </w:r>
          </w:p>
        </w:tc>
      </w:tr>
    </w:tbl>
    <w:p>
      <w:pPr>
        <w:spacing w:after="0" w:line="97" w:lineRule="exact"/>
        <w:rPr>
          <w:sz w:val="20"/>
          <w:szCs w:val="20"/>
          <w:color w:val="auto"/>
        </w:rPr>
      </w:pPr>
    </w:p>
    <w:p>
      <w:pPr>
        <w:jc w:val="both"/>
        <w:ind w:left="180" w:hanging="172"/>
        <w:spacing w:after="0" w:line="271" w:lineRule="auto"/>
        <w:tabs>
          <w:tab w:leader="none" w:pos="167"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During the three months ended June 30, 2022, we acquired the noncontrolling equity interest held by third parties in Rudgate for a total purchase price of $3.1 million. As consideration, we issued 10,854 common OP units and paid the remainder of the purchase price in cash. The acquisition resulted in the Company owning a 100.0% controlling interest in Rudgate. The acquisition was accounted for as an equity transaction in accordance with ASC 810, "</w:t>
      </w:r>
      <w:r>
        <w:rPr>
          <w:rFonts w:ascii="Arial" w:cs="Arial" w:eastAsia="Arial" w:hAnsi="Arial"/>
          <w:sz w:val="13"/>
          <w:szCs w:val="13"/>
          <w:i w:val="1"/>
          <w:iCs w:val="1"/>
          <w:color w:val="auto"/>
        </w:rPr>
        <w:t>Consolidation</w:t>
      </w:r>
      <w:r>
        <w:rPr>
          <w:rFonts w:ascii="Arial" w:cs="Arial" w:eastAsia="Arial" w:hAnsi="Arial"/>
          <w:sz w:val="13"/>
          <w:szCs w:val="13"/>
          <w:color w:val="auto"/>
        </w:rPr>
        <w:t>," with the difference between the purchase price and the acquired noncontrolling interest of $13.2 million recorded as an increase to Additional Paid-in Capital on the Consolidated Balance Sheets. Refer to Note 7, "Consolidated Variable Interest Entities,"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 - Common and Preferred OP Units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common and preferred OP units included within Noncontrolling interests on our Consolidated Balance Sheets (in millions, except for shares and statistical information):</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4"/>
              </w:rPr>
              <w:t>OP Units Outstanding</w:t>
            </w:r>
          </w:p>
        </w:tc>
        <w:tc>
          <w:tcPr>
            <w:tcW w:w="8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Arial" w:cs="Arial" w:eastAsia="Arial" w:hAnsi="Arial"/>
                <w:sz w:val="15"/>
                <w:szCs w:val="15"/>
                <w:b w:val="1"/>
                <w:bCs w:val="1"/>
                <w:color w:val="auto"/>
              </w:rPr>
              <w:t>Exchange</w:t>
            </w:r>
          </w:p>
        </w:tc>
        <w:tc>
          <w:tcPr>
            <w:tcW w:w="1540" w:type="dxa"/>
            <w:vAlign w:val="bottom"/>
            <w:gridSpan w:val="2"/>
          </w:tcPr>
          <w:p>
            <w:pPr>
              <w:ind w:left="80"/>
              <w:spacing w:after="0"/>
              <w:rPr>
                <w:sz w:val="20"/>
                <w:szCs w:val="20"/>
                <w:color w:val="auto"/>
              </w:rPr>
            </w:pPr>
            <w:r>
              <w:rPr>
                <w:rFonts w:ascii="Arial" w:cs="Arial" w:eastAsia="Arial" w:hAnsi="Arial"/>
                <w:sz w:val="15"/>
                <w:szCs w:val="15"/>
                <w:b w:val="1"/>
                <w:bCs w:val="1"/>
                <w:color w:val="auto"/>
              </w:rPr>
              <w:t>Annual Distribution</w:t>
            </w:r>
          </w:p>
        </w:tc>
        <w:tc>
          <w:tcPr>
            <w:tcW w:w="1120" w:type="dxa"/>
            <w:vAlign w:val="bottom"/>
            <w:gridSpan w:val="2"/>
          </w:tcPr>
          <w:p>
            <w:pPr>
              <w:ind w:left="360"/>
              <w:spacing w:after="0"/>
              <w:rPr>
                <w:sz w:val="20"/>
                <w:szCs w:val="20"/>
                <w:color w:val="auto"/>
              </w:rPr>
            </w:pPr>
            <w:r>
              <w:rPr>
                <w:rFonts w:ascii="Arial" w:cs="Arial" w:eastAsia="Arial" w:hAnsi="Arial"/>
                <w:sz w:val="15"/>
                <w:szCs w:val="15"/>
                <w:b w:val="1"/>
                <w:bCs w:val="1"/>
                <w:color w:val="auto"/>
              </w:rPr>
              <w:t>Cash</w:t>
            </w:r>
          </w:p>
        </w:tc>
        <w:tc>
          <w:tcPr>
            <w:tcW w:w="1120" w:type="dxa"/>
            <w:vAlign w:val="bottom"/>
            <w:gridSpan w:val="2"/>
          </w:tcPr>
          <w:p>
            <w:pPr>
              <w:ind w:left="120"/>
              <w:spacing w:after="0"/>
              <w:rPr>
                <w:sz w:val="20"/>
                <w:szCs w:val="20"/>
                <w:color w:val="auto"/>
              </w:rPr>
            </w:pPr>
            <w:r>
              <w:rPr>
                <w:rFonts w:ascii="Arial" w:cs="Arial" w:eastAsia="Arial" w:hAnsi="Arial"/>
                <w:sz w:val="15"/>
                <w:szCs w:val="15"/>
                <w:b w:val="1"/>
                <w:bCs w:val="1"/>
                <w:color w:val="auto"/>
              </w:rPr>
              <w:t>Redemption</w:t>
            </w:r>
          </w:p>
        </w:tc>
        <w:tc>
          <w:tcPr>
            <w:tcW w:w="1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944"/>
              <w:spacing w:after="0"/>
              <w:rPr>
                <w:sz w:val="20"/>
                <w:szCs w:val="20"/>
                <w:color w:val="auto"/>
              </w:rPr>
            </w:pPr>
            <w:r>
              <w:rPr>
                <w:rFonts w:ascii="Arial" w:cs="Arial" w:eastAsia="Arial" w:hAnsi="Arial"/>
                <w:sz w:val="15"/>
                <w:szCs w:val="15"/>
                <w:b w:val="1"/>
                <w:bCs w:val="1"/>
                <w:color w:val="auto"/>
              </w:rPr>
              <w:t>Carrying Amount</w:t>
            </w:r>
          </w:p>
        </w:tc>
      </w:tr>
      <w:tr>
        <w:trPr>
          <w:trHeight w:val="196"/>
        </w:trPr>
        <w:tc>
          <w:tcPr>
            <w:tcW w:w="160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rPr>
              <w:t>Description</w:t>
            </w: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9"/>
              </w:rPr>
              <w:t>September 30, 2023</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44"/>
              <w:spacing w:after="0" w:line="196" w:lineRule="exact"/>
              <w:rPr>
                <w:sz w:val="20"/>
                <w:szCs w:val="20"/>
                <w:color w:val="auto"/>
              </w:rPr>
            </w:pPr>
            <w:r>
              <w:rPr>
                <w:rFonts w:ascii="Arial" w:cs="Arial" w:eastAsia="Arial" w:hAnsi="Arial"/>
                <w:sz w:val="15"/>
                <w:szCs w:val="15"/>
                <w:b w:val="1"/>
                <w:bCs w:val="1"/>
                <w:color w:val="auto"/>
              </w:rPr>
              <w:t>Rate</w:t>
            </w:r>
            <w:r>
              <w:rPr>
                <w:rFonts w:ascii="Arial" w:cs="Arial" w:eastAsia="Arial" w:hAnsi="Arial"/>
                <w:sz w:val="19"/>
                <w:szCs w:val="19"/>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44"/>
              <w:spacing w:after="0" w:line="196" w:lineRule="exact"/>
              <w:rPr>
                <w:sz w:val="20"/>
                <w:szCs w:val="20"/>
                <w:color w:val="auto"/>
              </w:rPr>
            </w:pPr>
            <w:r>
              <w:rPr>
                <w:rFonts w:ascii="Arial" w:cs="Arial" w:eastAsia="Arial" w:hAnsi="Arial"/>
                <w:sz w:val="15"/>
                <w:szCs w:val="15"/>
                <w:b w:val="1"/>
                <w:bCs w:val="1"/>
                <w:color w:val="auto"/>
              </w:rPr>
              <w:t>Rate</w:t>
            </w:r>
            <w:r>
              <w:rPr>
                <w:rFonts w:ascii="Arial" w:cs="Arial" w:eastAsia="Arial" w:hAnsi="Arial"/>
                <w:sz w:val="19"/>
                <w:szCs w:val="19"/>
                <w:b w:val="1"/>
                <w:bCs w:val="1"/>
                <w:color w:val="auto"/>
                <w:vertAlign w:val="superscript"/>
              </w:rPr>
              <w:t>(2)</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Redemption</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Period</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1"/>
              </w:rPr>
              <w:t>September 30, 2023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3"/>
              </w:rPr>
              <w:t>December 31, 2022</w:t>
            </w:r>
          </w:p>
        </w:tc>
      </w:tr>
      <w:tr>
        <w:trPr>
          <w:trHeight w:val="156"/>
        </w:trPr>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Same distribution rate</w:t>
            </w: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202"/>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OP units</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2,632,368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for common stock</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w:t>
            </w:r>
          </w:p>
        </w:tc>
      </w:tr>
      <w:tr>
        <w:trPr>
          <w:trHeight w:val="162"/>
        </w:trPr>
        <w:tc>
          <w:tcPr>
            <w:tcW w:w="168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Series A-1 preferred OP</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8"/>
        </w:trPr>
        <w:tc>
          <w:tcPr>
            <w:tcW w:w="1680" w:type="dxa"/>
            <w:vAlign w:val="bottom"/>
            <w:gridSpan w:val="2"/>
          </w:tcPr>
          <w:p>
            <w:pPr>
              <w:ind w:left="20"/>
              <w:spacing w:after="0"/>
              <w:rPr>
                <w:sz w:val="20"/>
                <w:szCs w:val="20"/>
                <w:color w:val="auto"/>
              </w:rPr>
            </w:pPr>
            <w:r>
              <w:rPr>
                <w:rFonts w:ascii="Arial" w:cs="Arial" w:eastAsia="Arial" w:hAnsi="Arial"/>
                <w:sz w:val="15"/>
                <w:szCs w:val="15"/>
                <w:color w:val="auto"/>
              </w:rPr>
              <w:t>units</w:t>
            </w:r>
          </w:p>
        </w:tc>
        <w:tc>
          <w:tcPr>
            <w:tcW w:w="1540" w:type="dxa"/>
            <w:vAlign w:val="bottom"/>
          </w:tcPr>
          <w:p>
            <w:pPr>
              <w:jc w:val="right"/>
              <w:spacing w:after="0"/>
              <w:rPr>
                <w:sz w:val="20"/>
                <w:szCs w:val="20"/>
                <w:color w:val="auto"/>
              </w:rPr>
            </w:pPr>
            <w:r>
              <w:rPr>
                <w:rFonts w:ascii="Arial" w:cs="Arial" w:eastAsia="Arial" w:hAnsi="Arial"/>
                <w:sz w:val="15"/>
                <w:szCs w:val="15"/>
                <w:color w:val="auto"/>
              </w:rPr>
              <w:t>202,144</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2.4390</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6.0 %</w:t>
            </w:r>
          </w:p>
        </w:tc>
        <w:tc>
          <w:tcPr>
            <w:tcW w:w="8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N/A</w:t>
            </w: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13.6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14.0</w:t>
            </w:r>
          </w:p>
        </w:tc>
      </w:tr>
      <w:tr>
        <w:trPr>
          <w:trHeight w:val="166"/>
        </w:trPr>
        <w:tc>
          <w:tcPr>
            <w:tcW w:w="16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5"/>
                <w:szCs w:val="15"/>
                <w:color w:val="auto"/>
              </w:rPr>
              <w:t>Series A-3 preferred OP</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02"/>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units</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1.8605</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4.5 %</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r>
      <w:tr>
        <w:trPr>
          <w:trHeight w:val="162"/>
        </w:trPr>
        <w:tc>
          <w:tcPr>
            <w:tcW w:w="168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Series C preferred OP</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8"/>
        </w:trPr>
        <w:tc>
          <w:tcPr>
            <w:tcW w:w="1680" w:type="dxa"/>
            <w:vAlign w:val="bottom"/>
            <w:gridSpan w:val="2"/>
          </w:tcPr>
          <w:p>
            <w:pPr>
              <w:ind w:left="20"/>
              <w:spacing w:after="0"/>
              <w:rPr>
                <w:sz w:val="20"/>
                <w:szCs w:val="20"/>
                <w:color w:val="auto"/>
              </w:rPr>
            </w:pPr>
            <w:r>
              <w:rPr>
                <w:rFonts w:ascii="Arial" w:cs="Arial" w:eastAsia="Arial" w:hAnsi="Arial"/>
                <w:sz w:val="15"/>
                <w:szCs w:val="15"/>
                <w:color w:val="auto"/>
              </w:rPr>
              <w:t>units</w:t>
            </w:r>
          </w:p>
        </w:tc>
        <w:tc>
          <w:tcPr>
            <w:tcW w:w="1540" w:type="dxa"/>
            <w:vAlign w:val="bottom"/>
          </w:tcPr>
          <w:p>
            <w:pPr>
              <w:jc w:val="right"/>
              <w:spacing w:after="0"/>
              <w:rPr>
                <w:sz w:val="20"/>
                <w:szCs w:val="20"/>
                <w:color w:val="auto"/>
              </w:rPr>
            </w:pPr>
            <w:r>
              <w:rPr>
                <w:rFonts w:ascii="Arial" w:cs="Arial" w:eastAsia="Arial" w:hAnsi="Arial"/>
                <w:sz w:val="15"/>
                <w:szCs w:val="15"/>
                <w:color w:val="auto"/>
              </w:rPr>
              <w:t>305,848</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1.1100</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5.0 %</w:t>
            </w:r>
          </w:p>
        </w:tc>
        <w:tc>
          <w:tcPr>
            <w:tcW w:w="8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N/A</w:t>
            </w: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23.6</w:t>
            </w:r>
          </w:p>
        </w:tc>
      </w:tr>
      <w:tr>
        <w:trPr>
          <w:trHeight w:val="166"/>
        </w:trPr>
        <w:tc>
          <w:tcPr>
            <w:tcW w:w="16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5"/>
                <w:szCs w:val="15"/>
                <w:color w:val="auto"/>
              </w:rPr>
              <w:t>Series E preferred OP</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98"/>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units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0.6897</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5.5 %</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w:t>
            </w:r>
          </w:p>
        </w:tc>
      </w:tr>
      <w:tr>
        <w:trPr>
          <w:trHeight w:val="200"/>
        </w:trPr>
        <w:tc>
          <w:tcPr>
            <w:tcW w:w="1680" w:type="dxa"/>
            <w:vAlign w:val="bottom"/>
            <w:gridSpan w:val="2"/>
          </w:tcPr>
          <w:p>
            <w:pPr>
              <w:ind w:left="140"/>
              <w:spacing w:after="0"/>
              <w:rPr>
                <w:sz w:val="20"/>
                <w:szCs w:val="20"/>
                <w:color w:val="auto"/>
              </w:rPr>
            </w:pPr>
            <w:r>
              <w:rPr>
                <w:rFonts w:ascii="Arial" w:cs="Arial" w:eastAsia="Arial" w:hAnsi="Arial"/>
                <w:sz w:val="15"/>
                <w:szCs w:val="15"/>
                <w:b w:val="1"/>
                <w:bCs w:val="1"/>
                <w:color w:val="auto"/>
              </w:rPr>
              <w:t>Total</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3,260,628</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96.0</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78.7</w:t>
            </w:r>
          </w:p>
        </w:tc>
      </w:tr>
      <w:tr>
        <w:trPr>
          <w:trHeight w:val="21"/>
        </w:trPr>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Exchange rates are subject to adjustment upon stock splits, recapitalizations and similar events. The exchange rates of certain series of OP units are approximated to four decimal places.</w:t>
      </w:r>
    </w:p>
    <w:p>
      <w:pPr>
        <w:spacing w:after="0" w:line="57" w:lineRule="exact"/>
        <w:rPr>
          <w:rFonts w:ascii="Arial" w:cs="Arial" w:eastAsia="Arial" w:hAnsi="Arial"/>
          <w:sz w:val="17"/>
          <w:szCs w:val="17"/>
          <w:color w:val="auto"/>
          <w:vertAlign w:val="superscript"/>
        </w:rPr>
      </w:pPr>
    </w:p>
    <w:p>
      <w:pPr>
        <w:ind w:left="140" w:hanging="132"/>
        <w:spacing w:after="0" w:line="224" w:lineRule="auto"/>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Distributions are payable on the issue price of each OP unit which is $100.00 per unit for all these preferred OP units.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Conversions</w:t>
      </w:r>
    </w:p>
    <w:p>
      <w:pPr>
        <w:spacing w:after="0" w:line="25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 xml:space="preserve">Conversions to Common Stock and Common OP Units </w:t>
      </w:r>
      <w:r>
        <w:rPr>
          <w:rFonts w:ascii="Arial" w:cs="Arial" w:eastAsia="Arial" w:hAnsi="Arial"/>
          <w:sz w:val="16"/>
          <w:szCs w:val="16"/>
          <w:color w:val="auto"/>
        </w:rPr>
        <w:t>- Subject to certain limitations, holders can convert certain series of OP units to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and to common OP units at any time. Below is the activity of conversions during the nine months ended September 30, 2023 and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w w:val="95"/>
              </w:rPr>
              <w:t>Nine Months Ended</w:t>
            </w: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3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w w:val="89"/>
              </w:rPr>
              <w:t>September 30, 2023</w:t>
            </w:r>
          </w:p>
        </w:tc>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40" w:type="dxa"/>
            <w:vAlign w:val="bottom"/>
            <w:tcBorders>
              <w:bottom w:val="single" w:sz="8" w:color="auto"/>
            </w:tcBorders>
            <w:gridSpan w:val="3"/>
          </w:tcPr>
          <w:p>
            <w:pPr>
              <w:jc w:val="right"/>
              <w:ind w:right="504"/>
              <w:spacing w:after="0"/>
              <w:rPr>
                <w:sz w:val="20"/>
                <w:szCs w:val="20"/>
                <w:color w:val="auto"/>
              </w:rPr>
            </w:pPr>
            <w:r>
              <w:rPr>
                <w:rFonts w:ascii="Arial" w:cs="Arial" w:eastAsia="Arial" w:hAnsi="Arial"/>
                <w:sz w:val="15"/>
                <w:szCs w:val="15"/>
                <w:b w:val="1"/>
                <w:bCs w:val="1"/>
                <w:color w:val="auto"/>
              </w:rPr>
              <w:t>September 30, 2022</w:t>
            </w:r>
          </w:p>
        </w:tc>
      </w:tr>
      <w:tr>
        <w:trPr>
          <w:trHeight w:val="146"/>
        </w:trPr>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80"/>
              <w:spacing w:after="0" w:line="146" w:lineRule="exact"/>
              <w:rPr>
                <w:sz w:val="20"/>
                <w:szCs w:val="20"/>
                <w:color w:val="auto"/>
              </w:rPr>
            </w:pPr>
            <w:r>
              <w:rPr>
                <w:rFonts w:ascii="Arial" w:cs="Arial" w:eastAsia="Arial" w:hAnsi="Arial"/>
                <w:sz w:val="15"/>
                <w:szCs w:val="15"/>
                <w:b w:val="1"/>
                <w:bCs w:val="1"/>
                <w:color w:val="auto"/>
                <w:w w:val="89"/>
              </w:rPr>
              <w:t>Conversion</w:t>
            </w:r>
          </w:p>
        </w:tc>
        <w:tc>
          <w:tcPr>
            <w:tcW w:w="1180" w:type="dxa"/>
            <w:vAlign w:val="bottom"/>
          </w:tcPr>
          <w:p>
            <w:pPr>
              <w:jc w:val="right"/>
              <w:ind w:right="64"/>
              <w:spacing w:after="0" w:line="146" w:lineRule="exact"/>
              <w:rPr>
                <w:sz w:val="20"/>
                <w:szCs w:val="20"/>
                <w:color w:val="auto"/>
              </w:rPr>
            </w:pPr>
            <w:r>
              <w:rPr>
                <w:rFonts w:ascii="Arial" w:cs="Arial" w:eastAsia="Arial" w:hAnsi="Arial"/>
                <w:sz w:val="15"/>
                <w:szCs w:val="15"/>
                <w:b w:val="1"/>
                <w:bCs w:val="1"/>
                <w:color w:val="auto"/>
              </w:rPr>
              <w:t>Units / Shares</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right"/>
              <w:ind w:right="64"/>
              <w:spacing w:after="0" w:line="146" w:lineRule="exact"/>
              <w:rPr>
                <w:sz w:val="20"/>
                <w:szCs w:val="20"/>
                <w:color w:val="auto"/>
              </w:rPr>
            </w:pPr>
            <w:r>
              <w:rPr>
                <w:rFonts w:ascii="Arial" w:cs="Arial" w:eastAsia="Arial" w:hAnsi="Arial"/>
                <w:sz w:val="15"/>
                <w:szCs w:val="15"/>
                <w:b w:val="1"/>
                <w:bCs w:val="1"/>
                <w:color w:val="auto"/>
              </w:rPr>
              <w:t>Common OP</w:t>
            </w:r>
          </w:p>
        </w:tc>
        <w:tc>
          <w:tcPr>
            <w:tcW w:w="200" w:type="dxa"/>
            <w:vAlign w:val="bottom"/>
          </w:tcPr>
          <w:p>
            <w:pPr>
              <w:spacing w:after="0"/>
              <w:rPr>
                <w:sz w:val="12"/>
                <w:szCs w:val="12"/>
                <w:color w:val="auto"/>
              </w:rPr>
            </w:pPr>
          </w:p>
        </w:tc>
        <w:tc>
          <w:tcPr>
            <w:tcW w:w="1260" w:type="dxa"/>
            <w:vAlign w:val="bottom"/>
            <w:gridSpan w:val="2"/>
          </w:tcPr>
          <w:p>
            <w:pPr>
              <w:ind w:left="140"/>
              <w:spacing w:after="0" w:line="146" w:lineRule="exact"/>
              <w:rPr>
                <w:sz w:val="20"/>
                <w:szCs w:val="20"/>
                <w:color w:val="auto"/>
              </w:rPr>
            </w:pPr>
            <w:r>
              <w:rPr>
                <w:rFonts w:ascii="Arial" w:cs="Arial" w:eastAsia="Arial" w:hAnsi="Arial"/>
                <w:sz w:val="15"/>
                <w:szCs w:val="15"/>
                <w:b w:val="1"/>
                <w:bCs w:val="1"/>
                <w:color w:val="auto"/>
              </w:rPr>
              <w:t>Units / Shares</w:t>
            </w:r>
          </w:p>
        </w:tc>
        <w:tc>
          <w:tcPr>
            <w:tcW w:w="1180" w:type="dxa"/>
            <w:vAlign w:val="bottom"/>
          </w:tcPr>
          <w:p>
            <w:pPr>
              <w:spacing w:after="0"/>
              <w:rPr>
                <w:sz w:val="12"/>
                <w:szCs w:val="12"/>
                <w:color w:val="auto"/>
              </w:rPr>
            </w:pPr>
          </w:p>
        </w:tc>
      </w:tr>
      <w:tr>
        <w:trPr>
          <w:trHeight w:val="216"/>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Series</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Rate</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Converted</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5"/>
                <w:szCs w:val="15"/>
                <w:b w:val="1"/>
                <w:bCs w:val="1"/>
                <w:color w:val="auto"/>
                <w:w w:val="89"/>
              </w:rPr>
              <w:t>Common Stock</w:t>
            </w:r>
            <w:r>
              <w:rPr>
                <w:rFonts w:ascii="Arial" w:cs="Arial" w:eastAsia="Arial" w:hAnsi="Arial"/>
                <w:sz w:val="19"/>
                <w:szCs w:val="19"/>
                <w:b w:val="1"/>
                <w:bCs w:val="1"/>
                <w:color w:val="auto"/>
                <w:w w:val="89"/>
                <w:vertAlign w:val="superscript"/>
              </w:rPr>
              <w:t>(1)</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264"/>
              <w:spacing w:after="0" w:line="216" w:lineRule="exact"/>
              <w:rPr>
                <w:sz w:val="20"/>
                <w:szCs w:val="20"/>
                <w:color w:val="auto"/>
              </w:rPr>
            </w:pPr>
            <w:r>
              <w:rPr>
                <w:rFonts w:ascii="Arial" w:cs="Arial" w:eastAsia="Arial" w:hAnsi="Arial"/>
                <w:sz w:val="15"/>
                <w:szCs w:val="15"/>
                <w:b w:val="1"/>
                <w:bCs w:val="1"/>
                <w:color w:val="auto"/>
              </w:rPr>
              <w:t>Units</w:t>
            </w:r>
            <w:r>
              <w:rPr>
                <w:rFonts w:ascii="Arial" w:cs="Arial" w:eastAsia="Arial" w:hAnsi="Arial"/>
                <w:sz w:val="19"/>
                <w:szCs w:val="19"/>
                <w:b w:val="1"/>
                <w:bCs w:val="1"/>
                <w:color w:val="auto"/>
                <w:vertAlign w:val="superscript"/>
              </w:rPr>
              <w:t>(1)</w:t>
            </w:r>
          </w:p>
        </w:tc>
        <w:tc>
          <w:tcPr>
            <w:tcW w:w="2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Converted</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5"/>
                <w:szCs w:val="15"/>
                <w:b w:val="1"/>
                <w:bCs w:val="1"/>
                <w:color w:val="auto"/>
                <w:w w:val="90"/>
              </w:rPr>
              <w:t>Common Stock</w:t>
            </w:r>
            <w:r>
              <w:rPr>
                <w:rFonts w:ascii="Arial" w:cs="Arial" w:eastAsia="Arial" w:hAnsi="Arial"/>
                <w:sz w:val="19"/>
                <w:szCs w:val="19"/>
                <w:b w:val="1"/>
                <w:bCs w:val="1"/>
                <w:color w:val="auto"/>
                <w:w w:val="90"/>
                <w:vertAlign w:val="superscript"/>
              </w:rPr>
              <w:t>(1)</w:t>
            </w:r>
          </w:p>
        </w:tc>
      </w:tr>
      <w:tr>
        <w:trPr>
          <w:trHeight w:val="196"/>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Aspen preferred OP units</w:t>
            </w:r>
          </w:p>
        </w:tc>
        <w:tc>
          <w:tcPr>
            <w:tcW w:w="980" w:type="dxa"/>
            <w:vAlign w:val="bottom"/>
            <w:shd w:val="clear" w:color="auto" w:fill="CCEEFF"/>
          </w:tcPr>
          <w:p>
            <w:pPr>
              <w:jc w:val="center"/>
              <w:spacing w:after="0" w:line="196" w:lineRule="exact"/>
              <w:rPr>
                <w:sz w:val="20"/>
                <w:szCs w:val="20"/>
                <w:color w:val="auto"/>
              </w:rPr>
            </w:pPr>
            <w:r>
              <w:rPr>
                <w:rFonts w:ascii="Arial" w:cs="Arial" w:eastAsia="Arial" w:hAnsi="Arial"/>
                <w:sz w:val="15"/>
                <w:szCs w:val="15"/>
                <w:color w:val="auto"/>
                <w:w w:val="87"/>
              </w:rPr>
              <w:t>Various</w:t>
            </w:r>
            <w:r>
              <w:rPr>
                <w:rFonts w:ascii="Arial" w:cs="Arial" w:eastAsia="Arial" w:hAnsi="Arial"/>
                <w:sz w:val="19"/>
                <w:szCs w:val="19"/>
                <w:color w:val="auto"/>
                <w:w w:val="87"/>
                <w:vertAlign w:val="superscript"/>
              </w:rPr>
              <w:t>(2)</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943,885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113,972</w:t>
            </w:r>
          </w:p>
        </w:tc>
        <w:tc>
          <w:tcPr>
            <w:tcW w:w="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191,223</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Common OP units</w:t>
            </w:r>
          </w:p>
        </w:tc>
        <w:tc>
          <w:tcPr>
            <w:tcW w:w="98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8,848</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8,848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139,841</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139,841</w:t>
            </w:r>
          </w:p>
        </w:tc>
      </w:tr>
      <w:tr>
        <w:trPr>
          <w:trHeight w:val="207"/>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Series A-1 preferred OP units</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2.4390</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13,177</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4,695</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11,444</w:t>
            </w:r>
          </w:p>
        </w:tc>
      </w:tr>
      <w:tr>
        <w:trPr>
          <w:trHeight w:val="198"/>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Series C preferred OP units</w:t>
            </w:r>
          </w:p>
        </w:tc>
        <w:tc>
          <w:tcPr>
            <w:tcW w:w="980" w:type="dxa"/>
            <w:vAlign w:val="bottom"/>
          </w:tcPr>
          <w:p>
            <w:pPr>
              <w:jc w:val="right"/>
              <w:spacing w:after="0"/>
              <w:rPr>
                <w:sz w:val="20"/>
                <w:szCs w:val="20"/>
                <w:color w:val="auto"/>
              </w:rPr>
            </w:pPr>
            <w:r>
              <w:rPr>
                <w:rFonts w:ascii="Arial" w:cs="Arial" w:eastAsia="Arial" w:hAnsi="Arial"/>
                <w:sz w:val="15"/>
                <w:szCs w:val="15"/>
                <w:color w:val="auto"/>
              </w:rPr>
              <w:t>1.1100</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165</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183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150</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166</w:t>
            </w:r>
          </w:p>
        </w:tc>
      </w:tr>
      <w:tr>
        <w:trPr>
          <w:trHeight w:val="207"/>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Series E preferred OP units</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0.6897</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6,896</w:t>
            </w:r>
          </w:p>
        </w:tc>
      </w:tr>
      <w:tr>
        <w:trPr>
          <w:trHeight w:val="198"/>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Series G preferred OP units</w:t>
            </w:r>
          </w:p>
        </w:tc>
        <w:tc>
          <w:tcPr>
            <w:tcW w:w="980" w:type="dxa"/>
            <w:vAlign w:val="bottom"/>
          </w:tcPr>
          <w:p>
            <w:pPr>
              <w:jc w:val="right"/>
              <w:spacing w:after="0"/>
              <w:rPr>
                <w:sz w:val="20"/>
                <w:szCs w:val="20"/>
                <w:color w:val="auto"/>
              </w:rPr>
            </w:pPr>
            <w:r>
              <w:rPr>
                <w:rFonts w:ascii="Arial" w:cs="Arial" w:eastAsia="Arial" w:hAnsi="Arial"/>
                <w:sz w:val="15"/>
                <w:szCs w:val="15"/>
                <w:color w:val="auto"/>
              </w:rPr>
              <w:t>0.6452</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30,000</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19,353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Series H preferred OP units</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0.6098</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3880" w:type="dxa"/>
            <w:vAlign w:val="bottom"/>
            <w:gridSpan w:val="2"/>
          </w:tcPr>
          <w:p>
            <w:pPr>
              <w:ind w:left="20"/>
              <w:spacing w:after="0"/>
              <w:rPr>
                <w:sz w:val="20"/>
                <w:szCs w:val="20"/>
                <w:color w:val="auto"/>
              </w:rPr>
            </w:pPr>
            <w:r>
              <w:rPr>
                <w:rFonts w:ascii="Arial" w:cs="Arial" w:eastAsia="Arial" w:hAnsi="Arial"/>
                <w:sz w:val="15"/>
                <w:szCs w:val="15"/>
                <w:color w:val="auto"/>
              </w:rPr>
              <w:t>Series I preferred OP units</w:t>
            </w:r>
          </w:p>
        </w:tc>
        <w:tc>
          <w:tcPr>
            <w:tcW w:w="980" w:type="dxa"/>
            <w:vAlign w:val="bottom"/>
          </w:tcPr>
          <w:p>
            <w:pPr>
              <w:jc w:val="right"/>
              <w:spacing w:after="0"/>
              <w:rPr>
                <w:sz w:val="20"/>
                <w:szCs w:val="20"/>
                <w:color w:val="auto"/>
              </w:rPr>
            </w:pPr>
            <w:r>
              <w:rPr>
                <w:rFonts w:ascii="Arial" w:cs="Arial" w:eastAsia="Arial" w:hAnsi="Arial"/>
                <w:sz w:val="15"/>
                <w:szCs w:val="15"/>
                <w:color w:val="auto"/>
              </w:rPr>
              <w:t>0.6098</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922,000</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562,195</w:t>
            </w:r>
          </w:p>
        </w:tc>
      </w:tr>
      <w:tr>
        <w:trPr>
          <w:trHeight w:val="207"/>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Series J preferred OP units</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0.6061</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1,212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bl>
    <w:p>
      <w:pPr>
        <w:spacing w:after="0" w:line="65"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Calculation may yield minor differences due to rounding incorporated in the above numbers.</w:t>
      </w:r>
    </w:p>
    <w:p>
      <w:pPr>
        <w:spacing w:after="0" w:line="57"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Refer to Note 8, "Debt and Line of Credit," for additional detail on Aspen preferred OP unit conversions.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Distributions declared for the three months ended September 30, 2023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Total Distribution (in</w:t>
            </w:r>
          </w:p>
        </w:tc>
      </w:tr>
      <w:tr>
        <w:trPr>
          <w:trHeight w:val="202"/>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w w:val="97"/>
              </w:rPr>
              <w:t>Common Stock, Common OP units and Restricted Stock Distributions</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Record Date</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Payment Date</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4"/>
              </w:rPr>
              <w:t>Distribution Per Share</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4"/>
              <w:spacing w:after="0"/>
              <w:rPr>
                <w:sz w:val="20"/>
                <w:szCs w:val="20"/>
                <w:color w:val="auto"/>
              </w:rPr>
            </w:pPr>
            <w:r>
              <w:rPr>
                <w:rFonts w:ascii="Arial" w:cs="Arial" w:eastAsia="Arial" w:hAnsi="Arial"/>
                <w:sz w:val="15"/>
                <w:szCs w:val="15"/>
                <w:b w:val="1"/>
                <w:bCs w:val="1"/>
                <w:color w:val="auto"/>
                <w:w w:val="98"/>
              </w:rPr>
              <w:t>Millions)</w:t>
            </w:r>
          </w:p>
        </w:tc>
      </w:tr>
      <w:tr>
        <w:trPr>
          <w:trHeight w:val="20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September 30, 2023</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9/29/2023</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10/16/2023</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September 30, 2023, we had two share-based compensation plans: the Sun Communities, Inc. first amended 2015 Equity Incentive Plan (as amended, the "2015 Equity Incentive Plan") and the First Amended and Restated 2004 Non-Employee Director Option Plan (as amended, the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 Time based awards for directors generally vest over three years. Time based awards for key employees and executives generally vest over five years. Market condition awards for executives generally vest after three years.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2023 and 2022, shares were granted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64"/>
              <w:spacing w:after="0"/>
              <w:rPr>
                <w:sz w:val="20"/>
                <w:szCs w:val="20"/>
                <w:color w:val="auto"/>
              </w:rPr>
            </w:pPr>
            <w:r>
              <w:rPr>
                <w:rFonts w:ascii="Arial" w:cs="Arial" w:eastAsia="Arial" w:hAnsi="Arial"/>
                <w:sz w:val="15"/>
                <w:szCs w:val="15"/>
                <w:b w:val="1"/>
                <w:bCs w:val="1"/>
                <w:color w:val="auto"/>
                <w:w w:val="99"/>
              </w:rPr>
              <w:t>Grant Date Fair</w:t>
            </w: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Grant Period</w:t>
            </w:r>
          </w:p>
        </w:tc>
        <w:tc>
          <w:tcPr>
            <w:tcW w:w="80" w:type="dxa"/>
            <w:vAlign w:val="bottom"/>
          </w:tcPr>
          <w:p>
            <w:pPr>
              <w:spacing w:after="0"/>
              <w:rPr>
                <w:sz w:val="17"/>
                <w:szCs w:val="17"/>
                <w:color w:val="auto"/>
              </w:rPr>
            </w:pPr>
          </w:p>
        </w:tc>
        <w:tc>
          <w:tcPr>
            <w:tcW w:w="1660" w:type="dxa"/>
            <w:vAlign w:val="bottom"/>
            <w:tcBorders>
              <w:bottom w:val="single" w:sz="8" w:color="auto"/>
            </w:tcBorders>
          </w:tcPr>
          <w:p>
            <w:pPr>
              <w:ind w:left="660"/>
              <w:spacing w:after="0"/>
              <w:rPr>
                <w:sz w:val="20"/>
                <w:szCs w:val="20"/>
                <w:color w:val="auto"/>
              </w:rPr>
            </w:pPr>
            <w:r>
              <w:rPr>
                <w:rFonts w:ascii="Arial" w:cs="Arial" w:eastAsia="Arial" w:hAnsi="Arial"/>
                <w:sz w:val="15"/>
                <w:szCs w:val="15"/>
                <w:b w:val="1"/>
                <w:bCs w:val="1"/>
                <w:color w:val="auto"/>
              </w:rPr>
              <w:t>Type</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ind w:left="1180"/>
              <w:spacing w:after="0"/>
              <w:rPr>
                <w:sz w:val="20"/>
                <w:szCs w:val="20"/>
                <w:color w:val="auto"/>
              </w:rPr>
            </w:pPr>
            <w:r>
              <w:rPr>
                <w:rFonts w:ascii="Arial" w:cs="Arial" w:eastAsia="Arial" w:hAnsi="Arial"/>
                <w:sz w:val="15"/>
                <w:szCs w:val="15"/>
                <w:b w:val="1"/>
                <w:bCs w:val="1"/>
                <w:color w:val="auto"/>
              </w:rPr>
              <w:t>Plan</w:t>
            </w:r>
          </w:p>
        </w:tc>
        <w:tc>
          <w:tcPr>
            <w:tcW w:w="80" w:type="dxa"/>
            <w:vAlign w:val="bottom"/>
          </w:tcPr>
          <w:p>
            <w:pPr>
              <w:spacing w:after="0"/>
              <w:rPr>
                <w:sz w:val="17"/>
                <w:szCs w:val="17"/>
                <w:color w:val="auto"/>
              </w:rPr>
            </w:pPr>
          </w:p>
        </w:tc>
        <w:tc>
          <w:tcPr>
            <w:tcW w:w="13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Shares Granted</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4"/>
              </w:rPr>
              <w:t>Value Per Share</w:t>
            </w:r>
          </w:p>
        </w:tc>
        <w:tc>
          <w:tcPr>
            <w:tcW w:w="340" w:type="dxa"/>
            <w:vAlign w:val="bottom"/>
            <w:vMerge w:val="restart"/>
          </w:tcPr>
          <w:p>
            <w:pPr>
              <w:jc w:val="right"/>
              <w:ind w:right="150"/>
              <w:spacing w:after="0"/>
              <w:rPr>
                <w:sz w:val="20"/>
                <w:szCs w:val="20"/>
                <w:color w:val="auto"/>
              </w:rPr>
            </w:pPr>
            <w:r>
              <w:rPr>
                <w:rFonts w:ascii="Arial" w:cs="Arial" w:eastAsia="Arial" w:hAnsi="Arial"/>
                <w:sz w:val="10"/>
                <w:szCs w:val="10"/>
                <w:color w:val="auto"/>
                <w:w w:val="97"/>
              </w:rPr>
              <w:t>(1)</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Vesting Type</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180" w:type="dxa"/>
            <w:vAlign w:val="bottom"/>
          </w:tcPr>
          <w:p>
            <w:pPr>
              <w:jc w:val="center"/>
              <w:spacing w:after="0" w:line="158" w:lineRule="exact"/>
              <w:rPr>
                <w:sz w:val="20"/>
                <w:szCs w:val="20"/>
                <w:color w:val="auto"/>
              </w:rPr>
            </w:pPr>
            <w:r>
              <w:rPr>
                <w:rFonts w:ascii="Arial" w:cs="Arial" w:eastAsia="Arial" w:hAnsi="Arial"/>
                <w:sz w:val="15"/>
                <w:szCs w:val="15"/>
                <w:color w:val="auto"/>
                <w:w w:val="89"/>
              </w:rPr>
              <w:t>2023</w:t>
            </w:r>
          </w:p>
        </w:tc>
        <w:tc>
          <w:tcPr>
            <w:tcW w:w="80" w:type="dxa"/>
            <w:vAlign w:val="bottom"/>
          </w:tcPr>
          <w:p>
            <w:pPr>
              <w:spacing w:after="0"/>
              <w:rPr>
                <w:sz w:val="13"/>
                <w:szCs w:val="13"/>
                <w:color w:val="auto"/>
              </w:rPr>
            </w:pPr>
          </w:p>
        </w:tc>
        <w:tc>
          <w:tcPr>
            <w:tcW w:w="1740" w:type="dxa"/>
            <w:vAlign w:val="bottom"/>
            <w:gridSpan w:val="2"/>
          </w:tcPr>
          <w:p>
            <w:pPr>
              <w:ind w:left="20"/>
              <w:spacing w:after="0" w:line="158" w:lineRule="exact"/>
              <w:rPr>
                <w:sz w:val="20"/>
                <w:szCs w:val="20"/>
                <w:color w:val="auto"/>
              </w:rPr>
            </w:pPr>
            <w:r>
              <w:rPr>
                <w:rFonts w:ascii="Arial" w:cs="Arial" w:eastAsia="Arial" w:hAnsi="Arial"/>
                <w:sz w:val="15"/>
                <w:szCs w:val="15"/>
                <w:color w:val="auto"/>
              </w:rPr>
              <w:t>Key Employees</w:t>
            </w:r>
          </w:p>
        </w:tc>
        <w:tc>
          <w:tcPr>
            <w:tcW w:w="340" w:type="dxa"/>
            <w:vAlign w:val="bottom"/>
          </w:tcPr>
          <w:p>
            <w:pPr>
              <w:jc w:val="right"/>
              <w:spacing w:after="0" w:line="158" w:lineRule="exact"/>
              <w:rPr>
                <w:sz w:val="20"/>
                <w:szCs w:val="20"/>
                <w:color w:val="auto"/>
              </w:rPr>
            </w:pPr>
            <w:r>
              <w:rPr>
                <w:rFonts w:ascii="Arial" w:cs="Arial" w:eastAsia="Arial" w:hAnsi="Arial"/>
                <w:sz w:val="15"/>
                <w:szCs w:val="15"/>
                <w:color w:val="auto"/>
                <w:w w:val="89"/>
              </w:rPr>
              <w:t>2015</w:t>
            </w:r>
          </w:p>
        </w:tc>
        <w:tc>
          <w:tcPr>
            <w:tcW w:w="3080" w:type="dxa"/>
            <w:vAlign w:val="bottom"/>
            <w:gridSpan w:val="2"/>
          </w:tcPr>
          <w:p>
            <w:pPr>
              <w:ind w:left="20"/>
              <w:spacing w:after="0" w:line="158" w:lineRule="exact"/>
              <w:rPr>
                <w:sz w:val="20"/>
                <w:szCs w:val="20"/>
                <w:color w:val="auto"/>
              </w:rPr>
            </w:pPr>
            <w:r>
              <w:rPr>
                <w:rFonts w:ascii="Arial" w:cs="Arial" w:eastAsia="Arial" w:hAnsi="Arial"/>
                <w:sz w:val="15"/>
                <w:szCs w:val="15"/>
                <w:color w:val="auto"/>
              </w:rPr>
              <w:t>Equity Incentive Plan</w:t>
            </w:r>
          </w:p>
        </w:tc>
        <w:tc>
          <w:tcPr>
            <w:tcW w:w="1360" w:type="dxa"/>
            <w:vAlign w:val="bottom"/>
          </w:tcPr>
          <w:p>
            <w:pPr>
              <w:jc w:val="right"/>
              <w:spacing w:after="0" w:line="158" w:lineRule="exact"/>
              <w:rPr>
                <w:sz w:val="20"/>
                <w:szCs w:val="20"/>
                <w:color w:val="auto"/>
              </w:rPr>
            </w:pPr>
            <w:r>
              <w:rPr>
                <w:rFonts w:ascii="Arial" w:cs="Arial" w:eastAsia="Arial" w:hAnsi="Arial"/>
                <w:sz w:val="15"/>
                <w:szCs w:val="15"/>
                <w:color w:val="auto"/>
              </w:rPr>
              <w:t>220,858</w:t>
            </w:r>
          </w:p>
        </w:tc>
        <w:tc>
          <w:tcPr>
            <w:tcW w:w="8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line="158" w:lineRule="exact"/>
              <w:rPr>
                <w:sz w:val="20"/>
                <w:szCs w:val="20"/>
                <w:color w:val="auto"/>
              </w:rPr>
            </w:pPr>
            <w:r>
              <w:rPr>
                <w:rFonts w:ascii="Arial" w:cs="Arial" w:eastAsia="Arial" w:hAnsi="Arial"/>
                <w:sz w:val="15"/>
                <w:szCs w:val="15"/>
                <w:color w:val="auto"/>
              </w:rPr>
              <w:t>137.14</w:t>
            </w:r>
          </w:p>
        </w:tc>
        <w:tc>
          <w:tcPr>
            <w:tcW w:w="340" w:type="dxa"/>
            <w:vAlign w:val="bottom"/>
            <w:vMerge w:val="continue"/>
          </w:tcPr>
          <w:p>
            <w:pPr>
              <w:spacing w:after="0"/>
              <w:rPr>
                <w:sz w:val="13"/>
                <w:szCs w:val="13"/>
                <w:color w:val="auto"/>
              </w:rPr>
            </w:pPr>
          </w:p>
        </w:tc>
        <w:tc>
          <w:tcPr>
            <w:tcW w:w="1360" w:type="dxa"/>
            <w:vAlign w:val="bottom"/>
          </w:tcPr>
          <w:p>
            <w:pPr>
              <w:ind w:left="20"/>
              <w:spacing w:after="0" w:line="158" w:lineRule="exact"/>
              <w:rPr>
                <w:sz w:val="20"/>
                <w:szCs w:val="20"/>
                <w:color w:val="auto"/>
              </w:rPr>
            </w:pPr>
            <w:r>
              <w:rPr>
                <w:rFonts w:ascii="Arial" w:cs="Arial" w:eastAsia="Arial" w:hAnsi="Arial"/>
                <w:sz w:val="15"/>
                <w:szCs w:val="15"/>
                <w:color w:val="auto"/>
              </w:rPr>
              <w:t>Time Based</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rPr>
                <w:sz w:val="20"/>
                <w:szCs w:val="20"/>
                <w:color w:val="auto"/>
              </w:rPr>
            </w:pPr>
            <w:r>
              <w:rPr>
                <w:rFonts w:ascii="Arial" w:cs="Arial" w:eastAsia="Arial" w:hAnsi="Arial"/>
                <w:sz w:val="15"/>
                <w:szCs w:val="15"/>
                <w:color w:val="auto"/>
                <w:w w:val="89"/>
              </w:rPr>
              <w:t>2023</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jc w:val="right"/>
              <w:spacing w:after="0"/>
              <w:rPr>
                <w:sz w:val="20"/>
                <w:szCs w:val="20"/>
                <w:color w:val="auto"/>
              </w:rPr>
            </w:pPr>
            <w:r>
              <w:rPr>
                <w:rFonts w:ascii="Arial" w:cs="Arial" w:eastAsia="Arial" w:hAnsi="Arial"/>
                <w:sz w:val="15"/>
                <w:szCs w:val="15"/>
                <w:color w:val="auto"/>
                <w:w w:val="89"/>
              </w:rPr>
              <w:t>2015</w:t>
            </w:r>
          </w:p>
        </w:tc>
        <w:tc>
          <w:tcPr>
            <w:tcW w:w="30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1360" w:type="dxa"/>
            <w:vAlign w:val="bottom"/>
          </w:tcPr>
          <w:p>
            <w:pPr>
              <w:jc w:val="right"/>
              <w:spacing w:after="0"/>
              <w:rPr>
                <w:sz w:val="20"/>
                <w:szCs w:val="20"/>
                <w:color w:val="auto"/>
              </w:rPr>
            </w:pPr>
            <w:r>
              <w:rPr>
                <w:rFonts w:ascii="Arial" w:cs="Arial" w:eastAsia="Arial" w:hAnsi="Arial"/>
                <w:sz w:val="15"/>
                <w:szCs w:val="15"/>
                <w:color w:val="auto"/>
              </w:rPr>
              <w:t>62,800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144.88</w:t>
            </w:r>
          </w:p>
        </w:tc>
        <w:tc>
          <w:tcPr>
            <w:tcW w:w="340" w:type="dxa"/>
            <w:vAlign w:val="bottom"/>
          </w:tcPr>
          <w:p>
            <w:pPr>
              <w:jc w:val="right"/>
              <w:ind w:right="150"/>
              <w:spacing w:after="0"/>
              <w:rPr>
                <w:sz w:val="20"/>
                <w:szCs w:val="20"/>
                <w:color w:val="auto"/>
              </w:rPr>
            </w:pPr>
            <w:r>
              <w:rPr>
                <w:rFonts w:ascii="Arial" w:cs="Arial" w:eastAsia="Arial" w:hAnsi="Arial"/>
                <w:sz w:val="10"/>
                <w:szCs w:val="10"/>
                <w:color w:val="auto"/>
                <w:w w:val="97"/>
              </w:rPr>
              <w:t>(1)</w:t>
            </w:r>
          </w:p>
        </w:tc>
        <w:tc>
          <w:tcPr>
            <w:tcW w:w="1360" w:type="dxa"/>
            <w:vAlign w:val="bottom"/>
          </w:tcPr>
          <w:p>
            <w:pPr>
              <w:ind w:left="20"/>
              <w:spacing w:after="0"/>
              <w:rPr>
                <w:sz w:val="20"/>
                <w:szCs w:val="20"/>
                <w:color w:val="auto"/>
              </w:rPr>
            </w:pPr>
            <w:r>
              <w:rPr>
                <w:rFonts w:ascii="Arial" w:cs="Arial" w:eastAsia="Arial" w:hAnsi="Arial"/>
                <w:sz w:val="15"/>
                <w:szCs w:val="15"/>
                <w:color w:val="auto"/>
              </w:rPr>
              <w:t>Time Based</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rPr>
                <w:sz w:val="20"/>
                <w:szCs w:val="20"/>
                <w:color w:val="auto"/>
              </w:rPr>
            </w:pPr>
            <w:r>
              <w:rPr>
                <w:rFonts w:ascii="Arial" w:cs="Arial" w:eastAsia="Arial" w:hAnsi="Arial"/>
                <w:sz w:val="15"/>
                <w:szCs w:val="15"/>
                <w:color w:val="auto"/>
                <w:w w:val="89"/>
              </w:rPr>
              <w:t>2023</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jc w:val="right"/>
              <w:spacing w:after="0"/>
              <w:rPr>
                <w:sz w:val="20"/>
                <w:szCs w:val="20"/>
                <w:color w:val="auto"/>
              </w:rPr>
            </w:pPr>
            <w:r>
              <w:rPr>
                <w:rFonts w:ascii="Arial" w:cs="Arial" w:eastAsia="Arial" w:hAnsi="Arial"/>
                <w:sz w:val="15"/>
                <w:szCs w:val="15"/>
                <w:color w:val="auto"/>
                <w:w w:val="89"/>
              </w:rPr>
              <w:t>2015</w:t>
            </w:r>
          </w:p>
        </w:tc>
        <w:tc>
          <w:tcPr>
            <w:tcW w:w="30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1360" w:type="dxa"/>
            <w:vAlign w:val="bottom"/>
          </w:tcPr>
          <w:p>
            <w:pPr>
              <w:jc w:val="right"/>
              <w:spacing w:after="0"/>
              <w:rPr>
                <w:sz w:val="20"/>
                <w:szCs w:val="20"/>
                <w:color w:val="auto"/>
              </w:rPr>
            </w:pPr>
            <w:r>
              <w:rPr>
                <w:rFonts w:ascii="Arial" w:cs="Arial" w:eastAsia="Arial" w:hAnsi="Arial"/>
                <w:sz w:val="15"/>
                <w:szCs w:val="15"/>
                <w:color w:val="auto"/>
              </w:rPr>
              <w:t>82,200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108.60</w:t>
            </w:r>
          </w:p>
        </w:tc>
        <w:tc>
          <w:tcPr>
            <w:tcW w:w="340" w:type="dxa"/>
            <w:vAlign w:val="bottom"/>
          </w:tcPr>
          <w:p>
            <w:pPr>
              <w:jc w:val="right"/>
              <w:ind w:right="150"/>
              <w:spacing w:after="0"/>
              <w:rPr>
                <w:sz w:val="20"/>
                <w:szCs w:val="20"/>
                <w:color w:val="auto"/>
              </w:rPr>
            </w:pPr>
            <w:r>
              <w:rPr>
                <w:rFonts w:ascii="Arial" w:cs="Arial" w:eastAsia="Arial" w:hAnsi="Arial"/>
                <w:sz w:val="10"/>
                <w:szCs w:val="10"/>
                <w:color w:val="auto"/>
                <w:w w:val="97"/>
              </w:rPr>
              <w:t>(2)</w:t>
            </w:r>
          </w:p>
        </w:tc>
        <w:tc>
          <w:tcPr>
            <w:tcW w:w="1360" w:type="dxa"/>
            <w:vAlign w:val="bottom"/>
          </w:tcPr>
          <w:p>
            <w:pPr>
              <w:ind w:left="20"/>
              <w:spacing w:after="0"/>
              <w:rPr>
                <w:sz w:val="20"/>
                <w:szCs w:val="20"/>
                <w:color w:val="auto"/>
              </w:rPr>
            </w:pPr>
            <w:r>
              <w:rPr>
                <w:rFonts w:ascii="Arial" w:cs="Arial" w:eastAsia="Arial" w:hAnsi="Arial"/>
                <w:sz w:val="15"/>
                <w:szCs w:val="15"/>
                <w:color w:val="auto"/>
              </w:rPr>
              <w:t>Market Condition</w:t>
            </w:r>
          </w:p>
        </w:tc>
        <w:tc>
          <w:tcPr>
            <w:tcW w:w="320" w:type="dxa"/>
            <w:vAlign w:val="bottom"/>
          </w:tcPr>
          <w:p>
            <w:pPr>
              <w:jc w:val="right"/>
              <w:ind w:right="150"/>
              <w:spacing w:after="0"/>
              <w:rPr>
                <w:sz w:val="20"/>
                <w:szCs w:val="20"/>
                <w:color w:val="auto"/>
              </w:rPr>
            </w:pPr>
            <w:r>
              <w:rPr>
                <w:rFonts w:ascii="Arial" w:cs="Arial" w:eastAsia="Arial" w:hAnsi="Arial"/>
                <w:sz w:val="10"/>
                <w:szCs w:val="10"/>
                <w:color w:val="auto"/>
                <w:w w:val="81"/>
              </w:rPr>
              <w:t>(3)</w:t>
            </w: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rPr>
                <w:sz w:val="20"/>
                <w:szCs w:val="20"/>
                <w:color w:val="auto"/>
              </w:rPr>
            </w:pPr>
            <w:r>
              <w:rPr>
                <w:rFonts w:ascii="Arial" w:cs="Arial" w:eastAsia="Arial" w:hAnsi="Arial"/>
                <w:sz w:val="15"/>
                <w:szCs w:val="15"/>
                <w:color w:val="auto"/>
                <w:w w:val="89"/>
              </w:rPr>
              <w:t>2023</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Directors</w:t>
            </w:r>
          </w:p>
        </w:tc>
        <w:tc>
          <w:tcPr>
            <w:tcW w:w="340" w:type="dxa"/>
            <w:vAlign w:val="bottom"/>
          </w:tcPr>
          <w:p>
            <w:pPr>
              <w:jc w:val="right"/>
              <w:spacing w:after="0"/>
              <w:rPr>
                <w:sz w:val="20"/>
                <w:szCs w:val="20"/>
                <w:color w:val="auto"/>
              </w:rPr>
            </w:pPr>
            <w:r>
              <w:rPr>
                <w:rFonts w:ascii="Arial" w:cs="Arial" w:eastAsia="Arial" w:hAnsi="Arial"/>
                <w:sz w:val="15"/>
                <w:szCs w:val="15"/>
                <w:color w:val="auto"/>
                <w:w w:val="89"/>
              </w:rPr>
              <w:t>2004</w:t>
            </w:r>
          </w:p>
        </w:tc>
        <w:tc>
          <w:tcPr>
            <w:tcW w:w="3080" w:type="dxa"/>
            <w:vAlign w:val="bottom"/>
            <w:gridSpan w:val="2"/>
          </w:tcPr>
          <w:p>
            <w:pPr>
              <w:ind w:left="20"/>
              <w:spacing w:after="0"/>
              <w:rPr>
                <w:sz w:val="20"/>
                <w:szCs w:val="20"/>
                <w:color w:val="auto"/>
              </w:rPr>
            </w:pPr>
            <w:r>
              <w:rPr>
                <w:rFonts w:ascii="Arial" w:cs="Arial" w:eastAsia="Arial" w:hAnsi="Arial"/>
                <w:sz w:val="15"/>
                <w:szCs w:val="15"/>
                <w:color w:val="auto"/>
              </w:rPr>
              <w:t>Non-Employee Director Option Plan</w:t>
            </w:r>
          </w:p>
        </w:tc>
        <w:tc>
          <w:tcPr>
            <w:tcW w:w="1360" w:type="dxa"/>
            <w:vAlign w:val="bottom"/>
          </w:tcPr>
          <w:p>
            <w:pPr>
              <w:jc w:val="right"/>
              <w:spacing w:after="0"/>
              <w:rPr>
                <w:sz w:val="20"/>
                <w:szCs w:val="20"/>
                <w:color w:val="auto"/>
              </w:rPr>
            </w:pPr>
            <w:r>
              <w:rPr>
                <w:rFonts w:ascii="Arial" w:cs="Arial" w:eastAsia="Arial" w:hAnsi="Arial"/>
                <w:sz w:val="15"/>
                <w:szCs w:val="15"/>
                <w:color w:val="auto"/>
              </w:rPr>
              <w:t>16,000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148.12</w:t>
            </w:r>
          </w:p>
        </w:tc>
        <w:tc>
          <w:tcPr>
            <w:tcW w:w="340" w:type="dxa"/>
            <w:vAlign w:val="bottom"/>
          </w:tcPr>
          <w:p>
            <w:pPr>
              <w:jc w:val="right"/>
              <w:ind w:right="150"/>
              <w:spacing w:after="0"/>
              <w:rPr>
                <w:sz w:val="20"/>
                <w:szCs w:val="20"/>
                <w:color w:val="auto"/>
              </w:rPr>
            </w:pPr>
            <w:r>
              <w:rPr>
                <w:rFonts w:ascii="Arial" w:cs="Arial" w:eastAsia="Arial" w:hAnsi="Arial"/>
                <w:sz w:val="10"/>
                <w:szCs w:val="10"/>
                <w:color w:val="auto"/>
                <w:w w:val="97"/>
              </w:rPr>
              <w:t>(1)</w:t>
            </w:r>
          </w:p>
        </w:tc>
        <w:tc>
          <w:tcPr>
            <w:tcW w:w="1360" w:type="dxa"/>
            <w:vAlign w:val="bottom"/>
          </w:tcPr>
          <w:p>
            <w:pPr>
              <w:ind w:left="20"/>
              <w:spacing w:after="0"/>
              <w:rPr>
                <w:sz w:val="20"/>
                <w:szCs w:val="20"/>
                <w:color w:val="auto"/>
              </w:rPr>
            </w:pPr>
            <w:r>
              <w:rPr>
                <w:rFonts w:ascii="Arial" w:cs="Arial" w:eastAsia="Arial" w:hAnsi="Arial"/>
                <w:sz w:val="15"/>
                <w:szCs w:val="15"/>
                <w:color w:val="auto"/>
              </w:rPr>
              <w:t>Time Based</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rPr>
                <w:sz w:val="20"/>
                <w:szCs w:val="20"/>
                <w:color w:val="auto"/>
              </w:rPr>
            </w:pPr>
            <w:r>
              <w:rPr>
                <w:rFonts w:ascii="Arial" w:cs="Arial" w:eastAsia="Arial" w:hAnsi="Arial"/>
                <w:sz w:val="15"/>
                <w:szCs w:val="15"/>
                <w:color w:val="auto"/>
                <w:w w:val="89"/>
              </w:rPr>
              <w:t>2022</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tcPr>
          <w:p>
            <w:pPr>
              <w:jc w:val="right"/>
              <w:spacing w:after="0"/>
              <w:rPr>
                <w:sz w:val="20"/>
                <w:szCs w:val="20"/>
                <w:color w:val="auto"/>
              </w:rPr>
            </w:pPr>
            <w:r>
              <w:rPr>
                <w:rFonts w:ascii="Arial" w:cs="Arial" w:eastAsia="Arial" w:hAnsi="Arial"/>
                <w:sz w:val="15"/>
                <w:szCs w:val="15"/>
                <w:color w:val="auto"/>
                <w:w w:val="89"/>
              </w:rPr>
              <w:t>2015</w:t>
            </w:r>
          </w:p>
        </w:tc>
        <w:tc>
          <w:tcPr>
            <w:tcW w:w="30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1360" w:type="dxa"/>
            <w:vAlign w:val="bottom"/>
          </w:tcPr>
          <w:p>
            <w:pPr>
              <w:jc w:val="right"/>
              <w:spacing w:after="0"/>
              <w:rPr>
                <w:sz w:val="20"/>
                <w:szCs w:val="20"/>
                <w:color w:val="auto"/>
              </w:rPr>
            </w:pPr>
            <w:r>
              <w:rPr>
                <w:rFonts w:ascii="Arial" w:cs="Arial" w:eastAsia="Arial" w:hAnsi="Arial"/>
                <w:sz w:val="15"/>
                <w:szCs w:val="15"/>
                <w:color w:val="auto"/>
              </w:rPr>
              <w:t>203,210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179.23</w:t>
            </w:r>
          </w:p>
        </w:tc>
        <w:tc>
          <w:tcPr>
            <w:tcW w:w="340" w:type="dxa"/>
            <w:vAlign w:val="bottom"/>
          </w:tcPr>
          <w:p>
            <w:pPr>
              <w:jc w:val="right"/>
              <w:ind w:right="150"/>
              <w:spacing w:after="0"/>
              <w:rPr>
                <w:sz w:val="20"/>
                <w:szCs w:val="20"/>
                <w:color w:val="auto"/>
              </w:rPr>
            </w:pPr>
            <w:r>
              <w:rPr>
                <w:rFonts w:ascii="Arial" w:cs="Arial" w:eastAsia="Arial" w:hAnsi="Arial"/>
                <w:sz w:val="10"/>
                <w:szCs w:val="10"/>
                <w:color w:val="auto"/>
                <w:w w:val="97"/>
              </w:rPr>
              <w:t>(1)</w:t>
            </w:r>
          </w:p>
        </w:tc>
        <w:tc>
          <w:tcPr>
            <w:tcW w:w="1360" w:type="dxa"/>
            <w:vAlign w:val="bottom"/>
          </w:tcPr>
          <w:p>
            <w:pPr>
              <w:ind w:left="20"/>
              <w:spacing w:after="0"/>
              <w:rPr>
                <w:sz w:val="20"/>
                <w:szCs w:val="20"/>
                <w:color w:val="auto"/>
              </w:rPr>
            </w:pPr>
            <w:r>
              <w:rPr>
                <w:rFonts w:ascii="Arial" w:cs="Arial" w:eastAsia="Arial" w:hAnsi="Arial"/>
                <w:sz w:val="15"/>
                <w:szCs w:val="15"/>
                <w:color w:val="auto"/>
              </w:rPr>
              <w:t>Time Based</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80" w:type="dxa"/>
            <w:vAlign w:val="bottom"/>
          </w:tcPr>
          <w:p>
            <w:pPr>
              <w:jc w:val="center"/>
              <w:spacing w:after="0"/>
              <w:rPr>
                <w:sz w:val="20"/>
                <w:szCs w:val="20"/>
                <w:color w:val="auto"/>
              </w:rPr>
            </w:pPr>
            <w:r>
              <w:rPr>
                <w:rFonts w:ascii="Arial" w:cs="Arial" w:eastAsia="Arial" w:hAnsi="Arial"/>
                <w:sz w:val="15"/>
                <w:szCs w:val="15"/>
                <w:color w:val="auto"/>
                <w:w w:val="89"/>
              </w:rPr>
              <w:t>2022</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jc w:val="right"/>
              <w:spacing w:after="0"/>
              <w:rPr>
                <w:sz w:val="20"/>
                <w:szCs w:val="20"/>
                <w:color w:val="auto"/>
              </w:rPr>
            </w:pPr>
            <w:r>
              <w:rPr>
                <w:rFonts w:ascii="Arial" w:cs="Arial" w:eastAsia="Arial" w:hAnsi="Arial"/>
                <w:sz w:val="15"/>
                <w:szCs w:val="15"/>
                <w:color w:val="auto"/>
                <w:w w:val="89"/>
              </w:rPr>
              <w:t>2015</w:t>
            </w:r>
          </w:p>
        </w:tc>
        <w:tc>
          <w:tcPr>
            <w:tcW w:w="30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1360" w:type="dxa"/>
            <w:vAlign w:val="bottom"/>
          </w:tcPr>
          <w:p>
            <w:pPr>
              <w:jc w:val="right"/>
              <w:spacing w:after="0"/>
              <w:rPr>
                <w:sz w:val="20"/>
                <w:szCs w:val="20"/>
                <w:color w:val="auto"/>
              </w:rPr>
            </w:pPr>
            <w:r>
              <w:rPr>
                <w:rFonts w:ascii="Arial" w:cs="Arial" w:eastAsia="Arial" w:hAnsi="Arial"/>
                <w:sz w:val="15"/>
                <w:szCs w:val="15"/>
                <w:color w:val="auto"/>
              </w:rPr>
              <w:t>66,000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178.20</w:t>
            </w:r>
          </w:p>
        </w:tc>
        <w:tc>
          <w:tcPr>
            <w:tcW w:w="340" w:type="dxa"/>
            <w:vAlign w:val="bottom"/>
          </w:tcPr>
          <w:p>
            <w:pPr>
              <w:jc w:val="right"/>
              <w:ind w:right="150"/>
              <w:spacing w:after="0"/>
              <w:rPr>
                <w:sz w:val="20"/>
                <w:szCs w:val="20"/>
                <w:color w:val="auto"/>
              </w:rPr>
            </w:pPr>
            <w:r>
              <w:rPr>
                <w:rFonts w:ascii="Arial" w:cs="Arial" w:eastAsia="Arial" w:hAnsi="Arial"/>
                <w:sz w:val="10"/>
                <w:szCs w:val="10"/>
                <w:color w:val="auto"/>
                <w:w w:val="97"/>
              </w:rPr>
              <w:t>(1)</w:t>
            </w:r>
          </w:p>
        </w:tc>
        <w:tc>
          <w:tcPr>
            <w:tcW w:w="1360" w:type="dxa"/>
            <w:vAlign w:val="bottom"/>
          </w:tcPr>
          <w:p>
            <w:pPr>
              <w:ind w:left="20"/>
              <w:spacing w:after="0"/>
              <w:rPr>
                <w:sz w:val="20"/>
                <w:szCs w:val="20"/>
                <w:color w:val="auto"/>
              </w:rPr>
            </w:pPr>
            <w:r>
              <w:rPr>
                <w:rFonts w:ascii="Arial" w:cs="Arial" w:eastAsia="Arial" w:hAnsi="Arial"/>
                <w:sz w:val="15"/>
                <w:szCs w:val="15"/>
                <w:color w:val="auto"/>
              </w:rPr>
              <w:t>Time Based</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rPr>
                <w:sz w:val="20"/>
                <w:szCs w:val="20"/>
                <w:color w:val="auto"/>
              </w:rPr>
            </w:pPr>
            <w:r>
              <w:rPr>
                <w:rFonts w:ascii="Arial" w:cs="Arial" w:eastAsia="Arial" w:hAnsi="Arial"/>
                <w:sz w:val="15"/>
                <w:szCs w:val="15"/>
                <w:color w:val="auto"/>
                <w:w w:val="89"/>
              </w:rPr>
              <w:t>2022</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jc w:val="right"/>
              <w:spacing w:after="0"/>
              <w:rPr>
                <w:sz w:val="20"/>
                <w:szCs w:val="20"/>
                <w:color w:val="auto"/>
              </w:rPr>
            </w:pPr>
            <w:r>
              <w:rPr>
                <w:rFonts w:ascii="Arial" w:cs="Arial" w:eastAsia="Arial" w:hAnsi="Arial"/>
                <w:sz w:val="15"/>
                <w:szCs w:val="15"/>
                <w:color w:val="auto"/>
                <w:w w:val="89"/>
              </w:rPr>
              <w:t>2015</w:t>
            </w:r>
          </w:p>
        </w:tc>
        <w:tc>
          <w:tcPr>
            <w:tcW w:w="30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1360" w:type="dxa"/>
            <w:vAlign w:val="bottom"/>
          </w:tcPr>
          <w:p>
            <w:pPr>
              <w:jc w:val="right"/>
              <w:spacing w:after="0"/>
              <w:rPr>
                <w:sz w:val="20"/>
                <w:szCs w:val="20"/>
                <w:color w:val="auto"/>
              </w:rPr>
            </w:pPr>
            <w:r>
              <w:rPr>
                <w:rFonts w:ascii="Arial" w:cs="Arial" w:eastAsia="Arial" w:hAnsi="Arial"/>
                <w:sz w:val="15"/>
                <w:szCs w:val="15"/>
                <w:color w:val="auto"/>
              </w:rPr>
              <w:t>91,500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124.88</w:t>
            </w:r>
          </w:p>
        </w:tc>
        <w:tc>
          <w:tcPr>
            <w:tcW w:w="340" w:type="dxa"/>
            <w:vAlign w:val="bottom"/>
          </w:tcPr>
          <w:p>
            <w:pPr>
              <w:jc w:val="right"/>
              <w:ind w:right="150"/>
              <w:spacing w:after="0"/>
              <w:rPr>
                <w:sz w:val="20"/>
                <w:szCs w:val="20"/>
                <w:color w:val="auto"/>
              </w:rPr>
            </w:pPr>
            <w:r>
              <w:rPr>
                <w:rFonts w:ascii="Arial" w:cs="Arial" w:eastAsia="Arial" w:hAnsi="Arial"/>
                <w:sz w:val="10"/>
                <w:szCs w:val="10"/>
                <w:color w:val="auto"/>
                <w:w w:val="97"/>
              </w:rPr>
              <w:t>(2)</w:t>
            </w:r>
          </w:p>
        </w:tc>
        <w:tc>
          <w:tcPr>
            <w:tcW w:w="1360" w:type="dxa"/>
            <w:vAlign w:val="bottom"/>
          </w:tcPr>
          <w:p>
            <w:pPr>
              <w:ind w:left="20"/>
              <w:spacing w:after="0"/>
              <w:rPr>
                <w:sz w:val="20"/>
                <w:szCs w:val="20"/>
                <w:color w:val="auto"/>
              </w:rPr>
            </w:pPr>
            <w:r>
              <w:rPr>
                <w:rFonts w:ascii="Arial" w:cs="Arial" w:eastAsia="Arial" w:hAnsi="Arial"/>
                <w:sz w:val="15"/>
                <w:szCs w:val="15"/>
                <w:color w:val="auto"/>
              </w:rPr>
              <w:t>Market Condition</w:t>
            </w:r>
          </w:p>
        </w:tc>
        <w:tc>
          <w:tcPr>
            <w:tcW w:w="320" w:type="dxa"/>
            <w:vAlign w:val="bottom"/>
          </w:tcPr>
          <w:p>
            <w:pPr>
              <w:jc w:val="right"/>
              <w:ind w:right="150"/>
              <w:spacing w:after="0"/>
              <w:rPr>
                <w:sz w:val="20"/>
                <w:szCs w:val="20"/>
                <w:color w:val="auto"/>
              </w:rPr>
            </w:pPr>
            <w:r>
              <w:rPr>
                <w:rFonts w:ascii="Arial" w:cs="Arial" w:eastAsia="Arial" w:hAnsi="Arial"/>
                <w:sz w:val="10"/>
                <w:szCs w:val="10"/>
                <w:color w:val="auto"/>
                <w:w w:val="81"/>
              </w:rPr>
              <w:t>(3)</w:t>
            </w:r>
          </w:p>
        </w:tc>
        <w:tc>
          <w:tcPr>
            <w:tcW w:w="0" w:type="dxa"/>
            <w:vAlign w:val="bottom"/>
          </w:tcPr>
          <w:p>
            <w:pPr>
              <w:spacing w:after="0"/>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5"/>
                <w:szCs w:val="15"/>
                <w:color w:val="auto"/>
                <w:w w:val="89"/>
              </w:rPr>
              <w:t>2022</w:t>
            </w:r>
          </w:p>
        </w:tc>
        <w:tc>
          <w:tcPr>
            <w:tcW w:w="8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Directors</w:t>
            </w:r>
          </w:p>
        </w:tc>
        <w:tc>
          <w:tcPr>
            <w:tcW w:w="340" w:type="dxa"/>
            <w:vAlign w:val="bottom"/>
          </w:tcPr>
          <w:p>
            <w:pPr>
              <w:jc w:val="right"/>
              <w:spacing w:after="0"/>
              <w:rPr>
                <w:sz w:val="20"/>
                <w:szCs w:val="20"/>
                <w:color w:val="auto"/>
              </w:rPr>
            </w:pPr>
            <w:r>
              <w:rPr>
                <w:rFonts w:ascii="Arial" w:cs="Arial" w:eastAsia="Arial" w:hAnsi="Arial"/>
                <w:sz w:val="15"/>
                <w:szCs w:val="15"/>
                <w:color w:val="auto"/>
                <w:w w:val="89"/>
              </w:rPr>
              <w:t>2004</w:t>
            </w:r>
          </w:p>
        </w:tc>
        <w:tc>
          <w:tcPr>
            <w:tcW w:w="3080" w:type="dxa"/>
            <w:vAlign w:val="bottom"/>
            <w:gridSpan w:val="2"/>
          </w:tcPr>
          <w:p>
            <w:pPr>
              <w:ind w:left="20"/>
              <w:spacing w:after="0"/>
              <w:rPr>
                <w:sz w:val="20"/>
                <w:szCs w:val="20"/>
                <w:color w:val="auto"/>
              </w:rPr>
            </w:pPr>
            <w:r>
              <w:rPr>
                <w:rFonts w:ascii="Arial" w:cs="Arial" w:eastAsia="Arial" w:hAnsi="Arial"/>
                <w:sz w:val="15"/>
                <w:szCs w:val="15"/>
                <w:color w:val="auto"/>
              </w:rPr>
              <w:t>Non-Employee Director Option Plan</w:t>
            </w:r>
          </w:p>
        </w:tc>
        <w:tc>
          <w:tcPr>
            <w:tcW w:w="1360" w:type="dxa"/>
            <w:vAlign w:val="bottom"/>
          </w:tcPr>
          <w:p>
            <w:pPr>
              <w:jc w:val="right"/>
              <w:spacing w:after="0"/>
              <w:rPr>
                <w:sz w:val="20"/>
                <w:szCs w:val="20"/>
                <w:color w:val="auto"/>
              </w:rPr>
            </w:pPr>
            <w:r>
              <w:rPr>
                <w:rFonts w:ascii="Arial" w:cs="Arial" w:eastAsia="Arial" w:hAnsi="Arial"/>
                <w:sz w:val="15"/>
                <w:szCs w:val="15"/>
                <w:color w:val="auto"/>
              </w:rPr>
              <w:t>11,900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197.00</w:t>
            </w:r>
          </w:p>
        </w:tc>
        <w:tc>
          <w:tcPr>
            <w:tcW w:w="340" w:type="dxa"/>
            <w:vAlign w:val="bottom"/>
          </w:tcPr>
          <w:p>
            <w:pPr>
              <w:jc w:val="right"/>
              <w:ind w:right="150"/>
              <w:spacing w:after="0"/>
              <w:rPr>
                <w:sz w:val="20"/>
                <w:szCs w:val="20"/>
                <w:color w:val="auto"/>
              </w:rPr>
            </w:pPr>
            <w:r>
              <w:rPr>
                <w:rFonts w:ascii="Arial" w:cs="Arial" w:eastAsia="Arial" w:hAnsi="Arial"/>
                <w:sz w:val="10"/>
                <w:szCs w:val="10"/>
                <w:color w:val="auto"/>
                <w:w w:val="97"/>
              </w:rPr>
              <w:t>(1)</w:t>
            </w:r>
          </w:p>
        </w:tc>
        <w:tc>
          <w:tcPr>
            <w:tcW w:w="1360" w:type="dxa"/>
            <w:vAlign w:val="bottom"/>
          </w:tcPr>
          <w:p>
            <w:pPr>
              <w:ind w:left="20"/>
              <w:spacing w:after="0"/>
              <w:rPr>
                <w:sz w:val="20"/>
                <w:szCs w:val="20"/>
                <w:color w:val="auto"/>
              </w:rPr>
            </w:pPr>
            <w:r>
              <w:rPr>
                <w:rFonts w:ascii="Arial" w:cs="Arial" w:eastAsia="Arial" w:hAnsi="Arial"/>
                <w:sz w:val="15"/>
                <w:szCs w:val="15"/>
                <w:color w:val="auto"/>
              </w:rPr>
              <w:t>Time Based</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-1031240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-765810</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53"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Represents the weighted average fair value per share of the closing price of our common stock on the dates the shares were awarded.</w:t>
      </w:r>
    </w:p>
    <w:p>
      <w:pPr>
        <w:spacing w:after="0" w:line="57"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Represents the weighted average fair value per share of the Monte Carlo simulation fair value price of our market condition awards on the dates the shares were awarded.</w:t>
      </w:r>
    </w:p>
    <w:p>
      <w:pPr>
        <w:spacing w:after="0" w:line="57" w:lineRule="exact"/>
        <w:rPr>
          <w:rFonts w:ascii="Arial" w:cs="Arial" w:eastAsia="Arial" w:hAnsi="Arial"/>
          <w:sz w:val="18"/>
          <w:szCs w:val="18"/>
          <w:color w:val="auto"/>
          <w:vertAlign w:val="superscript"/>
        </w:rPr>
      </w:pPr>
    </w:p>
    <w:p>
      <w:pPr>
        <w:ind w:left="160" w:hanging="152"/>
        <w:spacing w:after="0" w:line="211" w:lineRule="auto"/>
        <w:tabs>
          <w:tab w:leader="none" w:pos="160"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Share-based compensation for restricted stock awards with market conditions is measured based on shares expected to vest using a Monte Carlo simulation to determine fair value.</w:t>
      </w: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vesting requirements for 225,879 and 257,663 restricted shares granted to our executives, directors and employees were satisfied during the nine months ended September 30, 2023 and 2022, respectively.</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capitalize a portion of share-based compensation costs for employees who work directly on construction and development of our communities. We recognized the following share-based compensation costs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gridSpan w:val="5"/>
          </w:tcPr>
          <w:p>
            <w:pPr>
              <w:ind w:left="74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7"/>
                <w:szCs w:val="17"/>
                <w:color w:val="auto"/>
              </w:rPr>
            </w:pPr>
          </w:p>
        </w:tc>
        <w:tc>
          <w:tcPr>
            <w:tcW w:w="2960" w:type="dxa"/>
            <w:vAlign w:val="bottom"/>
            <w:gridSpan w:val="4"/>
          </w:tcPr>
          <w:p>
            <w:pPr>
              <w:jc w:val="right"/>
              <w:ind w:right="804"/>
              <w:spacing w:after="0"/>
              <w:rPr>
                <w:sz w:val="20"/>
                <w:szCs w:val="20"/>
                <w:color w:val="auto"/>
              </w:rPr>
            </w:pPr>
            <w:r>
              <w:rPr>
                <w:rFonts w:ascii="Arial" w:cs="Arial" w:eastAsia="Arial" w:hAnsi="Arial"/>
                <w:sz w:val="15"/>
                <w:szCs w:val="15"/>
                <w:b w:val="1"/>
                <w:bCs w:val="1"/>
                <w:color w:val="auto"/>
              </w:rPr>
              <w:t>Nine Months Ended</w:t>
            </w:r>
          </w:p>
        </w:tc>
      </w:tr>
      <w:tr>
        <w:trPr>
          <w:trHeight w:val="198"/>
        </w:trPr>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5"/>
                <w:szCs w:val="15"/>
                <w:b w:val="1"/>
                <w:bCs w:val="1"/>
                <w:color w:val="auto"/>
              </w:rPr>
              <w:t>September 30, 2023</w:t>
            </w: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89"/>
              </w:rPr>
              <w:t>September 30, 2022</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September 30, 2023</w:t>
            </w: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89"/>
              </w:rPr>
              <w:t>September 30, 2022</w:t>
            </w:r>
          </w:p>
        </w:tc>
      </w:tr>
      <w:tr>
        <w:trPr>
          <w:trHeight w:val="198"/>
        </w:trPr>
        <w:tc>
          <w:tcPr>
            <w:tcW w:w="4860" w:type="dxa"/>
            <w:vAlign w:val="bottom"/>
            <w:tcBorders>
              <w:top w:val="single" w:sz="8" w:color="auto"/>
            </w:tcBorders>
            <w:shd w:val="clear" w:color="auto" w:fill="CCEEFF"/>
          </w:tcPr>
          <w:p>
            <w:pPr>
              <w:ind w:left="20"/>
              <w:spacing w:after="0" w:line="198" w:lineRule="exact"/>
              <w:rPr>
                <w:sz w:val="20"/>
                <w:szCs w:val="20"/>
                <w:color w:val="auto"/>
              </w:rPr>
            </w:pPr>
            <w:r>
              <w:rPr>
                <w:rFonts w:ascii="Arial" w:cs="Arial" w:eastAsia="Arial" w:hAnsi="Arial"/>
                <w:sz w:val="15"/>
                <w:szCs w:val="15"/>
                <w:color w:val="auto"/>
              </w:rPr>
              <w:t>Share-based compensation - expensed</w:t>
            </w:r>
            <w:r>
              <w:rPr>
                <w:rFonts w:ascii="Arial" w:cs="Arial" w:eastAsia="Arial" w:hAnsi="Arial"/>
                <w:sz w:val="19"/>
                <w:szCs w:val="19"/>
                <w:color w:val="auto"/>
                <w:vertAlign w:val="superscript"/>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w:t>
            </w:r>
          </w:p>
        </w:tc>
      </w:tr>
      <w:tr>
        <w:trPr>
          <w:trHeight w:val="259"/>
        </w:trPr>
        <w:tc>
          <w:tcPr>
            <w:tcW w:w="4940" w:type="dxa"/>
            <w:vAlign w:val="bottom"/>
            <w:gridSpan w:val="2"/>
          </w:tcPr>
          <w:p>
            <w:pPr>
              <w:ind w:left="20"/>
              <w:spacing w:after="0"/>
              <w:rPr>
                <w:sz w:val="20"/>
                <w:szCs w:val="20"/>
                <w:color w:val="auto"/>
              </w:rPr>
            </w:pPr>
            <w:r>
              <w:rPr>
                <w:rFonts w:ascii="Arial" w:cs="Arial" w:eastAsia="Arial" w:hAnsi="Arial"/>
                <w:sz w:val="15"/>
                <w:szCs w:val="15"/>
                <w:color w:val="auto"/>
              </w:rPr>
              <w:t>Share-based compensation - capitalized</w:t>
            </w:r>
            <w:r>
              <w:rPr>
                <w:rFonts w:ascii="Arial" w:cs="Arial" w:eastAsia="Arial" w:hAnsi="Arial"/>
                <w:sz w:val="19"/>
                <w:szCs w:val="19"/>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0.6</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8"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Recorded within General and Administrative Expense on the Consolidated Income Statements.</w:t>
      </w:r>
    </w:p>
    <w:p>
      <w:pPr>
        <w:spacing w:after="0" w:line="45"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20"/>
        </w:numPr>
        <w:rPr>
          <w:rFonts w:ascii="Arial" w:cs="Arial" w:eastAsia="Arial" w:hAnsi="Arial"/>
          <w:sz w:val="9"/>
          <w:szCs w:val="9"/>
          <w:color w:val="auto"/>
        </w:rPr>
      </w:pPr>
      <w:r>
        <w:rPr>
          <w:rFonts w:ascii="Arial" w:cs="Arial" w:eastAsia="Arial" w:hAnsi="Arial"/>
          <w:sz w:val="14"/>
          <w:szCs w:val="14"/>
          <w:color w:val="auto"/>
        </w:rPr>
        <w:t>Capitalized to Land Improvements and Buildings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Reporting</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ASC Topic 280, "</w:t>
      </w:r>
      <w:r>
        <w:rPr>
          <w:rFonts w:ascii="Arial" w:cs="Arial" w:eastAsia="Arial" w:hAnsi="Arial"/>
          <w:sz w:val="16"/>
          <w:szCs w:val="16"/>
          <w:i w:val="1"/>
          <w:iCs w:val="1"/>
          <w:color w:val="auto"/>
        </w:rPr>
        <w:t>Segment Reporting,</w:t>
      </w:r>
      <w:r>
        <w:rPr>
          <w:rFonts w:ascii="Arial" w:cs="Arial" w:eastAsia="Arial" w:hAnsi="Arial"/>
          <w:sz w:val="16"/>
          <w:szCs w:val="16"/>
          <w:color w:val="auto"/>
        </w:rPr>
        <w:t>" establishes standards for the way that business enterprises report information about operating segments in its financial statements. As described in Note 1, "Basis of Presentation," we analyze our operating results through the following segments: (i) Manufactured home ("MH") communities, (ii) Recreational vehicle ("RV") communities and (iii) Marina. We evaluate segment operating performance based on NOI.</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MH segment owns, operates, develops, or has an interest in, a portfolio of MH communities in the U.S. and the UK, and is in the business of acquiring, operating and developing ground-up MH communities to provide affordable housing solutions to residents. The MH segment in the U.S. also provides manufactured home sales and leasing services to tenants and prospective tenants of our communities. The MH segment in the UK provides holiday home sales and associated site license activities to holiday homeowners in our communities.</w:t>
      </w:r>
    </w:p>
    <w:p>
      <w:pPr>
        <w:spacing w:after="0" w:line="2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RV segment owns, operates, develops, or has an interest in, a portfolio of RV communities and is in the business of acquiring, operating and developing ground-up RV communities in the U.S. and Canada. It also provides leasing services for vacation rentals within the RV communities.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Marina segment owns, operates and develops marinas, and is in the business of acquiring and operating marinas in the U.S., with the majority of such marinas concentrated in coastal regions, and others located in various inland regions.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 presentation of segment financial information is summarized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42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5"/>
          </w:tcPr>
          <w:p>
            <w:pPr>
              <w:ind w:left="180"/>
              <w:spacing w:after="0"/>
              <w:rPr>
                <w:sz w:val="20"/>
                <w:szCs w:val="20"/>
                <w:color w:val="auto"/>
              </w:rPr>
            </w:pPr>
            <w:r>
              <w:rPr>
                <w:rFonts w:ascii="Arial" w:cs="Arial" w:eastAsia="Arial" w:hAnsi="Arial"/>
                <w:sz w:val="15"/>
                <w:szCs w:val="15"/>
                <w:b w:val="1"/>
                <w:bCs w:val="1"/>
                <w:color w:val="auto"/>
              </w:rPr>
              <w:t>September 30, 2023</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ind w:left="200"/>
              <w:spacing w:after="0"/>
              <w:rPr>
                <w:sz w:val="20"/>
                <w:szCs w:val="20"/>
                <w:color w:val="auto"/>
              </w:rPr>
            </w:pPr>
            <w:r>
              <w:rPr>
                <w:rFonts w:ascii="Arial" w:cs="Arial" w:eastAsia="Arial" w:hAnsi="Arial"/>
                <w:sz w:val="15"/>
                <w:szCs w:val="15"/>
                <w:b w:val="1"/>
                <w:bCs w:val="1"/>
                <w:color w:val="auto"/>
              </w:rPr>
              <w:t>September 30, 2022</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MH</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RV</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Marina</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88"/>
              </w:rPr>
              <w:t>Consolidated</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MH</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RV</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Marina</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revenues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942.0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228.1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910.6</w:t>
            </w:r>
          </w:p>
        </w:tc>
        <w:tc>
          <w:tcPr>
            <w:tcW w:w="0" w:type="dxa"/>
            <w:vAlign w:val="bottom"/>
          </w:tcPr>
          <w:p>
            <w:pPr>
              <w:spacing w:after="0"/>
              <w:rPr>
                <w:sz w:val="1"/>
                <w:szCs w:val="1"/>
                <w:color w:val="auto"/>
              </w:rPr>
            </w:pPr>
          </w:p>
        </w:tc>
      </w:tr>
      <w:tr>
        <w:trPr>
          <w:trHeight w:val="198"/>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Operating expenses / Cost of sales</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484.0</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136.8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455.4</w:t>
            </w:r>
          </w:p>
        </w:tc>
        <w:tc>
          <w:tcPr>
            <w:tcW w:w="0" w:type="dxa"/>
            <w:vAlign w:val="bottom"/>
          </w:tcPr>
          <w:p>
            <w:pPr>
              <w:spacing w:after="0"/>
              <w:rPr>
                <w:sz w:val="1"/>
                <w:szCs w:val="1"/>
                <w:color w:val="auto"/>
              </w:rPr>
            </w:pPr>
          </w:p>
        </w:tc>
      </w:tr>
      <w:tr>
        <w:trPr>
          <w:trHeight w:val="200"/>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NOI</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458.0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455.2</w:t>
            </w:r>
          </w:p>
        </w:tc>
        <w:tc>
          <w:tcPr>
            <w:tcW w:w="0" w:type="dxa"/>
            <w:vAlign w:val="bottom"/>
          </w:tcPr>
          <w:p>
            <w:pPr>
              <w:spacing w:after="0"/>
              <w:rPr>
                <w:sz w:val="1"/>
                <w:szCs w:val="1"/>
                <w:color w:val="auto"/>
              </w:rPr>
            </w:pPr>
          </w:p>
        </w:tc>
      </w:tr>
      <w:tr>
        <w:trPr>
          <w:trHeight w:val="198"/>
        </w:trPr>
        <w:tc>
          <w:tcPr>
            <w:tcW w:w="3320" w:type="dxa"/>
            <w:vAlign w:val="bottom"/>
          </w:tcPr>
          <w:p>
            <w:pPr>
              <w:ind w:left="20"/>
              <w:spacing w:after="0"/>
              <w:rPr>
                <w:sz w:val="20"/>
                <w:szCs w:val="20"/>
                <w:color w:val="auto"/>
              </w:rPr>
            </w:pPr>
            <w:r>
              <w:rPr>
                <w:rFonts w:ascii="Arial" w:cs="Arial" w:eastAsia="Arial" w:hAnsi="Arial"/>
                <w:sz w:val="15"/>
                <w:szCs w:val="15"/>
                <w:color w:val="auto"/>
              </w:rPr>
              <w:t>Adjustments to arrive at net income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98"/>
        </w:trPr>
        <w:tc>
          <w:tcPr>
            <w:tcW w:w="3320" w:type="dxa"/>
            <w:vAlign w:val="bottom"/>
          </w:tcPr>
          <w:p>
            <w:pPr>
              <w:ind w:left="140"/>
              <w:spacing w:after="0"/>
              <w:rPr>
                <w:sz w:val="20"/>
                <w:szCs w:val="20"/>
                <w:color w:val="auto"/>
              </w:rPr>
            </w:pPr>
            <w:r>
              <w:rPr>
                <w:rFonts w:ascii="Arial" w:cs="Arial" w:eastAsia="Arial" w:hAnsi="Arial"/>
                <w:sz w:val="15"/>
                <w:szCs w:val="15"/>
                <w:color w:val="auto"/>
                <w:w w:val="97"/>
              </w:rPr>
              <w:t>Brokerage commissions and other revenues, net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 expense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w:t>
            </w:r>
          </w:p>
        </w:tc>
        <w:tc>
          <w:tcPr>
            <w:tcW w:w="0" w:type="dxa"/>
            <w:vAlign w:val="bottom"/>
          </w:tcPr>
          <w:p>
            <w:pPr>
              <w:spacing w:after="0"/>
              <w:rPr>
                <w:sz w:val="1"/>
                <w:szCs w:val="1"/>
                <w:color w:val="auto"/>
              </w:rPr>
            </w:pPr>
          </w:p>
        </w:tc>
      </w:tr>
      <w:tr>
        <w:trPr>
          <w:trHeight w:val="198"/>
        </w:trPr>
        <w:tc>
          <w:tcPr>
            <w:tcW w:w="3320" w:type="dxa"/>
            <w:vAlign w:val="bottom"/>
          </w:tcPr>
          <w:p>
            <w:pPr>
              <w:ind w:left="140"/>
              <w:spacing w:after="0"/>
              <w:rPr>
                <w:sz w:val="20"/>
                <w:szCs w:val="20"/>
                <w:color w:val="auto"/>
              </w:rPr>
            </w:pPr>
            <w:r>
              <w:rPr>
                <w:rFonts w:ascii="Arial" w:cs="Arial" w:eastAsia="Arial" w:hAnsi="Arial"/>
                <w:sz w:val="15"/>
                <w:szCs w:val="15"/>
                <w:color w:val="auto"/>
              </w:rPr>
              <w:t>Catastrophic event-related charges, net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Business combination expense, net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98"/>
        </w:trPr>
        <w:tc>
          <w:tcPr>
            <w:tcW w:w="332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(162.6)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(149.7)</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Asset impairments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98"/>
        </w:trPr>
        <w:tc>
          <w:tcPr>
            <w:tcW w:w="3320" w:type="dxa"/>
            <w:vAlign w:val="bottom"/>
          </w:tcPr>
          <w:p>
            <w:pPr>
              <w:ind w:left="140"/>
              <w:spacing w:after="0"/>
              <w:rPr>
                <w:sz w:val="20"/>
                <w:szCs w:val="20"/>
                <w:color w:val="auto"/>
              </w:rPr>
            </w:pPr>
            <w:r>
              <w:rPr>
                <w:rFonts w:ascii="Arial" w:cs="Arial" w:eastAsia="Arial" w:hAnsi="Arial"/>
                <w:sz w:val="15"/>
                <w:szCs w:val="15"/>
                <w:color w:val="auto"/>
              </w:rPr>
              <w:t>Loss on extinguishment of debt (see Note 8)</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w:t>
            </w:r>
          </w:p>
        </w:tc>
        <w:tc>
          <w:tcPr>
            <w:tcW w:w="0" w:type="dxa"/>
            <w:vAlign w:val="bottom"/>
          </w:tcPr>
          <w:p>
            <w:pPr>
              <w:spacing w:after="0"/>
              <w:rPr>
                <w:sz w:val="1"/>
                <w:szCs w:val="1"/>
                <w:color w:val="auto"/>
              </w:rPr>
            </w:pPr>
          </w:p>
        </w:tc>
      </w:tr>
      <w:tr>
        <w:trPr>
          <w:trHeight w:val="162"/>
        </w:trPr>
        <w:tc>
          <w:tcPr>
            <w:tcW w:w="3320" w:type="dxa"/>
            <w:vAlign w:val="bottom"/>
          </w:tcPr>
          <w:p>
            <w:pPr>
              <w:ind w:left="140"/>
              <w:spacing w:after="0" w:line="162" w:lineRule="exact"/>
              <w:rPr>
                <w:sz w:val="20"/>
                <w:szCs w:val="20"/>
                <w:color w:val="auto"/>
              </w:rPr>
            </w:pPr>
            <w:r>
              <w:rPr>
                <w:rFonts w:ascii="Arial" w:cs="Arial" w:eastAsia="Arial" w:hAnsi="Arial"/>
                <w:sz w:val="15"/>
                <w:szCs w:val="15"/>
                <w:color w:val="auto"/>
                <w:w w:val="96"/>
              </w:rPr>
              <w:t>Interest on mandatorily redeemable preferred OP</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20" w:type="dxa"/>
            <w:vAlign w:val="bottom"/>
          </w:tcPr>
          <w:p>
            <w:pPr>
              <w:ind w:left="140"/>
              <w:spacing w:after="0"/>
              <w:rPr>
                <w:sz w:val="20"/>
                <w:szCs w:val="20"/>
                <w:color w:val="auto"/>
              </w:rPr>
            </w:pPr>
            <w:r>
              <w:rPr>
                <w:rFonts w:ascii="Arial" w:cs="Arial" w:eastAsia="Arial" w:hAnsi="Arial"/>
                <w:sz w:val="15"/>
                <w:szCs w:val="15"/>
                <w:color w:val="auto"/>
              </w:rPr>
              <w:t>units / equity</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66"/>
        </w:trPr>
        <w:tc>
          <w:tcPr>
            <w:tcW w:w="3320" w:type="dxa"/>
            <w:vAlign w:val="bottom"/>
            <w:shd w:val="clear" w:color="auto" w:fill="CCEEFF"/>
          </w:tcPr>
          <w:p>
            <w:pPr>
              <w:ind w:left="140"/>
              <w:spacing w:after="0" w:line="167" w:lineRule="exact"/>
              <w:rPr>
                <w:sz w:val="20"/>
                <w:szCs w:val="20"/>
                <w:color w:val="auto"/>
              </w:rPr>
            </w:pPr>
            <w:r>
              <w:rPr>
                <w:rFonts w:ascii="Arial" w:cs="Arial" w:eastAsia="Arial" w:hAnsi="Arial"/>
                <w:sz w:val="15"/>
                <w:szCs w:val="15"/>
                <w:color w:val="auto"/>
              </w:rPr>
              <w:t>Gain / (loss) on remeasurement of marketable</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securities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98"/>
        </w:trPr>
        <w:tc>
          <w:tcPr>
            <w:tcW w:w="3320" w:type="dxa"/>
            <w:vAlign w:val="bottom"/>
          </w:tcPr>
          <w:p>
            <w:pPr>
              <w:ind w:left="140"/>
              <w:spacing w:after="0"/>
              <w:rPr>
                <w:sz w:val="20"/>
                <w:szCs w:val="20"/>
                <w:color w:val="auto"/>
              </w:rPr>
            </w:pPr>
            <w:r>
              <w:rPr>
                <w:rFonts w:ascii="Arial" w:cs="Arial" w:eastAsia="Arial" w:hAnsi="Arial"/>
                <w:sz w:val="15"/>
                <w:szCs w:val="15"/>
                <w:color w:val="auto"/>
              </w:rPr>
              <w:t>Gain / (loss) on foreign currency exchanges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dispositions of properties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198"/>
        </w:trPr>
        <w:tc>
          <w:tcPr>
            <w:tcW w:w="3320" w:type="dxa"/>
            <w:vAlign w:val="bottom"/>
          </w:tcPr>
          <w:p>
            <w:pPr>
              <w:ind w:left="140"/>
              <w:spacing w:after="0"/>
              <w:rPr>
                <w:sz w:val="20"/>
                <w:szCs w:val="20"/>
                <w:color w:val="auto"/>
              </w:rPr>
            </w:pPr>
            <w:r>
              <w:rPr>
                <w:rFonts w:ascii="Arial" w:cs="Arial" w:eastAsia="Arial" w:hAnsi="Arial"/>
                <w:sz w:val="15"/>
                <w:szCs w:val="15"/>
                <w:color w:val="auto"/>
              </w:rPr>
              <w:t>Other income / (expense), net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remeasurement of notes receivable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2"/>
        </w:trPr>
        <w:tc>
          <w:tcPr>
            <w:tcW w:w="3320" w:type="dxa"/>
            <w:vAlign w:val="bottom"/>
          </w:tcPr>
          <w:p>
            <w:pPr>
              <w:ind w:left="140"/>
              <w:spacing w:after="0" w:line="162" w:lineRule="exact"/>
              <w:rPr>
                <w:sz w:val="20"/>
                <w:szCs w:val="20"/>
                <w:color w:val="auto"/>
              </w:rPr>
            </w:pPr>
            <w:r>
              <w:rPr>
                <w:rFonts w:ascii="Arial" w:cs="Arial" w:eastAsia="Arial" w:hAnsi="Arial"/>
                <w:sz w:val="15"/>
                <w:szCs w:val="15"/>
                <w:color w:val="auto"/>
              </w:rPr>
              <w:t>Income from nonconsolidated affiliates (see</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20" w:type="dxa"/>
            <w:vAlign w:val="bottom"/>
          </w:tcPr>
          <w:p>
            <w:pPr>
              <w:ind w:left="140"/>
              <w:spacing w:after="0"/>
              <w:rPr>
                <w:sz w:val="20"/>
                <w:szCs w:val="20"/>
                <w:color w:val="auto"/>
              </w:rPr>
            </w:pPr>
            <w:r>
              <w:rPr>
                <w:rFonts w:ascii="Arial" w:cs="Arial" w:eastAsia="Arial" w:hAnsi="Arial"/>
                <w:sz w:val="15"/>
                <w:szCs w:val="15"/>
                <w:color w:val="auto"/>
              </w:rPr>
              <w:t>Note 6)</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66"/>
        </w:trPr>
        <w:tc>
          <w:tcPr>
            <w:tcW w:w="3320" w:type="dxa"/>
            <w:vAlign w:val="bottom"/>
            <w:shd w:val="clear" w:color="auto" w:fill="CCEEFF"/>
          </w:tcPr>
          <w:p>
            <w:pPr>
              <w:ind w:left="140"/>
              <w:spacing w:after="0" w:line="167" w:lineRule="exact"/>
              <w:rPr>
                <w:sz w:val="20"/>
                <w:szCs w:val="20"/>
                <w:color w:val="auto"/>
              </w:rPr>
            </w:pPr>
            <w:r>
              <w:rPr>
                <w:rFonts w:ascii="Arial" w:cs="Arial" w:eastAsia="Arial" w:hAnsi="Arial"/>
                <w:sz w:val="15"/>
                <w:szCs w:val="15"/>
                <w:color w:val="auto"/>
              </w:rPr>
              <w:t>Gain on remeasurement of investment in</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nonconsolidated affiliates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98"/>
        </w:trPr>
        <w:tc>
          <w:tcPr>
            <w:tcW w:w="3320" w:type="dxa"/>
            <w:vAlign w:val="bottom"/>
          </w:tcPr>
          <w:p>
            <w:pPr>
              <w:ind w:left="140"/>
              <w:spacing w:after="0"/>
              <w:rPr>
                <w:sz w:val="20"/>
                <w:szCs w:val="20"/>
                <w:color w:val="auto"/>
              </w:rPr>
            </w:pPr>
            <w:r>
              <w:rPr>
                <w:rFonts w:ascii="Arial" w:cs="Arial" w:eastAsia="Arial" w:hAnsi="Arial"/>
                <w:sz w:val="15"/>
                <w:szCs w:val="15"/>
                <w:color w:val="auto"/>
              </w:rPr>
              <w:t>Current tax expense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tax benefit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92"/>
        </w:trPr>
        <w:tc>
          <w:tcPr>
            <w:tcW w:w="3320" w:type="dxa"/>
            <w:vAlign w:val="bottom"/>
          </w:tcPr>
          <w:p>
            <w:pPr>
              <w:ind w:left="140"/>
              <w:spacing w:after="0"/>
              <w:rPr>
                <w:sz w:val="20"/>
                <w:szCs w:val="20"/>
                <w:color w:val="auto"/>
              </w:rPr>
            </w:pPr>
            <w:r>
              <w:rPr>
                <w:rFonts w:ascii="Arial" w:cs="Arial" w:eastAsia="Arial" w:hAnsi="Arial"/>
                <w:sz w:val="15"/>
                <w:szCs w:val="15"/>
                <w:b w:val="1"/>
                <w:bCs w:val="1"/>
                <w:color w:val="auto"/>
              </w:rPr>
              <w:t>Net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180.4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177.0</w:t>
            </w:r>
          </w:p>
        </w:tc>
        <w:tc>
          <w:tcPr>
            <w:tcW w:w="0" w:type="dxa"/>
            <w:vAlign w:val="bottom"/>
          </w:tcPr>
          <w:p>
            <w:pPr>
              <w:spacing w:after="0"/>
              <w:rPr>
                <w:sz w:val="1"/>
                <w:szCs w:val="1"/>
                <w:color w:val="auto"/>
              </w:rPr>
            </w:pPr>
          </w:p>
        </w:tc>
      </w:tr>
      <w:tr>
        <w:trPr>
          <w:trHeight w:val="166"/>
        </w:trPr>
        <w:tc>
          <w:tcPr>
            <w:tcW w:w="3320" w:type="dxa"/>
            <w:vAlign w:val="bottom"/>
            <w:shd w:val="clear" w:color="auto" w:fill="CCEEFF"/>
          </w:tcPr>
          <w:p>
            <w:pPr>
              <w:ind w:left="360"/>
              <w:spacing w:after="0" w:line="167" w:lineRule="exact"/>
              <w:rPr>
                <w:sz w:val="20"/>
                <w:szCs w:val="20"/>
                <w:color w:val="auto"/>
              </w:rPr>
            </w:pPr>
            <w:r>
              <w:rPr>
                <w:rFonts w:ascii="Arial" w:cs="Arial" w:eastAsia="Arial" w:hAnsi="Arial"/>
                <w:sz w:val="15"/>
                <w:szCs w:val="15"/>
                <w:color w:val="auto"/>
                <w:w w:val="98"/>
              </w:rPr>
              <w:t>Less: Preferred return to preferred OP units /</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equity interests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62"/>
        </w:trPr>
        <w:tc>
          <w:tcPr>
            <w:tcW w:w="3320" w:type="dxa"/>
            <w:vAlign w:val="bottom"/>
          </w:tcPr>
          <w:p>
            <w:pPr>
              <w:ind w:left="360"/>
              <w:spacing w:after="0" w:line="162" w:lineRule="exact"/>
              <w:rPr>
                <w:sz w:val="20"/>
                <w:szCs w:val="20"/>
                <w:color w:val="auto"/>
              </w:rPr>
            </w:pPr>
            <w:r>
              <w:rPr>
                <w:rFonts w:ascii="Arial" w:cs="Arial" w:eastAsia="Arial" w:hAnsi="Arial"/>
                <w:sz w:val="15"/>
                <w:szCs w:val="15"/>
                <w:color w:val="auto"/>
              </w:rPr>
              <w:t>Less: Income attributable to noncontrolling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2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interests</w:t>
            </w: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42"/>
        </w:trPr>
        <w:tc>
          <w:tcPr>
            <w:tcW w:w="3320" w:type="dxa"/>
            <w:vAlign w:val="bottom"/>
            <w:shd w:val="clear" w:color="auto" w:fill="CCEEFF"/>
          </w:tcPr>
          <w:p>
            <w:pPr>
              <w:ind w:left="140"/>
              <w:spacing w:after="0" w:line="142" w:lineRule="exact"/>
              <w:rPr>
                <w:sz w:val="20"/>
                <w:szCs w:val="20"/>
                <w:color w:val="auto"/>
              </w:rPr>
            </w:pPr>
            <w:r>
              <w:rPr>
                <w:rFonts w:ascii="Arial" w:cs="Arial" w:eastAsia="Arial" w:hAnsi="Arial"/>
                <w:sz w:val="15"/>
                <w:szCs w:val="15"/>
                <w:b w:val="1"/>
                <w:bCs w:val="1"/>
                <w:color w:val="auto"/>
              </w:rPr>
              <w:t>Net Income Attributable to SUI Common</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163.1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162.6</w:t>
            </w:r>
          </w:p>
        </w:tc>
        <w:tc>
          <w:tcPr>
            <w:tcW w:w="0" w:type="dxa"/>
            <w:vAlign w:val="bottom"/>
          </w:tcPr>
          <w:p>
            <w:pPr>
              <w:spacing w:after="0"/>
              <w:rPr>
                <w:sz w:val="1"/>
                <w:szCs w:val="1"/>
                <w:color w:val="auto"/>
              </w:rPr>
            </w:pPr>
          </w:p>
        </w:tc>
      </w:tr>
      <w:tr>
        <w:trPr>
          <w:trHeight w:val="199"/>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Shareholders</w:t>
            </w: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440"/>
              <w:spacing w:after="0"/>
              <w:rPr>
                <w:sz w:val="20"/>
                <w:szCs w:val="20"/>
                <w:color w:val="auto"/>
              </w:rPr>
            </w:pPr>
            <w:r>
              <w:rPr>
                <w:rFonts w:ascii="Arial" w:cs="Arial" w:eastAsia="Arial" w:hAnsi="Arial"/>
                <w:sz w:val="15"/>
                <w:szCs w:val="15"/>
                <w:b w:val="1"/>
                <w:bCs w:val="1"/>
                <w:color w:val="auto"/>
              </w:rPr>
              <w:t>Nine Months Ended</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ind w:left="160"/>
              <w:spacing w:after="0"/>
              <w:rPr>
                <w:sz w:val="20"/>
                <w:szCs w:val="20"/>
                <w:color w:val="auto"/>
              </w:rPr>
            </w:pPr>
            <w:r>
              <w:rPr>
                <w:rFonts w:ascii="Arial" w:cs="Arial" w:eastAsia="Arial" w:hAnsi="Arial"/>
                <w:sz w:val="15"/>
                <w:szCs w:val="15"/>
                <w:b w:val="1"/>
                <w:bCs w:val="1"/>
                <w:color w:val="auto"/>
              </w:rPr>
              <w:t>September 30, 2023</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5"/>
          </w:tcPr>
          <w:p>
            <w:pPr>
              <w:ind w:left="180"/>
              <w:spacing w:after="0"/>
              <w:rPr>
                <w:sz w:val="20"/>
                <w:szCs w:val="20"/>
                <w:color w:val="auto"/>
              </w:rPr>
            </w:pPr>
            <w:r>
              <w:rPr>
                <w:rFonts w:ascii="Arial" w:cs="Arial" w:eastAsia="Arial" w:hAnsi="Arial"/>
                <w:sz w:val="15"/>
                <w:szCs w:val="15"/>
                <w:b w:val="1"/>
                <w:bCs w:val="1"/>
                <w:color w:val="auto"/>
              </w:rPr>
              <w:t>September 30, 2022</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MH</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RV</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Marina</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88"/>
              </w:rPr>
              <w:t>Consolidated</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MH</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RV</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Marina</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98"/>
        </w:trPr>
        <w:tc>
          <w:tcPr>
            <w:tcW w:w="3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revenues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1,135.4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2,412.0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2,242.7</w:t>
            </w:r>
          </w:p>
        </w:tc>
        <w:tc>
          <w:tcPr>
            <w:tcW w:w="0" w:type="dxa"/>
            <w:vAlign w:val="bottom"/>
          </w:tcPr>
          <w:p>
            <w:pPr>
              <w:spacing w:after="0"/>
              <w:rPr>
                <w:sz w:val="1"/>
                <w:szCs w:val="1"/>
                <w:color w:val="auto"/>
              </w:rPr>
            </w:pPr>
          </w:p>
        </w:tc>
      </w:tr>
      <w:tr>
        <w:trPr>
          <w:trHeight w:val="198"/>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Operating expenses / Cost of sales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542.4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285.0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1,295.4</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489.9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284.8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376.2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1,150.9</w:t>
            </w: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Net Operating Income / Gross Profit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1,091.8</w:t>
            </w:r>
          </w:p>
        </w:tc>
        <w:tc>
          <w:tcPr>
            <w:tcW w:w="0" w:type="dxa"/>
            <w:vAlign w:val="bottom"/>
          </w:tcPr>
          <w:p>
            <w:pPr>
              <w:spacing w:after="0"/>
              <w:rPr>
                <w:sz w:val="1"/>
                <w:szCs w:val="1"/>
                <w:color w:val="auto"/>
              </w:rPr>
            </w:pPr>
          </w:p>
        </w:tc>
      </w:tr>
      <w:tr>
        <w:trPr>
          <w:trHeight w:val="198"/>
        </w:trPr>
        <w:tc>
          <w:tcPr>
            <w:tcW w:w="3360" w:type="dxa"/>
            <w:vAlign w:val="bottom"/>
          </w:tcPr>
          <w:p>
            <w:pPr>
              <w:ind w:left="20"/>
              <w:spacing w:after="0"/>
              <w:rPr>
                <w:sz w:val="20"/>
                <w:szCs w:val="20"/>
                <w:color w:val="auto"/>
              </w:rPr>
            </w:pPr>
            <w:r>
              <w:rPr>
                <w:rFonts w:ascii="Arial" w:cs="Arial" w:eastAsia="Arial" w:hAnsi="Arial"/>
                <w:sz w:val="15"/>
                <w:szCs w:val="15"/>
                <w:color w:val="auto"/>
              </w:rPr>
              <w:t>Adjustments to arrive at net income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w w:val="99"/>
              </w:rPr>
              <w:t>Brokerage commissions and other revenues, net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45.3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27.4</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 expense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(187.0)</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rPr>
              <w:t>Catastrophic event-related charges, net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Business combination expense, net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(482.3)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(447.7)</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Asset impairments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rPr>
              <w:t>Loss on extinguishment of debt (see Note 8)</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(162.2)</w:t>
            </w:r>
          </w:p>
        </w:tc>
        <w:tc>
          <w:tcPr>
            <w:tcW w:w="0" w:type="dxa"/>
            <w:vAlign w:val="bottom"/>
          </w:tcPr>
          <w:p>
            <w:pPr>
              <w:spacing w:after="0"/>
              <w:rPr>
                <w:sz w:val="1"/>
                <w:szCs w:val="1"/>
                <w:color w:val="auto"/>
              </w:rPr>
            </w:pPr>
          </w:p>
        </w:tc>
      </w:tr>
      <w:tr>
        <w:trPr>
          <w:trHeight w:val="162"/>
        </w:trPr>
        <w:tc>
          <w:tcPr>
            <w:tcW w:w="3360" w:type="dxa"/>
            <w:vAlign w:val="bottom"/>
          </w:tcPr>
          <w:p>
            <w:pPr>
              <w:ind w:left="140"/>
              <w:spacing w:after="0" w:line="162" w:lineRule="exact"/>
              <w:rPr>
                <w:sz w:val="20"/>
                <w:szCs w:val="20"/>
                <w:color w:val="auto"/>
              </w:rPr>
            </w:pPr>
            <w:r>
              <w:rPr>
                <w:rFonts w:ascii="Arial" w:cs="Arial" w:eastAsia="Arial" w:hAnsi="Arial"/>
                <w:sz w:val="15"/>
                <w:szCs w:val="15"/>
                <w:color w:val="auto"/>
                <w:w w:val="97"/>
              </w:rPr>
              <w:t>Interest on mandatorily redeemable preferred OP</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rPr>
              <w:t>units / equity</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8"/>
              </w:rPr>
              <w:t>Loss on remeasurement of marketable securities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(74.0)</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rPr>
              <w:t>Gain / (loss) on foreign currency exchanges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Gain / (loss) on dispositions of properties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rPr>
              <w:t>Other income / (expense), net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Gain / (loss) on remeasurement of notes receivable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w w:val="93"/>
              </w:rPr>
              <w:t>Income from nonconsolidated affiliates (see Note 6)</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66"/>
        </w:trPr>
        <w:tc>
          <w:tcPr>
            <w:tcW w:w="3360" w:type="dxa"/>
            <w:vAlign w:val="bottom"/>
            <w:shd w:val="clear" w:color="auto" w:fill="CCEEFF"/>
          </w:tcPr>
          <w:p>
            <w:pPr>
              <w:ind w:left="140"/>
              <w:spacing w:after="0" w:line="167" w:lineRule="exact"/>
              <w:rPr>
                <w:sz w:val="20"/>
                <w:szCs w:val="20"/>
                <w:color w:val="auto"/>
              </w:rPr>
            </w:pPr>
            <w:r>
              <w:rPr>
                <w:rFonts w:ascii="Arial" w:cs="Arial" w:eastAsia="Arial" w:hAnsi="Arial"/>
                <w:sz w:val="15"/>
                <w:szCs w:val="15"/>
                <w:color w:val="auto"/>
                <w:w w:val="99"/>
              </w:rPr>
              <w:t>Gain / (loss) on remeasurement of investment in</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nonconsolidated affiliates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rPr>
              <w:t>Current tax expense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tax benefit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92"/>
        </w:trPr>
        <w:tc>
          <w:tcPr>
            <w:tcW w:w="3360" w:type="dxa"/>
            <w:vAlign w:val="bottom"/>
          </w:tcPr>
          <w:p>
            <w:pPr>
              <w:ind w:left="140"/>
              <w:spacing w:after="0"/>
              <w:rPr>
                <w:sz w:val="20"/>
                <w:szCs w:val="20"/>
                <w:color w:val="auto"/>
              </w:rPr>
            </w:pPr>
            <w:r>
              <w:rPr>
                <w:rFonts w:ascii="Arial" w:cs="Arial" w:eastAsia="Arial" w:hAnsi="Arial"/>
                <w:sz w:val="15"/>
                <w:szCs w:val="15"/>
                <w:b w:val="1"/>
                <w:bCs w:val="1"/>
                <w:color w:val="auto"/>
              </w:rPr>
              <w:t>Net Income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245.0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259.8</w:t>
            </w:r>
          </w:p>
        </w:tc>
        <w:tc>
          <w:tcPr>
            <w:tcW w:w="0" w:type="dxa"/>
            <w:vAlign w:val="bottom"/>
          </w:tcPr>
          <w:p>
            <w:pPr>
              <w:spacing w:after="0"/>
              <w:rPr>
                <w:sz w:val="1"/>
                <w:szCs w:val="1"/>
                <w:color w:val="auto"/>
              </w:rPr>
            </w:pPr>
          </w:p>
        </w:tc>
      </w:tr>
      <w:tr>
        <w:trPr>
          <w:trHeight w:val="166"/>
        </w:trPr>
        <w:tc>
          <w:tcPr>
            <w:tcW w:w="3360" w:type="dxa"/>
            <w:vAlign w:val="bottom"/>
            <w:shd w:val="clear" w:color="auto" w:fill="CCEEFF"/>
          </w:tcPr>
          <w:p>
            <w:pPr>
              <w:ind w:left="360"/>
              <w:spacing w:after="0" w:line="167" w:lineRule="exact"/>
              <w:rPr>
                <w:sz w:val="20"/>
                <w:szCs w:val="20"/>
                <w:color w:val="auto"/>
              </w:rPr>
            </w:pPr>
            <w:r>
              <w:rPr>
                <w:rFonts w:ascii="Arial" w:cs="Arial" w:eastAsia="Arial" w:hAnsi="Arial"/>
                <w:sz w:val="15"/>
                <w:szCs w:val="15"/>
                <w:color w:val="auto"/>
              </w:rPr>
              <w:t>Less: Preferred return to preferred OP units /</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equity interests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62"/>
        </w:trPr>
        <w:tc>
          <w:tcPr>
            <w:tcW w:w="3360" w:type="dxa"/>
            <w:vAlign w:val="bottom"/>
          </w:tcPr>
          <w:p>
            <w:pPr>
              <w:ind w:left="360"/>
              <w:spacing w:after="0" w:line="162" w:lineRule="exact"/>
              <w:rPr>
                <w:sz w:val="20"/>
                <w:szCs w:val="20"/>
                <w:color w:val="auto"/>
              </w:rPr>
            </w:pPr>
            <w:r>
              <w:rPr>
                <w:rFonts w:ascii="Arial" w:cs="Arial" w:eastAsia="Arial" w:hAnsi="Arial"/>
                <w:sz w:val="15"/>
                <w:szCs w:val="15"/>
                <w:color w:val="auto"/>
              </w:rPr>
              <w:t>Less: Income attributable to noncontrolling</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interests</w:t>
            </w: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ind w:left="140"/>
              <w:spacing w:after="0" w:line="142" w:lineRule="exact"/>
              <w:rPr>
                <w:sz w:val="20"/>
                <w:szCs w:val="20"/>
                <w:color w:val="auto"/>
              </w:rPr>
            </w:pPr>
            <w:r>
              <w:rPr>
                <w:rFonts w:ascii="Arial" w:cs="Arial" w:eastAsia="Arial" w:hAnsi="Arial"/>
                <w:sz w:val="15"/>
                <w:szCs w:val="15"/>
                <w:b w:val="1"/>
                <w:bCs w:val="1"/>
                <w:color w:val="auto"/>
              </w:rPr>
              <w:t>Net Income Attributable to SUI Common</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222.8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237.3</w:t>
            </w:r>
          </w:p>
        </w:tc>
        <w:tc>
          <w:tcPr>
            <w:tcW w:w="0" w:type="dxa"/>
            <w:vAlign w:val="bottom"/>
          </w:tcPr>
          <w:p>
            <w:pPr>
              <w:spacing w:after="0"/>
              <w:rPr>
                <w:sz w:val="1"/>
                <w:szCs w:val="1"/>
                <w:color w:val="auto"/>
              </w:rPr>
            </w:pPr>
          </w:p>
        </w:tc>
      </w:tr>
      <w:tr>
        <w:trPr>
          <w:trHeight w:val="199"/>
        </w:trPr>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Shareholders</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5"/>
                <w:szCs w:val="15"/>
                <w:b w:val="1"/>
                <w:bCs w:val="1"/>
                <w:color w:val="auto"/>
                <w:w w:val="91"/>
              </w:rPr>
              <w:t>September 30, 2023</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ind w:left="220"/>
              <w:spacing w:after="0"/>
              <w:rPr>
                <w:sz w:val="20"/>
                <w:szCs w:val="20"/>
                <w:color w:val="auto"/>
              </w:rPr>
            </w:pPr>
            <w:r>
              <w:rPr>
                <w:rFonts w:ascii="Arial" w:cs="Arial" w:eastAsia="Arial" w:hAnsi="Arial"/>
                <w:sz w:val="15"/>
                <w:szCs w:val="15"/>
                <w:b w:val="1"/>
                <w:bCs w:val="1"/>
                <w:color w:val="auto"/>
              </w:rPr>
              <w:t>December 31, 2022</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8"/>
        </w:trPr>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5"/>
                <w:szCs w:val="15"/>
                <w:b w:val="1"/>
                <w:bCs w:val="1"/>
                <w:color w:val="auto"/>
              </w:rPr>
              <w:t>MH</w:t>
            </w:r>
          </w:p>
        </w:tc>
        <w:tc>
          <w:tcPr>
            <w:tcW w:w="240" w:type="dxa"/>
            <w:vAlign w:val="bottom"/>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Arial" w:cs="Arial" w:eastAsia="Arial" w:hAnsi="Arial"/>
                <w:sz w:val="15"/>
                <w:szCs w:val="15"/>
                <w:b w:val="1"/>
                <w:bCs w:val="1"/>
                <w:color w:val="auto"/>
              </w:rPr>
              <w:t>RV</w:t>
            </w:r>
          </w:p>
        </w:tc>
        <w:tc>
          <w:tcPr>
            <w:tcW w:w="20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Arial" w:cs="Arial" w:eastAsia="Arial" w:hAnsi="Arial"/>
                <w:sz w:val="15"/>
                <w:szCs w:val="15"/>
                <w:b w:val="1"/>
                <w:bCs w:val="1"/>
                <w:color w:val="auto"/>
              </w:rPr>
              <w:t>Marina</w:t>
            </w:r>
          </w:p>
        </w:tc>
        <w:tc>
          <w:tcPr>
            <w:tcW w:w="10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b w:val="1"/>
                <w:bCs w:val="1"/>
                <w:color w:val="auto"/>
                <w:w w:val="90"/>
              </w:rPr>
              <w:t>Consolidated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5"/>
                <w:szCs w:val="15"/>
                <w:b w:val="1"/>
                <w:bCs w:val="1"/>
                <w:color w:val="auto"/>
              </w:rPr>
              <w:t>MH</w:t>
            </w:r>
          </w:p>
        </w:tc>
        <w:tc>
          <w:tcPr>
            <w:tcW w:w="240" w:type="dxa"/>
            <w:vAlign w:val="bottom"/>
          </w:tcPr>
          <w:p>
            <w:pPr>
              <w:spacing w:after="0"/>
              <w:rPr>
                <w:sz w:val="17"/>
                <w:szCs w:val="17"/>
                <w:color w:val="auto"/>
              </w:rPr>
            </w:pPr>
          </w:p>
        </w:tc>
        <w:tc>
          <w:tcPr>
            <w:tcW w:w="820" w:type="dxa"/>
            <w:vAlign w:val="bottom"/>
            <w:gridSpan w:val="2"/>
          </w:tcPr>
          <w:p>
            <w:pPr>
              <w:ind w:left="140"/>
              <w:spacing w:after="0"/>
              <w:rPr>
                <w:sz w:val="20"/>
                <w:szCs w:val="20"/>
                <w:color w:val="auto"/>
              </w:rPr>
            </w:pPr>
            <w:r>
              <w:rPr>
                <w:rFonts w:ascii="Arial" w:cs="Arial" w:eastAsia="Arial" w:hAnsi="Arial"/>
                <w:sz w:val="15"/>
                <w:szCs w:val="15"/>
                <w:b w:val="1"/>
                <w:bCs w:val="1"/>
                <w:color w:val="auto"/>
              </w:rPr>
              <w:t>RV</w:t>
            </w: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Arial" w:cs="Arial" w:eastAsia="Arial" w:hAnsi="Arial"/>
                <w:sz w:val="15"/>
                <w:szCs w:val="15"/>
                <w:b w:val="1"/>
                <w:bCs w:val="1"/>
                <w:color w:val="auto"/>
              </w:rPr>
              <w:t>Marina</w:t>
            </w: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Arial" w:cs="Arial" w:eastAsia="Arial" w:hAnsi="Arial"/>
                <w:sz w:val="15"/>
                <w:szCs w:val="15"/>
                <w:b w:val="1"/>
                <w:bCs w:val="1"/>
                <w:color w:val="auto"/>
                <w:w w:val="88"/>
              </w:rPr>
              <w:t>Consolidated</w:t>
            </w:r>
          </w:p>
        </w:tc>
      </w:tr>
      <w:tr>
        <w:trPr>
          <w:trHeight w:val="185"/>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Identifiable Assets</w:t>
            </w: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198"/>
        </w:trPr>
        <w:tc>
          <w:tcPr>
            <w:tcW w:w="2340" w:type="dxa"/>
            <w:vAlign w:val="bottom"/>
          </w:tcPr>
          <w:p>
            <w:pPr>
              <w:ind w:left="140"/>
              <w:spacing w:after="0"/>
              <w:rPr>
                <w:sz w:val="20"/>
                <w:szCs w:val="20"/>
                <w:color w:val="auto"/>
              </w:rPr>
            </w:pPr>
            <w:r>
              <w:rPr>
                <w:rFonts w:ascii="Arial" w:cs="Arial" w:eastAsia="Arial" w:hAnsi="Arial"/>
                <w:sz w:val="15"/>
                <w:szCs w:val="15"/>
                <w:color w:val="auto"/>
              </w:rPr>
              <w:t>Investment property, net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6,903.2</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3,881.1</w:t>
            </w:r>
          </w:p>
        </w:tc>
        <w:tc>
          <w:tcPr>
            <w:tcW w:w="80" w:type="dxa"/>
            <w:vAlign w:val="bottom"/>
          </w:tcPr>
          <w:p>
            <w:pPr>
              <w:spacing w:after="0"/>
              <w:rPr>
                <w:sz w:val="17"/>
                <w:szCs w:val="17"/>
                <w:color w:val="auto"/>
              </w:rPr>
            </w:pPr>
          </w:p>
        </w:tc>
        <w:tc>
          <w:tcPr>
            <w:tcW w:w="200" w:type="dxa"/>
            <w:vAlign w:val="bottom"/>
          </w:tcPr>
          <w:p>
            <w:pPr>
              <w:jc w:val="center"/>
              <w:ind w:right="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3,206.4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13,990.7</w:t>
            </w:r>
          </w:p>
        </w:tc>
        <w:tc>
          <w:tcPr>
            <w:tcW w:w="18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7,181.7</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3,744.3</w:t>
            </w:r>
          </w:p>
        </w:tc>
        <w:tc>
          <w:tcPr>
            <w:tcW w:w="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3,045.0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13,971.0</w:t>
            </w:r>
          </w:p>
        </w:tc>
      </w:tr>
      <w:tr>
        <w:trPr>
          <w:trHeight w:val="153"/>
        </w:trPr>
        <w:tc>
          <w:tcPr>
            <w:tcW w:w="234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Cash, cash equivalents and</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16"/>
        </w:trPr>
        <w:tc>
          <w:tcPr>
            <w:tcW w:w="23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restricted cash</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90.4</w:t>
            </w:r>
          </w:p>
        </w:tc>
      </w:tr>
      <w:tr>
        <w:trPr>
          <w:trHeight w:val="198"/>
        </w:trPr>
        <w:tc>
          <w:tcPr>
            <w:tcW w:w="2340" w:type="dxa"/>
            <w:vAlign w:val="bottom"/>
          </w:tcPr>
          <w:p>
            <w:pPr>
              <w:ind w:left="140"/>
              <w:spacing w:after="0"/>
              <w:rPr>
                <w:sz w:val="20"/>
                <w:szCs w:val="20"/>
                <w:color w:val="auto"/>
              </w:rPr>
            </w:pPr>
            <w:r>
              <w:rPr>
                <w:rFonts w:ascii="Arial" w:cs="Arial" w:eastAsia="Arial" w:hAnsi="Arial"/>
                <w:sz w:val="15"/>
                <w:szCs w:val="15"/>
                <w:color w:val="auto"/>
              </w:rPr>
              <w:t>Marketable securities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112.8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82.4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44.9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127.3</w:t>
            </w:r>
          </w:p>
        </w:tc>
      </w:tr>
      <w:tr>
        <w:trPr>
          <w:trHeight w:val="207"/>
        </w:trPr>
        <w:tc>
          <w:tcPr>
            <w:tcW w:w="23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7"/>
              </w:rPr>
              <w:t>Inventory of manufactured homes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202.7</w:t>
            </w:r>
          </w:p>
        </w:tc>
      </w:tr>
      <w:tr>
        <w:trPr>
          <w:trHeight w:val="198"/>
        </w:trPr>
        <w:tc>
          <w:tcPr>
            <w:tcW w:w="2340" w:type="dxa"/>
            <w:vAlign w:val="bottom"/>
          </w:tcPr>
          <w:p>
            <w:pPr>
              <w:ind w:left="140"/>
              <w:spacing w:after="0"/>
              <w:rPr>
                <w:sz w:val="20"/>
                <w:szCs w:val="20"/>
                <w:color w:val="auto"/>
              </w:rPr>
            </w:pPr>
            <w:r>
              <w:rPr>
                <w:rFonts w:ascii="Arial" w:cs="Arial" w:eastAsia="Arial" w:hAnsi="Arial"/>
                <w:sz w:val="15"/>
                <w:szCs w:val="15"/>
                <w:color w:val="auto"/>
              </w:rPr>
              <w:t>Notes and other receivables, net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659.5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116.0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832.2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475.2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96.5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617.3</w:t>
            </w:r>
          </w:p>
        </w:tc>
      </w:tr>
      <w:tr>
        <w:trPr>
          <w:trHeight w:val="207"/>
        </w:trPr>
        <w:tc>
          <w:tcPr>
            <w:tcW w:w="23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Goodwill</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1,084.1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1,018.4</w:t>
            </w:r>
          </w:p>
        </w:tc>
      </w:tr>
      <w:tr>
        <w:trPr>
          <w:trHeight w:val="198"/>
        </w:trPr>
        <w:tc>
          <w:tcPr>
            <w:tcW w:w="2340" w:type="dxa"/>
            <w:vAlign w:val="bottom"/>
          </w:tcPr>
          <w:p>
            <w:pPr>
              <w:ind w:left="140"/>
              <w:spacing w:after="0"/>
              <w:rPr>
                <w:sz w:val="20"/>
                <w:szCs w:val="20"/>
                <w:color w:val="auto"/>
              </w:rPr>
            </w:pPr>
            <w:r>
              <w:rPr>
                <w:rFonts w:ascii="Arial" w:cs="Arial" w:eastAsia="Arial" w:hAnsi="Arial"/>
                <w:sz w:val="15"/>
                <w:szCs w:val="15"/>
                <w:color w:val="auto"/>
              </w:rPr>
              <w:t>Other intangible assets, net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88.0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374.7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97.9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402.0</w:t>
            </w:r>
          </w:p>
        </w:tc>
      </w:tr>
      <w:tr>
        <w:trPr>
          <w:trHeight w:val="203"/>
        </w:trPr>
        <w:tc>
          <w:tcPr>
            <w:tcW w:w="23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assets, net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633.3</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929.0</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356.1</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63.0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655.1</w:t>
            </w:r>
          </w:p>
        </w:tc>
      </w:tr>
      <w:tr>
        <w:trPr>
          <w:trHeight w:val="200"/>
        </w:trPr>
        <w:tc>
          <w:tcPr>
            <w:tcW w:w="2340" w:type="dxa"/>
            <w:vAlign w:val="bottom"/>
          </w:tcPr>
          <w:p>
            <w:pPr>
              <w:ind w:left="2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9,118.1</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4,169.4</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4,317.8</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17,605.3</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8,899.2</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4,034.7</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4,150.3</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17,084.2</w:t>
            </w:r>
          </w:p>
        </w:tc>
      </w:tr>
      <w:tr>
        <w:trPr>
          <w:trHeight w:val="20"/>
        </w:trPr>
        <w:tc>
          <w:tcPr>
            <w:tcW w:w="2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elected to be taxed as a real estate investment trust ("REIT") pursuant to Section 856(c) of the Internal Revenue Code of 1986, as amended ("Code"). In order for us to qualify as a REIT, at least 95% of our gross income in any year must be derived from qualifying sources. In addition, a REIT must distribute annually at least 90% of its REIT taxable income (calculated without any deduction for dividends paid and excluding capital gains) to its shareholders and meet other tests.</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during the nine months ended September 30, 2023.</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REIT, we generally will not be subject to U.S. federal income taxes at the corporate level on the ordinary taxable income we distribute to our shareholders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We are also subject to local income taxes in Canada, Puerto Rico and the UK due to certain properties located in those jurisdictions. We do not provide for withholding taxes on our undistributed earnings from our Canadian subsidiaries as they are reinvested and will continue to be reinvested indefinitely outside of the U.S. However, we are subject to Australian withholding taxes on distributions from our investment in Ingenia Communities Group. As currently structured, we are not subject to UK withholding taxes on distributions from our UK properties.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Deferred tax assets and liabilities reflect the impact of temporary differences between the amounts of assets and liabilities for financial reporting purposes and the basis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depreciation, interest and basis differences between tax and GAAP. Our deferred tax assets that have a full valuation allowance relate to our taxable REIT subsidiaries. As of September 30, 2023, we had $215.8 million of net deferred tax liabilities, comprised of deferred tax assets, net of valuation allowance of $46.4 million, and deferred tax liabilities of $262.2 million. Additionally, we have $58.1 million of deferred tax liabilities that have been reclassified as real estate held for sale. Refer to Note 3, "Real Estate Acquisitions and Dispositions," for additional information. The deferred tax liability balance is comprised primarily of basis differences in our foreign investment in properties in the UK and Canada. As of December 31, 2022, we had $308.6 million of net deferred tax liabilities, comprised of deferred tax assets, net of valuation allowance of $32.2 million, and deferred tax liabilities of $340.8 million. The net deferred tax assets and deferred tax liabilities are recorded within Other assets and Other liabilities, respectively, on our Consolidated Balance Sheets as of September 30, 2023 and December 31, 2022.</w:t>
      </w:r>
    </w:p>
    <w:p>
      <w:pPr>
        <w:spacing w:after="0" w:line="2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no unrecognized tax benefits as of September 30, 2023 and 2022. We do not expect significant changes in tax positions that would result in unrecognized tax benefits within one year of September 30, 2023.</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2023, we recorded current tax expense for federal, state, Canadian, Puerto Rican, and UK income taxes and Australian withholding taxes totaling $4.6 million and $13.9 million, respectively. For the three and nine months ended September 30, 2022, we recorded current tax expense for federal, state, Canadian, Puerto Rican, and UK income taxes and Australian withholding taxes totaling $7.3 million and $12.5 million, respectively.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2023, we recorded a deferred tax benefit of $2.3 million and $14.6 million, respectively. For the three and nine months ended September 30, 2022, we recorded a deferred tax benefit of $3.6 million and $3.9 million,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Earnings per share ("EPS") is computed by dividing net income by the weighted average number of common shares outstanding during the period on a basic and diluted basis. We calculate diluted EPS using the more dilutive of the treasury stock method and the two-class method for stock option and restricted common shares, the treasury stock method for forward equity sales and the if converted method for convertible units.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we enter into forward equity sales agreements, which are discussed in Note 9, "Equity and Temporary Equity." We considered the potential dilution resulting from the forward equity sales agreements on the EPS calculations. At inception, the agreements do not have an effect on the computation of basic EPS as no shares are delivered unless there is a physical settlement. Common shares issued upon the physical settlement of the forward equity sales agreements, weighted for the period these common shares are outstanding, are included in the denominator of basic EPS. To determine the dilution resulting from the forward equity sales agreements during the period of time prior to settlement, we calculate the number of weighted-average shares outstanding - diluted in accordance with the treasury stock method.</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potentially dilutive securities include our potential common shares related to our forward equity offerings, our unvested restricted common shares, and our Operating Partnership outstanding common OP units, Series A-1 preferred OP units, Series A-3 preferred OP units, Series C preferred OP units, Series D preferred OP units, Series E preferred OP units, Series F preferred OP units, Series G preferred OP units, Series H preferred OP units, Series J preferred OP units, Series K preferred OP units and Aspen preferred OP Units, which, if converted or exercised, may impact dilution.</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Diluted EPS considers the impact of potentially dilutive securities except when the potential common shares have an anti-dilutive effect. Our unvested restricted stock common shares contain rights to receive non-forfeitable distributions and participate equally with common stock with respect to distributions issued or declared, and thus, are participating securities, requiring the two-class method of computing EPS. In calculating the two-class method, undistributed earnings are allocated to both common shares and participating securities based on the weighted average number of shares outstanding during the period. The two-class method determines EPS by (1) dividing the sum of distributed earnings allocated to common shareholders and undistributed earnings allocated to common shareholders by the weighted average number of shares of common stock outstanding for the period; and (2) dividing the sum of distributed earnings allocated to participating securities and undistributed earnings allocated to participating securities by the weighted average number of shares of participating securities for the period. The remaining potential dilutive common shares do not contain rights to distributions and are included in the computation of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Computations of basic and diluted EPS were as follows (in millions, except for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5"/>
                <w:szCs w:val="15"/>
                <w:b w:val="1"/>
                <w:bCs w:val="1"/>
                <w:color w:val="auto"/>
              </w:rPr>
              <w:t>Three Months Ended</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5"/>
                <w:szCs w:val="15"/>
                <w:b w:val="1"/>
                <w:bCs w:val="1"/>
                <w:color w:val="auto"/>
              </w:rPr>
              <w:t>Nine Months Ended</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4"/>
          </w:tcPr>
          <w:p>
            <w:pPr>
              <w:ind w:left="40"/>
              <w:spacing w:after="0"/>
              <w:rPr>
                <w:sz w:val="20"/>
                <w:szCs w:val="20"/>
                <w:color w:val="auto"/>
              </w:rPr>
            </w:pPr>
            <w:r>
              <w:rPr>
                <w:rFonts w:ascii="Arial" w:cs="Arial" w:eastAsia="Arial" w:hAnsi="Arial"/>
                <w:sz w:val="15"/>
                <w:szCs w:val="15"/>
                <w:b w:val="1"/>
                <w:bCs w:val="1"/>
                <w:color w:val="auto"/>
              </w:rPr>
              <w:t>September 30, 2023</w:t>
            </w:r>
          </w:p>
        </w:tc>
        <w:tc>
          <w:tcPr>
            <w:tcW w:w="140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September 30, 2022</w:t>
            </w:r>
          </w:p>
        </w:tc>
        <w:tc>
          <w:tcPr>
            <w:tcW w:w="220" w:type="dxa"/>
            <w:vAlign w:val="bottom"/>
          </w:tcPr>
          <w:p>
            <w:pPr>
              <w:spacing w:after="0"/>
              <w:rPr>
                <w:sz w:val="17"/>
                <w:szCs w:val="17"/>
                <w:color w:val="auto"/>
              </w:rPr>
            </w:pPr>
          </w:p>
        </w:tc>
        <w:tc>
          <w:tcPr>
            <w:tcW w:w="1480" w:type="dxa"/>
            <w:vAlign w:val="bottom"/>
            <w:gridSpan w:val="3"/>
          </w:tcPr>
          <w:p>
            <w:pPr>
              <w:ind w:left="60"/>
              <w:spacing w:after="0"/>
              <w:rPr>
                <w:sz w:val="20"/>
                <w:szCs w:val="20"/>
                <w:color w:val="auto"/>
              </w:rPr>
            </w:pPr>
            <w:r>
              <w:rPr>
                <w:rFonts w:ascii="Arial" w:cs="Arial" w:eastAsia="Arial" w:hAnsi="Arial"/>
                <w:sz w:val="15"/>
                <w:szCs w:val="15"/>
                <w:b w:val="1"/>
                <w:bCs w:val="1"/>
                <w:color w:val="auto"/>
                <w:w w:val="99"/>
              </w:rPr>
              <w:t>September 30, 2023</w:t>
            </w:r>
          </w:p>
        </w:tc>
        <w:tc>
          <w:tcPr>
            <w:tcW w:w="144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w w:val="95"/>
              </w:rPr>
              <w:t>September 30, 2022</w:t>
            </w:r>
          </w:p>
        </w:tc>
        <w:tc>
          <w:tcPr>
            <w:tcW w:w="0" w:type="dxa"/>
            <w:vAlign w:val="bottom"/>
          </w:tcPr>
          <w:p>
            <w:pPr>
              <w:spacing w:after="0"/>
              <w:rPr>
                <w:sz w:val="1"/>
                <w:szCs w:val="1"/>
                <w:color w:val="auto"/>
              </w:rPr>
            </w:pPr>
          </w:p>
        </w:tc>
      </w:tr>
      <w:tr>
        <w:trPr>
          <w:trHeight w:val="185"/>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Numerator</w:t>
            </w:r>
          </w:p>
        </w:tc>
        <w:tc>
          <w:tcPr>
            <w:tcW w:w="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5"/>
                <w:szCs w:val="15"/>
                <w:color w:val="auto"/>
              </w:rPr>
              <w:t>Net income attributable to SUI common shareholders</w:t>
            </w:r>
          </w:p>
        </w:tc>
        <w:tc>
          <w:tcPr>
            <w:tcW w:w="440" w:type="dxa"/>
            <w:vAlign w:val="bottom"/>
            <w:gridSpan w:val="2"/>
          </w:tcPr>
          <w:p>
            <w:pPr>
              <w:jc w:val="right"/>
              <w:ind w:right="28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163.1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66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162.6</w:t>
            </w:r>
          </w:p>
        </w:tc>
        <w:tc>
          <w:tcPr>
            <w:tcW w:w="220" w:type="dxa"/>
            <w:vAlign w:val="bottom"/>
          </w:tcPr>
          <w:p>
            <w:pPr>
              <w:spacing w:after="0"/>
              <w:rPr>
                <w:sz w:val="17"/>
                <w:szCs w:val="17"/>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222.8</w:t>
            </w:r>
          </w:p>
        </w:tc>
        <w:tc>
          <w:tcPr>
            <w:tcW w:w="80" w:type="dxa"/>
            <w:vAlign w:val="bottom"/>
          </w:tcPr>
          <w:p>
            <w:pPr>
              <w:spacing w:after="0"/>
              <w:rPr>
                <w:sz w:val="17"/>
                <w:szCs w:val="17"/>
                <w:color w:val="auto"/>
              </w:rPr>
            </w:pPr>
          </w:p>
        </w:tc>
        <w:tc>
          <w:tcPr>
            <w:tcW w:w="840" w:type="dxa"/>
            <w:vAlign w:val="bottom"/>
          </w:tcPr>
          <w:p>
            <w:pPr>
              <w:jc w:val="right"/>
              <w:ind w:right="664"/>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237.3</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Less: allocation to restricted stock awards</w:t>
            </w:r>
          </w:p>
        </w:tc>
        <w:tc>
          <w:tcPr>
            <w:tcW w:w="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42"/>
        </w:trPr>
        <w:tc>
          <w:tcPr>
            <w:tcW w:w="5200" w:type="dxa"/>
            <w:vAlign w:val="bottom"/>
          </w:tcPr>
          <w:p>
            <w:pPr>
              <w:ind w:left="140"/>
              <w:spacing w:after="0" w:line="142" w:lineRule="exact"/>
              <w:rPr>
                <w:sz w:val="20"/>
                <w:szCs w:val="20"/>
                <w:color w:val="auto"/>
              </w:rPr>
            </w:pPr>
            <w:r>
              <w:rPr>
                <w:rFonts w:ascii="Arial" w:cs="Arial" w:eastAsia="Arial" w:hAnsi="Arial"/>
                <w:sz w:val="15"/>
                <w:szCs w:val="15"/>
                <w:color w:val="auto"/>
                <w:w w:val="94"/>
              </w:rPr>
              <w:t>Basic earnings - net income attributable to common shareholders after allocation</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5"/>
                <w:szCs w:val="15"/>
                <w:color w:val="auto"/>
              </w:rPr>
              <w:t>to restricted stock awards</w:t>
            </w:r>
          </w:p>
        </w:tc>
        <w:tc>
          <w:tcPr>
            <w:tcW w:w="440" w:type="dxa"/>
            <w:vAlign w:val="bottom"/>
            <w:gridSpan w:val="2"/>
          </w:tcPr>
          <w:p>
            <w:pPr>
              <w:jc w:val="right"/>
              <w:ind w:right="28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161.9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66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161.5</w:t>
            </w:r>
          </w:p>
        </w:tc>
        <w:tc>
          <w:tcPr>
            <w:tcW w:w="220" w:type="dxa"/>
            <w:vAlign w:val="bottom"/>
          </w:tcPr>
          <w:p>
            <w:pPr>
              <w:spacing w:after="0"/>
              <w:rPr>
                <w:sz w:val="17"/>
                <w:szCs w:val="17"/>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221.2</w:t>
            </w:r>
          </w:p>
        </w:tc>
        <w:tc>
          <w:tcPr>
            <w:tcW w:w="80" w:type="dxa"/>
            <w:vAlign w:val="bottom"/>
          </w:tcPr>
          <w:p>
            <w:pPr>
              <w:spacing w:after="0"/>
              <w:rPr>
                <w:sz w:val="17"/>
                <w:szCs w:val="17"/>
                <w:color w:val="auto"/>
              </w:rPr>
            </w:pPr>
          </w:p>
        </w:tc>
        <w:tc>
          <w:tcPr>
            <w:tcW w:w="840" w:type="dxa"/>
            <w:vAlign w:val="bottom"/>
          </w:tcPr>
          <w:p>
            <w:pPr>
              <w:jc w:val="right"/>
              <w:ind w:right="664"/>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235.8</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Add: allocation to restricted stock awards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5"/>
                <w:szCs w:val="15"/>
                <w:color w:val="auto"/>
              </w:rPr>
              <w:t>Add: allocation to common and preferred OP units dilutive effect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0.5</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46"/>
        </w:trPr>
        <w:tc>
          <w:tcPr>
            <w:tcW w:w="5200" w:type="dxa"/>
            <w:vAlign w:val="bottom"/>
            <w:tcBorders>
              <w:top w:val="single" w:sz="8" w:color="CCEEFF"/>
            </w:tcBorders>
            <w:shd w:val="clear" w:color="auto" w:fill="CCEEFF"/>
          </w:tcPr>
          <w:p>
            <w:pPr>
              <w:ind w:left="140"/>
              <w:spacing w:after="0" w:line="146" w:lineRule="exact"/>
              <w:rPr>
                <w:sz w:val="20"/>
                <w:szCs w:val="20"/>
                <w:color w:val="auto"/>
              </w:rPr>
            </w:pPr>
            <w:r>
              <w:rPr>
                <w:rFonts w:ascii="Arial" w:cs="Arial" w:eastAsia="Arial" w:hAnsi="Arial"/>
                <w:sz w:val="15"/>
                <w:szCs w:val="15"/>
                <w:color w:val="auto"/>
              </w:rPr>
              <w:t>Diluted earnings - net income attributable to common shareholders after</w:t>
            </w:r>
          </w:p>
        </w:tc>
        <w:tc>
          <w:tcPr>
            <w:tcW w:w="440" w:type="dxa"/>
            <w:vAlign w:val="bottom"/>
            <w:tcBorders>
              <w:top w:val="single" w:sz="8" w:color="auto"/>
            </w:tcBorders>
            <w:gridSpan w:val="2"/>
            <w:vMerge w:val="restart"/>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161.9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162.0</w:t>
            </w:r>
          </w:p>
        </w:tc>
        <w:tc>
          <w:tcPr>
            <w:tcW w:w="2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221.2</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ind w:right="66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240.7</w:t>
            </w:r>
          </w:p>
        </w:tc>
        <w:tc>
          <w:tcPr>
            <w:tcW w:w="0" w:type="dxa"/>
            <w:vAlign w:val="bottom"/>
          </w:tcPr>
          <w:p>
            <w:pPr>
              <w:spacing w:after="0"/>
              <w:rPr>
                <w:sz w:val="1"/>
                <w:szCs w:val="1"/>
                <w:color w:val="auto"/>
              </w:rPr>
            </w:pPr>
          </w:p>
        </w:tc>
      </w:tr>
      <w:tr>
        <w:trPr>
          <w:trHeight w:val="195"/>
        </w:trPr>
        <w:tc>
          <w:tcPr>
            <w:tcW w:w="520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5"/>
                <w:szCs w:val="15"/>
                <w:color w:val="auto"/>
              </w:rPr>
              <w:t>allocation to common and preferred OP units</w:t>
            </w:r>
            <w:r>
              <w:rPr>
                <w:rFonts w:ascii="Arial" w:cs="Arial" w:eastAsia="Arial" w:hAnsi="Arial"/>
                <w:sz w:val="18"/>
                <w:szCs w:val="18"/>
                <w:color w:val="auto"/>
                <w:vertAlign w:val="superscript"/>
              </w:rPr>
              <w:t>(1)</w:t>
            </w:r>
          </w:p>
        </w:tc>
        <w:tc>
          <w:tcPr>
            <w:tcW w:w="440" w:type="dxa"/>
            <w:vAlign w:val="bottom"/>
            <w:tcBorders>
              <w:bottom w:val="single" w:sz="8" w:color="auto"/>
            </w:tcBorders>
            <w:gridSpan w:val="2"/>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Denominator</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5"/>
                <w:szCs w:val="15"/>
                <w:color w:val="auto"/>
              </w:rPr>
              <w:t>Weighted average common shares outstanding</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123.5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122.4</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123.4</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119.2</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Add: common shares dilutive effect from Forward Equity Offering</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5"/>
                <w:szCs w:val="15"/>
                <w:color w:val="auto"/>
              </w:rPr>
              <w:t>Add: dilutive restricted stock</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Add: common and preferred OP units dilutive effect</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00"/>
        </w:trPr>
        <w:tc>
          <w:tcPr>
            <w:tcW w:w="5200" w:type="dxa"/>
            <w:vAlign w:val="bottom"/>
          </w:tcPr>
          <w:p>
            <w:pPr>
              <w:ind w:left="140"/>
              <w:spacing w:after="0" w:line="200" w:lineRule="exact"/>
              <w:rPr>
                <w:sz w:val="20"/>
                <w:szCs w:val="20"/>
                <w:color w:val="auto"/>
              </w:rPr>
            </w:pPr>
            <w:r>
              <w:rPr>
                <w:rFonts w:ascii="Arial" w:cs="Arial" w:eastAsia="Arial" w:hAnsi="Arial"/>
                <w:sz w:val="15"/>
                <w:szCs w:val="15"/>
                <w:color w:val="auto"/>
              </w:rPr>
              <w:t>Diluted weighted average common shares and securities</w:t>
            </w:r>
            <w:r>
              <w:rPr>
                <w:rFonts w:ascii="Arial" w:cs="Arial" w:eastAsia="Arial" w:hAnsi="Arial"/>
                <w:sz w:val="18"/>
                <w:szCs w:val="18"/>
                <w:color w:val="auto"/>
                <w:vertAlign w:val="superscript"/>
              </w:rPr>
              <w:t>(1)</w:t>
            </w:r>
          </w:p>
        </w:tc>
        <w:tc>
          <w:tcPr>
            <w:tcW w:w="2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123.5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122.8</w:t>
            </w:r>
          </w:p>
        </w:tc>
        <w:tc>
          <w:tcPr>
            <w:tcW w:w="22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123.4</w:t>
            </w:r>
          </w:p>
        </w:tc>
        <w:tc>
          <w:tcPr>
            <w:tcW w:w="80" w:type="dxa"/>
            <w:vAlign w:val="bottom"/>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121.9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EPS Available to Common Shareholders After Allocation</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5"/>
                <w:szCs w:val="15"/>
                <w:color w:val="auto"/>
              </w:rPr>
              <w:t>Basic earnings per share</w:t>
            </w:r>
          </w:p>
        </w:tc>
        <w:tc>
          <w:tcPr>
            <w:tcW w:w="44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64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1.32</w:t>
            </w:r>
          </w:p>
        </w:tc>
        <w:tc>
          <w:tcPr>
            <w:tcW w:w="220" w:type="dxa"/>
            <w:vAlign w:val="bottom"/>
          </w:tcPr>
          <w:p>
            <w:pPr>
              <w:spacing w:after="0"/>
              <w:rPr>
                <w:sz w:val="17"/>
                <w:szCs w:val="17"/>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1.79</w:t>
            </w:r>
          </w:p>
        </w:tc>
        <w:tc>
          <w:tcPr>
            <w:tcW w:w="80" w:type="dxa"/>
            <w:vAlign w:val="bottom"/>
          </w:tcPr>
          <w:p>
            <w:pPr>
              <w:spacing w:after="0"/>
              <w:rPr>
                <w:sz w:val="17"/>
                <w:szCs w:val="17"/>
                <w:color w:val="auto"/>
              </w:rPr>
            </w:pPr>
          </w:p>
        </w:tc>
        <w:tc>
          <w:tcPr>
            <w:tcW w:w="840" w:type="dxa"/>
            <w:vAlign w:val="bottom"/>
          </w:tcPr>
          <w:p>
            <w:pPr>
              <w:jc w:val="right"/>
              <w:ind w:right="664"/>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 earnings per share</w:t>
            </w:r>
            <w:r>
              <w:rPr>
                <w:rFonts w:ascii="Arial" w:cs="Arial" w:eastAsia="Arial" w:hAnsi="Arial"/>
                <w:sz w:val="18"/>
                <w:szCs w:val="18"/>
                <w:color w:val="auto"/>
                <w:vertAlign w:val="superscript"/>
              </w:rPr>
              <w:t>(1)</w:t>
            </w:r>
          </w:p>
        </w:tc>
        <w:tc>
          <w:tcPr>
            <w:tcW w:w="440" w:type="dxa"/>
            <w:vAlign w:val="bottom"/>
            <w:gridSpan w:val="2"/>
            <w:shd w:val="clear" w:color="auto" w:fill="CCEEFF"/>
          </w:tcPr>
          <w:p>
            <w:pPr>
              <w:jc w:val="right"/>
              <w:ind w:right="24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4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4"/>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80" w:hanging="172"/>
        <w:spacing w:after="0" w:line="226" w:lineRule="auto"/>
        <w:tabs>
          <w:tab w:leader="none" w:pos="164"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For the three and nine months ended September 30, 2023 and 2022, diluted earnings per share was calculated using the two-class method for restricted common shares as the application of this method resulted in a more diluted earnings per share during those periods.</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excluded certain convertible securities from the computation of diluted EPS because the inclusion of those securities would have been anti-dilutive for the periods presented. The following table presents the outstanding securities that were excluded from the computations of diluted EPS as of September 30, 2023 and 2022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80" w:type="dxa"/>
            <w:vAlign w:val="bottom"/>
          </w:tcPr>
          <w:p>
            <w:pPr>
              <w:spacing w:after="0"/>
              <w:rPr>
                <w:sz w:val="17"/>
                <w:szCs w:val="17"/>
                <w:color w:val="auto"/>
              </w:rPr>
            </w:pPr>
          </w:p>
        </w:tc>
        <w:tc>
          <w:tcPr>
            <w:tcW w:w="2980" w:type="dxa"/>
            <w:vAlign w:val="bottom"/>
            <w:tcBorders>
              <w:bottom w:val="single" w:sz="8" w:color="auto"/>
            </w:tcBorders>
            <w:gridSpan w:val="3"/>
          </w:tcPr>
          <w:p>
            <w:pPr>
              <w:jc w:val="right"/>
              <w:ind w:right="1244"/>
              <w:spacing w:after="0"/>
              <w:rPr>
                <w:sz w:val="20"/>
                <w:szCs w:val="20"/>
                <w:color w:val="auto"/>
              </w:rPr>
            </w:pPr>
            <w:r>
              <w:rPr>
                <w:rFonts w:ascii="Arial" w:cs="Arial" w:eastAsia="Arial" w:hAnsi="Arial"/>
                <w:sz w:val="15"/>
                <w:szCs w:val="15"/>
                <w:b w:val="1"/>
                <w:bCs w:val="1"/>
                <w:color w:val="auto"/>
              </w:rPr>
              <w:t>As of</w:t>
            </w:r>
          </w:p>
        </w:tc>
        <w:tc>
          <w:tcPr>
            <w:tcW w:w="280" w:type="dxa"/>
            <w:vAlign w:val="bottom"/>
          </w:tcPr>
          <w:p>
            <w:pPr>
              <w:spacing w:after="0"/>
              <w:rPr>
                <w:sz w:val="17"/>
                <w:szCs w:val="17"/>
                <w:color w:val="auto"/>
              </w:rPr>
            </w:pPr>
          </w:p>
        </w:tc>
      </w:tr>
      <w:tr>
        <w:trPr>
          <w:trHeight w:val="198"/>
        </w:trPr>
        <w:tc>
          <w:tcPr>
            <w:tcW w:w="798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2023</w:t>
            </w:r>
          </w:p>
        </w:tc>
        <w:tc>
          <w:tcPr>
            <w:tcW w:w="1440" w:type="dxa"/>
            <w:vAlign w:val="bottom"/>
          </w:tcPr>
          <w:p>
            <w:pPr>
              <w:jc w:val="right"/>
              <w:ind w:right="4"/>
              <w:spacing w:after="0"/>
              <w:rPr>
                <w:sz w:val="20"/>
                <w:szCs w:val="20"/>
                <w:color w:val="auto"/>
              </w:rPr>
            </w:pPr>
            <w:r>
              <w:rPr>
                <w:rFonts w:ascii="Arial" w:cs="Arial" w:eastAsia="Arial" w:hAnsi="Arial"/>
                <w:sz w:val="15"/>
                <w:szCs w:val="15"/>
                <w:b w:val="1"/>
                <w:bCs w:val="1"/>
                <w:color w:val="auto"/>
                <w:w w:val="95"/>
              </w:rPr>
              <w:t>September 30, 2022</w:t>
            </w:r>
          </w:p>
        </w:tc>
        <w:tc>
          <w:tcPr>
            <w:tcW w:w="280" w:type="dxa"/>
            <w:vAlign w:val="bottom"/>
          </w:tcPr>
          <w:p>
            <w:pPr>
              <w:spacing w:after="0"/>
              <w:rPr>
                <w:sz w:val="17"/>
                <w:szCs w:val="17"/>
                <w:color w:val="auto"/>
              </w:rPr>
            </w:pPr>
          </w:p>
        </w:tc>
      </w:tr>
      <w:tr>
        <w:trPr>
          <w:trHeight w:val="198"/>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Common OP units</w:t>
            </w: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2,632</w:t>
            </w:r>
          </w:p>
        </w:tc>
        <w:tc>
          <w:tcPr>
            <w:tcW w:w="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2,429</w:t>
            </w:r>
          </w:p>
        </w:tc>
        <w:tc>
          <w:tcPr>
            <w:tcW w:w="28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0"/>
                <w:szCs w:val="10"/>
                <w:color w:val="auto"/>
                <w:w w:val="97"/>
              </w:rPr>
              <w:t>(1)</w:t>
            </w:r>
          </w:p>
        </w:tc>
      </w:tr>
      <w:tr>
        <w:trPr>
          <w:trHeight w:val="198"/>
        </w:trPr>
        <w:tc>
          <w:tcPr>
            <w:tcW w:w="7980" w:type="dxa"/>
            <w:vAlign w:val="bottom"/>
          </w:tcPr>
          <w:p>
            <w:pPr>
              <w:ind w:left="20"/>
              <w:spacing w:after="0"/>
              <w:rPr>
                <w:sz w:val="20"/>
                <w:szCs w:val="20"/>
                <w:color w:val="auto"/>
              </w:rPr>
            </w:pPr>
            <w:r>
              <w:rPr>
                <w:rFonts w:ascii="Arial" w:cs="Arial" w:eastAsia="Arial" w:hAnsi="Arial"/>
                <w:sz w:val="15"/>
                <w:szCs w:val="15"/>
                <w:color w:val="auto"/>
              </w:rPr>
              <w:t>A-1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202</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270</w:t>
            </w:r>
          </w:p>
        </w:tc>
        <w:tc>
          <w:tcPr>
            <w:tcW w:w="280" w:type="dxa"/>
            <w:vAlign w:val="bottom"/>
          </w:tcPr>
          <w:p>
            <w:pPr>
              <w:spacing w:after="0"/>
              <w:rPr>
                <w:sz w:val="17"/>
                <w:szCs w:val="17"/>
                <w:color w:val="auto"/>
              </w:rPr>
            </w:pPr>
          </w:p>
        </w:tc>
      </w:tr>
      <w:tr>
        <w:trPr>
          <w:trHeight w:val="207"/>
        </w:trPr>
        <w:tc>
          <w:tcPr>
            <w:tcW w:w="7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A-3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280" w:type="dxa"/>
            <w:vAlign w:val="bottom"/>
            <w:shd w:val="clear" w:color="auto" w:fill="CCEEFF"/>
          </w:tcPr>
          <w:p>
            <w:pPr>
              <w:spacing w:after="0"/>
              <w:rPr>
                <w:sz w:val="17"/>
                <w:szCs w:val="17"/>
                <w:color w:val="auto"/>
              </w:rPr>
            </w:pPr>
          </w:p>
        </w:tc>
      </w:tr>
      <w:tr>
        <w:trPr>
          <w:trHeight w:val="198"/>
        </w:trPr>
        <w:tc>
          <w:tcPr>
            <w:tcW w:w="7980" w:type="dxa"/>
            <w:vAlign w:val="bottom"/>
          </w:tcPr>
          <w:p>
            <w:pPr>
              <w:ind w:left="20"/>
              <w:spacing w:after="0"/>
              <w:rPr>
                <w:sz w:val="20"/>
                <w:szCs w:val="20"/>
                <w:color w:val="auto"/>
              </w:rPr>
            </w:pPr>
            <w:r>
              <w:rPr>
                <w:rFonts w:ascii="Arial" w:cs="Arial" w:eastAsia="Arial" w:hAnsi="Arial"/>
                <w:sz w:val="15"/>
                <w:szCs w:val="15"/>
                <w:color w:val="auto"/>
              </w:rPr>
              <w:t>Aspen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315</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1,284</w:t>
            </w:r>
          </w:p>
        </w:tc>
        <w:tc>
          <w:tcPr>
            <w:tcW w:w="280" w:type="dxa"/>
            <w:vAlign w:val="bottom"/>
          </w:tcPr>
          <w:p>
            <w:pPr>
              <w:jc w:val="right"/>
              <w:ind w:right="90"/>
              <w:spacing w:after="0"/>
              <w:rPr>
                <w:sz w:val="20"/>
                <w:szCs w:val="20"/>
                <w:color w:val="auto"/>
              </w:rPr>
            </w:pPr>
            <w:r>
              <w:rPr>
                <w:rFonts w:ascii="Arial" w:cs="Arial" w:eastAsia="Arial" w:hAnsi="Arial"/>
                <w:sz w:val="10"/>
                <w:szCs w:val="10"/>
                <w:color w:val="auto"/>
                <w:w w:val="97"/>
              </w:rPr>
              <w:t>(2)</w:t>
            </w:r>
          </w:p>
        </w:tc>
      </w:tr>
      <w:tr>
        <w:trPr>
          <w:trHeight w:val="207"/>
        </w:trPr>
        <w:tc>
          <w:tcPr>
            <w:tcW w:w="7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306</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w:t>
            </w:r>
          </w:p>
        </w:tc>
        <w:tc>
          <w:tcPr>
            <w:tcW w:w="280" w:type="dxa"/>
            <w:vAlign w:val="bottom"/>
            <w:shd w:val="clear" w:color="auto" w:fill="CCEEFF"/>
          </w:tcPr>
          <w:p>
            <w:pPr>
              <w:spacing w:after="0"/>
              <w:rPr>
                <w:sz w:val="17"/>
                <w:szCs w:val="17"/>
                <w:color w:val="auto"/>
              </w:rPr>
            </w:pPr>
          </w:p>
        </w:tc>
      </w:tr>
      <w:tr>
        <w:trPr>
          <w:trHeight w:val="198"/>
        </w:trPr>
        <w:tc>
          <w:tcPr>
            <w:tcW w:w="7980" w:type="dxa"/>
            <w:vAlign w:val="bottom"/>
          </w:tcPr>
          <w:p>
            <w:pPr>
              <w:ind w:left="20"/>
              <w:spacing w:after="0"/>
              <w:rPr>
                <w:sz w:val="20"/>
                <w:szCs w:val="20"/>
                <w:color w:val="auto"/>
              </w:rPr>
            </w:pPr>
            <w:r>
              <w:rPr>
                <w:rFonts w:ascii="Arial" w:cs="Arial" w:eastAsia="Arial" w:hAnsi="Arial"/>
                <w:sz w:val="15"/>
                <w:szCs w:val="15"/>
                <w:color w:val="auto"/>
              </w:rPr>
              <w:t>Series D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489</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489</w:t>
            </w:r>
          </w:p>
        </w:tc>
        <w:tc>
          <w:tcPr>
            <w:tcW w:w="280" w:type="dxa"/>
            <w:vAlign w:val="bottom"/>
          </w:tcPr>
          <w:p>
            <w:pPr>
              <w:spacing w:after="0"/>
              <w:rPr>
                <w:sz w:val="17"/>
                <w:szCs w:val="17"/>
                <w:color w:val="auto"/>
              </w:rPr>
            </w:pPr>
          </w:p>
        </w:tc>
      </w:tr>
      <w:tr>
        <w:trPr>
          <w:trHeight w:val="207"/>
        </w:trPr>
        <w:tc>
          <w:tcPr>
            <w:tcW w:w="7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E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280" w:type="dxa"/>
            <w:vAlign w:val="bottom"/>
            <w:shd w:val="clear" w:color="auto" w:fill="CCEEFF"/>
          </w:tcPr>
          <w:p>
            <w:pPr>
              <w:spacing w:after="0"/>
              <w:rPr>
                <w:sz w:val="17"/>
                <w:szCs w:val="17"/>
                <w:color w:val="auto"/>
              </w:rPr>
            </w:pPr>
          </w:p>
        </w:tc>
      </w:tr>
      <w:tr>
        <w:trPr>
          <w:trHeight w:val="198"/>
        </w:trPr>
        <w:tc>
          <w:tcPr>
            <w:tcW w:w="7980" w:type="dxa"/>
            <w:vAlign w:val="bottom"/>
          </w:tcPr>
          <w:p>
            <w:pPr>
              <w:ind w:left="20"/>
              <w:spacing w:after="0"/>
              <w:rPr>
                <w:sz w:val="20"/>
                <w:szCs w:val="20"/>
                <w:color w:val="auto"/>
              </w:rPr>
            </w:pPr>
            <w:r>
              <w:rPr>
                <w:rFonts w:ascii="Arial" w:cs="Arial" w:eastAsia="Arial" w:hAnsi="Arial"/>
                <w:sz w:val="15"/>
                <w:szCs w:val="15"/>
                <w:color w:val="auto"/>
              </w:rPr>
              <w:t>Series F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90</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90</w:t>
            </w:r>
          </w:p>
        </w:tc>
        <w:tc>
          <w:tcPr>
            <w:tcW w:w="280" w:type="dxa"/>
            <w:vAlign w:val="bottom"/>
          </w:tcPr>
          <w:p>
            <w:pPr>
              <w:spacing w:after="0"/>
              <w:rPr>
                <w:sz w:val="17"/>
                <w:szCs w:val="17"/>
                <w:color w:val="auto"/>
              </w:rPr>
            </w:pPr>
          </w:p>
        </w:tc>
      </w:tr>
      <w:tr>
        <w:trPr>
          <w:trHeight w:val="207"/>
        </w:trPr>
        <w:tc>
          <w:tcPr>
            <w:tcW w:w="7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G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211</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280" w:type="dxa"/>
            <w:vAlign w:val="bottom"/>
            <w:shd w:val="clear" w:color="auto" w:fill="CCEEFF"/>
          </w:tcPr>
          <w:p>
            <w:pPr>
              <w:spacing w:after="0"/>
              <w:rPr>
                <w:sz w:val="17"/>
                <w:szCs w:val="17"/>
                <w:color w:val="auto"/>
              </w:rPr>
            </w:pPr>
          </w:p>
        </w:tc>
      </w:tr>
      <w:tr>
        <w:trPr>
          <w:trHeight w:val="198"/>
        </w:trPr>
        <w:tc>
          <w:tcPr>
            <w:tcW w:w="7980" w:type="dxa"/>
            <w:vAlign w:val="bottom"/>
          </w:tcPr>
          <w:p>
            <w:pPr>
              <w:ind w:left="20"/>
              <w:spacing w:after="0"/>
              <w:rPr>
                <w:sz w:val="20"/>
                <w:szCs w:val="20"/>
                <w:color w:val="auto"/>
              </w:rPr>
            </w:pPr>
            <w:r>
              <w:rPr>
                <w:rFonts w:ascii="Arial" w:cs="Arial" w:eastAsia="Arial" w:hAnsi="Arial"/>
                <w:sz w:val="15"/>
                <w:szCs w:val="15"/>
                <w:color w:val="auto"/>
              </w:rPr>
              <w:t>Series H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581</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581</w:t>
            </w:r>
          </w:p>
        </w:tc>
        <w:tc>
          <w:tcPr>
            <w:tcW w:w="280" w:type="dxa"/>
            <w:vAlign w:val="bottom"/>
          </w:tcPr>
          <w:p>
            <w:pPr>
              <w:spacing w:after="0"/>
              <w:rPr>
                <w:sz w:val="17"/>
                <w:szCs w:val="17"/>
                <w:color w:val="auto"/>
              </w:rPr>
            </w:pPr>
          </w:p>
        </w:tc>
      </w:tr>
      <w:tr>
        <w:trPr>
          <w:trHeight w:val="206"/>
        </w:trPr>
        <w:tc>
          <w:tcPr>
            <w:tcW w:w="7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J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238</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280" w:type="dxa"/>
            <w:vAlign w:val="bottom"/>
            <w:shd w:val="clear" w:color="auto" w:fill="CCEEFF"/>
          </w:tcPr>
          <w:p>
            <w:pPr>
              <w:spacing w:after="0"/>
              <w:rPr>
                <w:sz w:val="17"/>
                <w:szCs w:val="17"/>
                <w:color w:val="auto"/>
              </w:rPr>
            </w:pPr>
          </w:p>
        </w:tc>
      </w:tr>
      <w:tr>
        <w:trPr>
          <w:trHeight w:val="198"/>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Series K preferred OP units</w:t>
            </w:r>
          </w:p>
        </w:tc>
        <w:tc>
          <w:tcPr>
            <w:tcW w:w="14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1,000</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N/A</w:t>
            </w:r>
          </w:p>
        </w:tc>
        <w:tc>
          <w:tcPr>
            <w:tcW w:w="280" w:type="dxa"/>
            <w:vAlign w:val="bottom"/>
            <w:tcBorders>
              <w:bottom w:val="single" w:sz="8" w:color="CCEEFF"/>
            </w:tcBorders>
          </w:tcPr>
          <w:p>
            <w:pPr>
              <w:spacing w:after="0"/>
              <w:rPr>
                <w:sz w:val="17"/>
                <w:szCs w:val="17"/>
                <w:color w:val="auto"/>
              </w:rPr>
            </w:pPr>
          </w:p>
        </w:tc>
      </w:tr>
      <w:tr>
        <w:trPr>
          <w:trHeight w:val="225"/>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b w:val="1"/>
                <w:bCs w:val="1"/>
                <w:color w:val="auto"/>
              </w:rPr>
              <w:t>Total Securities</w:t>
            </w: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6,184</w:t>
            </w: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6,050</w:t>
            </w:r>
          </w:p>
        </w:tc>
        <w:tc>
          <w:tcPr>
            <w:tcW w:w="280" w:type="dxa"/>
            <w:vAlign w:val="bottom"/>
            <w:tcBorders>
              <w:bottom w:val="single" w:sz="8" w:color="CCEEFF"/>
            </w:tcBorders>
            <w:shd w:val="clear" w:color="auto" w:fill="CCEEFF"/>
          </w:tcPr>
          <w:p>
            <w:pPr>
              <w:spacing w:after="0"/>
              <w:rPr>
                <w:sz w:val="19"/>
                <w:szCs w:val="19"/>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jc w:val="both"/>
        <w:ind w:left="180" w:hanging="172"/>
        <w:spacing w:after="0" w:line="277" w:lineRule="auto"/>
        <w:tabs>
          <w:tab w:leader="none" w:pos="150" w:val="left"/>
        </w:tabs>
        <w:numPr>
          <w:ilvl w:val="0"/>
          <w:numId w:val="22"/>
        </w:numPr>
        <w:rPr>
          <w:rFonts w:ascii="Arial" w:cs="Arial" w:eastAsia="Arial" w:hAnsi="Arial"/>
          <w:sz w:val="9"/>
          <w:szCs w:val="9"/>
          <w:color w:val="auto"/>
        </w:rPr>
      </w:pPr>
      <w:r>
        <w:rPr>
          <w:rFonts w:ascii="Arial" w:cs="Arial" w:eastAsia="Arial" w:hAnsi="Arial"/>
          <w:sz w:val="14"/>
          <w:szCs w:val="14"/>
          <w:color w:val="auto"/>
        </w:rPr>
        <w:t>For the three months ended September 30, 2022, Common OP units were excluded from the computation of diluted earnings per share because the inclusion of those securities would have been anti-dilutive for the period. For the nine months ended September 30, 2022, Common OP units were included in the computation of diluted earnings per share because they were dilutive for the period.</w:t>
      </w:r>
    </w:p>
    <w:p>
      <w:pPr>
        <w:spacing w:after="0" w:line="23" w:lineRule="exact"/>
        <w:rPr>
          <w:rFonts w:ascii="Arial" w:cs="Arial" w:eastAsia="Arial" w:hAnsi="Arial"/>
          <w:sz w:val="9"/>
          <w:szCs w:val="9"/>
          <w:color w:val="auto"/>
        </w:rPr>
      </w:pPr>
    </w:p>
    <w:p>
      <w:pPr>
        <w:jc w:val="both"/>
        <w:ind w:left="180" w:hanging="172"/>
        <w:spacing w:after="0" w:line="230" w:lineRule="auto"/>
        <w:tabs>
          <w:tab w:leader="none" w:pos="165"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September 30, 2022, Aspen preferred OP units were included in the computation of diluted earnings per share because the inclusion of those securities was dilutive for the period. For the nine months ended September 30, 2022, Aspen preferred OP units were excluded from the computation of diluted earnings per share because the inclusion of those securities would have been anti-dilutive for the period.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 Financial Instruments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objective and strategy in using interest rate derivatives is to manage exposure to interest rate movements, thereby minimizing the effect of interest rate changes and the effect they could have on future cash outflows (forecasted interest payments), on a forecasted issuance of long-term debt, or on outstanding floating rate debt. We typically enter into treasury locks and interest rate swaps to accomplish this objective. We do not enter into derivative instruments for speculative purposes. We recognize derivative instruments at fair value on a recurring basis on the Consolidated Balance Sheets and classify the derivatives within Level 2 of the fair value hierarchy. We adjust our Consolidated Balance Sheets on a quarterly basis to reflect the current fair market value of the derivative instruments.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2023, we held six interest rate swap contracts, which have each been designated as cash flow hedges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risks being hedged are the interest rate risk related to outstanding floating rate debt and forecasted debt issuance transactions, and the benchmark interest rates used are the SOFR and the SONIA Rate The unrealized gains or losses on the derivative instruments are recorded in AOCI and are reclassified to Interest expense on the Consolidated Statements of Operations during the same period in which the hedged transaction affects earnings. We estimate that $19.0 million will be reclassified as a reduction to Interest expense over the next 12 months for all of our outstanding cash flow hedges. Cash flow from these derivative instruments is classified in the same category as the cash flow items being hedged on the Consolidated Statements of Cash Flows.</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2023, we entered into two interest rate swap contracts to hedge variable rate borrowings of $125.0 million in aggregate. The interest rate swaps lock in a weighted average SOFR rate of 4.771%, for an all-in rate of 5.6814% through the maturity date of April 7, 2026. Refer to Note 19, "Subsequent Events," for activity subsequent to September 30, 2023.</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2023, we entered into one interest rate swap contract to hedge variable rate borrowings of £100.0 million (equivalent to $122.0 million as of September 30, 2023). The interest rate swap locked in a SONIA rate of 3.865% for an all-in rate of 4.808% through the maturity date of April 7, 2025. We also entered into one forward starting interest rate swap contract with an aggregate notional value of $50.0 million to hedge interest rate risk associated with a potential future debt offering.</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March 31, 2023, in connection with the 2033 Notes issuance, we terminated two $100.0 million 10-year treasury rate lock contracts and one $50.0 million forward swap totaling $250.0 million and received a net settlement payment of $7.4 million. This lowered the effective interest rate on the 2033 Notes from 5.7% to 5.5%. As of the settlement date, the net accumulated gain included in AOCI is being reclassified into earnings as a reduction to Interest expense on a straight-line basis over the 10-year term of the hedged transaction.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gross fair value amounts of our derivative financial instruments and the associated notional amounts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1"/>
              </w:rPr>
              <w:t>September 30, 2023</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1"/>
              </w:rPr>
              <w:t>December 31, 2022</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55"/>
        </w:trPr>
        <w:tc>
          <w:tcPr>
            <w:tcW w:w="3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40"/>
              <w:spacing w:after="0" w:line="156" w:lineRule="exact"/>
              <w:rPr>
                <w:sz w:val="20"/>
                <w:szCs w:val="20"/>
                <w:color w:val="auto"/>
              </w:rPr>
            </w:pPr>
            <w:r>
              <w:rPr>
                <w:rFonts w:ascii="Arial" w:cs="Arial" w:eastAsia="Arial" w:hAnsi="Arial"/>
                <w:sz w:val="15"/>
                <w:szCs w:val="15"/>
                <w:b w:val="1"/>
                <w:bCs w:val="1"/>
                <w:color w:val="auto"/>
                <w:w w:val="97"/>
              </w:rPr>
              <w:t>Fair Value</w:t>
            </w:r>
          </w:p>
        </w:tc>
        <w:tc>
          <w:tcPr>
            <w:tcW w:w="120" w:type="dxa"/>
            <w:vAlign w:val="bottom"/>
          </w:tcPr>
          <w:p>
            <w:pPr>
              <w:spacing w:after="0"/>
              <w:rPr>
                <w:sz w:val="13"/>
                <w:szCs w:val="13"/>
                <w:color w:val="auto"/>
              </w:rPr>
            </w:pPr>
          </w:p>
        </w:tc>
        <w:tc>
          <w:tcPr>
            <w:tcW w:w="1080" w:type="dxa"/>
            <w:vAlign w:val="bottom"/>
          </w:tcPr>
          <w:p>
            <w:pPr>
              <w:jc w:val="center"/>
              <w:ind w:right="44"/>
              <w:spacing w:after="0" w:line="156" w:lineRule="exact"/>
              <w:rPr>
                <w:sz w:val="20"/>
                <w:szCs w:val="20"/>
                <w:color w:val="auto"/>
              </w:rPr>
            </w:pPr>
            <w:r>
              <w:rPr>
                <w:rFonts w:ascii="Arial" w:cs="Arial" w:eastAsia="Arial" w:hAnsi="Arial"/>
                <w:sz w:val="15"/>
                <w:szCs w:val="15"/>
                <w:b w:val="1"/>
                <w:bCs w:val="1"/>
                <w:color w:val="auto"/>
                <w:w w:val="94"/>
              </w:rPr>
              <w:t>Fair Value</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60"/>
              <w:spacing w:after="0" w:line="156" w:lineRule="exact"/>
              <w:rPr>
                <w:sz w:val="20"/>
                <w:szCs w:val="20"/>
                <w:color w:val="auto"/>
              </w:rPr>
            </w:pPr>
            <w:r>
              <w:rPr>
                <w:rFonts w:ascii="Arial" w:cs="Arial" w:eastAsia="Arial" w:hAnsi="Arial"/>
                <w:sz w:val="15"/>
                <w:szCs w:val="15"/>
                <w:b w:val="1"/>
                <w:bCs w:val="1"/>
                <w:color w:val="auto"/>
                <w:w w:val="94"/>
              </w:rPr>
              <w:t>Fair Value</w:t>
            </w:r>
          </w:p>
        </w:tc>
        <w:tc>
          <w:tcPr>
            <w:tcW w:w="140" w:type="dxa"/>
            <w:vAlign w:val="bottom"/>
          </w:tcPr>
          <w:p>
            <w:pPr>
              <w:spacing w:after="0"/>
              <w:rPr>
                <w:sz w:val="13"/>
                <w:szCs w:val="13"/>
                <w:color w:val="auto"/>
              </w:rPr>
            </w:pPr>
          </w:p>
        </w:tc>
        <w:tc>
          <w:tcPr>
            <w:tcW w:w="1060" w:type="dxa"/>
            <w:vAlign w:val="bottom"/>
          </w:tcPr>
          <w:p>
            <w:pPr>
              <w:jc w:val="center"/>
              <w:ind w:right="64"/>
              <w:spacing w:after="0" w:line="156" w:lineRule="exact"/>
              <w:rPr>
                <w:sz w:val="20"/>
                <w:szCs w:val="20"/>
                <w:color w:val="auto"/>
              </w:rPr>
            </w:pPr>
            <w:r>
              <w:rPr>
                <w:rFonts w:ascii="Arial" w:cs="Arial" w:eastAsia="Arial" w:hAnsi="Arial"/>
                <w:sz w:val="15"/>
                <w:szCs w:val="15"/>
                <w:b w:val="1"/>
                <w:bCs w:val="1"/>
                <w:color w:val="auto"/>
                <w:w w:val="94"/>
              </w:rPr>
              <w:t>Fair Value</w:t>
            </w:r>
          </w:p>
        </w:tc>
      </w:tr>
      <w:tr>
        <w:trPr>
          <w:trHeight w:val="207"/>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Derivatives designated as cash flow hedges</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Notional</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4"/>
              <w:spacing w:after="0" w:line="206" w:lineRule="exact"/>
              <w:rPr>
                <w:sz w:val="20"/>
                <w:szCs w:val="20"/>
                <w:color w:val="auto"/>
              </w:rPr>
            </w:pPr>
            <w:r>
              <w:rPr>
                <w:rFonts w:ascii="Arial" w:cs="Arial" w:eastAsia="Arial" w:hAnsi="Arial"/>
                <w:sz w:val="15"/>
                <w:szCs w:val="15"/>
                <w:b w:val="1"/>
                <w:bCs w:val="1"/>
                <w:color w:val="auto"/>
                <w:w w:val="84"/>
              </w:rPr>
              <w:t>of Assets</w:t>
            </w:r>
            <w:r>
              <w:rPr>
                <w:rFonts w:ascii="Arial" w:cs="Arial" w:eastAsia="Arial" w:hAnsi="Arial"/>
                <w:sz w:val="19"/>
                <w:szCs w:val="19"/>
                <w:b w:val="1"/>
                <w:bCs w:val="1"/>
                <w:color w:val="auto"/>
                <w:w w:val="84"/>
                <w:vertAlign w:val="superscript"/>
              </w:rPr>
              <w:t>(1)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4"/>
              <w:spacing w:after="0" w:line="206" w:lineRule="exact"/>
              <w:rPr>
                <w:sz w:val="20"/>
                <w:szCs w:val="20"/>
                <w:color w:val="auto"/>
              </w:rPr>
            </w:pPr>
            <w:r>
              <w:rPr>
                <w:rFonts w:ascii="Arial" w:cs="Arial" w:eastAsia="Arial" w:hAnsi="Arial"/>
                <w:sz w:val="15"/>
                <w:szCs w:val="15"/>
                <w:b w:val="1"/>
                <w:bCs w:val="1"/>
                <w:color w:val="auto"/>
                <w:w w:val="91"/>
              </w:rPr>
              <w:t>of Liabilities</w:t>
            </w:r>
            <w:r>
              <w:rPr>
                <w:rFonts w:ascii="Arial" w:cs="Arial" w:eastAsia="Arial" w:hAnsi="Arial"/>
                <w:sz w:val="19"/>
                <w:szCs w:val="19"/>
                <w:b w:val="1"/>
                <w:bCs w:val="1"/>
                <w:color w:val="auto"/>
                <w:w w:val="91"/>
                <w:vertAlign w:val="superscript"/>
              </w:rPr>
              <w:t>(2)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Notional</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04"/>
              <w:spacing w:after="0" w:line="206" w:lineRule="exact"/>
              <w:rPr>
                <w:sz w:val="20"/>
                <w:szCs w:val="20"/>
                <w:color w:val="auto"/>
              </w:rPr>
            </w:pPr>
            <w:r>
              <w:rPr>
                <w:rFonts w:ascii="Arial" w:cs="Arial" w:eastAsia="Arial" w:hAnsi="Arial"/>
                <w:sz w:val="15"/>
                <w:szCs w:val="15"/>
                <w:b w:val="1"/>
                <w:bCs w:val="1"/>
                <w:color w:val="auto"/>
                <w:w w:val="81"/>
              </w:rPr>
              <w:t>of Assets</w:t>
            </w:r>
            <w:r>
              <w:rPr>
                <w:rFonts w:ascii="Arial" w:cs="Arial" w:eastAsia="Arial" w:hAnsi="Arial"/>
                <w:sz w:val="19"/>
                <w:szCs w:val="19"/>
                <w:b w:val="1"/>
                <w:bCs w:val="1"/>
                <w:color w:val="auto"/>
                <w:w w:val="81"/>
                <w:vertAlign w:val="superscript"/>
              </w:rPr>
              <w:t>(1)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93"/>
              </w:rPr>
              <w:t>of Liabilities</w:t>
            </w:r>
          </w:p>
        </w:tc>
      </w:tr>
      <w:tr>
        <w:trPr>
          <w:trHeight w:val="196"/>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rate derivatives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785.1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ind w:left="840"/>
              <w:spacing w:after="0"/>
              <w:rPr>
                <w:sz w:val="20"/>
                <w:szCs w:val="20"/>
                <w:color w:val="auto"/>
              </w:rPr>
            </w:pPr>
            <w:r>
              <w:rPr>
                <w:rFonts w:ascii="Arial" w:cs="Arial" w:eastAsia="Arial" w:hAnsi="Arial"/>
                <w:sz w:val="15"/>
                <w:szCs w:val="15"/>
                <w:color w:val="auto"/>
              </w:rPr>
              <w:t>—</w:t>
            </w:r>
          </w:p>
        </w:tc>
      </w:tr>
    </w:tbl>
    <w:p>
      <w:pPr>
        <w:spacing w:after="0" w:line="65"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Included within Other Assets, net on the Consolidated Balance Sheets.</w:t>
      </w:r>
    </w:p>
    <w:p>
      <w:pPr>
        <w:spacing w:after="0" w:line="57"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Included within Other Liabilities on the Consolidated Balance Sheets.</w:t>
      </w: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 to Note 15, "Fair Value of Financial Instruments," for additional information related to the fair value methodology used for derivative financial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gains / (losses) on derivatives in cash flow hedging relationships recognized in Other comprehensive income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gridSpan w:val="5"/>
          </w:tcPr>
          <w:p>
            <w:pPr>
              <w:ind w:left="74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7"/>
                <w:szCs w:val="17"/>
                <w:color w:val="auto"/>
              </w:rPr>
            </w:pPr>
          </w:p>
        </w:tc>
        <w:tc>
          <w:tcPr>
            <w:tcW w:w="2980" w:type="dxa"/>
            <w:vAlign w:val="bottom"/>
            <w:gridSpan w:val="4"/>
          </w:tcPr>
          <w:p>
            <w:pPr>
              <w:jc w:val="right"/>
              <w:ind w:right="804"/>
              <w:spacing w:after="0"/>
              <w:rPr>
                <w:sz w:val="20"/>
                <w:szCs w:val="20"/>
                <w:color w:val="auto"/>
              </w:rPr>
            </w:pPr>
            <w:r>
              <w:rPr>
                <w:rFonts w:ascii="Arial" w:cs="Arial" w:eastAsia="Arial" w:hAnsi="Arial"/>
                <w:sz w:val="15"/>
                <w:szCs w:val="15"/>
                <w:b w:val="1"/>
                <w:bCs w:val="1"/>
                <w:color w:val="auto"/>
              </w:rPr>
              <w:t>Nine Months Ended</w:t>
            </w:r>
          </w:p>
        </w:tc>
      </w:tr>
      <w:tr>
        <w:trPr>
          <w:trHeight w:val="20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Derivatives designated as cash flow hedges</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89"/>
              </w:rPr>
              <w:t>September 30, 2023</w:t>
            </w:r>
          </w:p>
        </w:tc>
        <w:tc>
          <w:tcPr>
            <w:tcW w:w="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89"/>
              </w:rPr>
              <w:t>September 30, 2022</w:t>
            </w: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91"/>
              </w:rPr>
              <w:t>September 30, 2023</w:t>
            </w:r>
          </w:p>
        </w:tc>
        <w:tc>
          <w:tcPr>
            <w:tcW w:w="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91"/>
              </w:rPr>
              <w:t>September 30, 2022</w:t>
            </w:r>
          </w:p>
        </w:tc>
      </w:tr>
      <w:tr>
        <w:trPr>
          <w:trHeight w:val="198"/>
        </w:trPr>
        <w:tc>
          <w:tcPr>
            <w:tcW w:w="49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rate derivatives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gains / (losses) on derivative instruments reclassified from AOCI into earnings (in millions):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5"/>
                <w:szCs w:val="15"/>
                <w:b w:val="1"/>
                <w:bCs w:val="1"/>
                <w:color w:val="auto"/>
              </w:rPr>
              <w:t>Three Months Ended</w:t>
            </w:r>
          </w:p>
        </w:tc>
        <w:tc>
          <w:tcPr>
            <w:tcW w:w="5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5"/>
                <w:szCs w:val="15"/>
                <w:b w:val="1"/>
                <w:bCs w:val="1"/>
                <w:color w:val="auto"/>
              </w:rPr>
              <w:t>Nine Months Ended</w:t>
            </w:r>
          </w:p>
        </w:tc>
        <w:tc>
          <w:tcPr>
            <w:tcW w:w="560" w:type="dxa"/>
            <w:vAlign w:val="bottom"/>
            <w:tcBorders>
              <w:bottom w:val="single" w:sz="8" w:color="auto"/>
            </w:tcBorders>
          </w:tcPr>
          <w:p>
            <w:pPr>
              <w:spacing w:after="0"/>
              <w:rPr>
                <w:sz w:val="17"/>
                <w:szCs w:val="17"/>
                <w:color w:val="auto"/>
              </w:rPr>
            </w:pPr>
          </w:p>
        </w:tc>
      </w:tr>
      <w:tr>
        <w:trPr>
          <w:trHeight w:val="145"/>
        </w:trPr>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ind w:left="20"/>
              <w:spacing w:after="0" w:line="145" w:lineRule="exact"/>
              <w:rPr>
                <w:sz w:val="20"/>
                <w:szCs w:val="20"/>
                <w:color w:val="auto"/>
              </w:rPr>
            </w:pPr>
            <w:r>
              <w:rPr>
                <w:rFonts w:ascii="Arial" w:cs="Arial" w:eastAsia="Arial" w:hAnsi="Arial"/>
                <w:sz w:val="15"/>
                <w:szCs w:val="15"/>
                <w:b w:val="1"/>
                <w:bCs w:val="1"/>
                <w:color w:val="auto"/>
              </w:rPr>
              <w:t>Financial Statement</w:t>
            </w: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2"/>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Derivatives designated as cash flow hedges</w:t>
            </w:r>
          </w:p>
        </w:tc>
        <w:tc>
          <w:tcPr>
            <w:tcW w:w="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Classification</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95"/>
              </w:rPr>
              <w:t>September 30, 2023</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95"/>
              </w:rPr>
              <w:t>September 30, 2022</w:t>
            </w:r>
          </w:p>
        </w:tc>
        <w:tc>
          <w:tcPr>
            <w:tcW w:w="2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97"/>
              </w:rPr>
              <w:t>September 30, 2023</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97"/>
              </w:rPr>
              <w:t>September 30, 2022</w:t>
            </w:r>
          </w:p>
        </w:tc>
      </w:tr>
      <w:tr>
        <w:trPr>
          <w:trHeight w:val="200"/>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rate derivatives</w:t>
            </w:r>
          </w:p>
        </w:tc>
        <w:tc>
          <w:tcPr>
            <w:tcW w:w="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of Financial Instruments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financial instruments consist primarily of cash, cash equivalents and restricted cash, marketable securities, notes and other receivables, derivative assets, debt, warrants and other liabilities. We utilize fair value measurements to record fair value adjustments to certain assets and liabilities and to determine fair value disclosures, pursuant to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The following methods and assumptions were used in order to estimate the fair value of each class of financial instruments for which it is practicable to estimate that value:</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assumptions. This hierarchy requires the use of observable market data when available. These two types of inputs have created the following fair value hierarchy: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unadjusted prices for identical instruments in active markets that we have the ability to access;</w:t>
      </w:r>
    </w:p>
    <w:p>
      <w:pPr>
        <w:spacing w:after="0" w:line="25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in which all significant inputs and significant value drivers are observable (e.g., interest rates, yield curves, prepayment speeds, default rates, loss severity, etc.) in active markets or can be corroborated by observable market data; and</w:t>
      </w:r>
    </w:p>
    <w:p>
      <w:pPr>
        <w:spacing w:after="0" w:line="19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3 - Valuations derived from valuation techniques in which one or more significant inputs or significant value drivers are unobservable. The unobservable inputs reflect our assumptions about the assumptions that market participants would use.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by Hierarchy Level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table below sets forth our financial assets and liabilities (in millions) that required disclosure of fair value on a recurring basis as of September 30, 2023. The table presents the carrying values and fair values of our financial instruments as of September 30, 2023 and December 31, 2022, that were measured using the valuation techniques described above. The table excludes other financial instruments such as other receivables and accounts payable as the carrying values associated with these instruments approximate their fair value since their maturities are less than one year. These financial instruments are classified as Level 1 in the hierarchy.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5"/>
                <w:szCs w:val="15"/>
                <w:b w:val="1"/>
                <w:bCs w:val="1"/>
                <w:color w:val="auto"/>
                <w:w w:val="91"/>
              </w:rPr>
              <w:t>September 30, 2023</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0"/>
              </w:rPr>
              <w:t>Quoted Prices in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line="152" w:lineRule="exact"/>
              <w:rPr>
                <w:sz w:val="20"/>
                <w:szCs w:val="20"/>
                <w:color w:val="auto"/>
              </w:rPr>
            </w:pPr>
            <w:r>
              <w:rPr>
                <w:rFonts w:ascii="Arial" w:cs="Arial" w:eastAsia="Arial" w:hAnsi="Arial"/>
                <w:sz w:val="15"/>
                <w:szCs w:val="15"/>
                <w:b w:val="1"/>
                <w:bCs w:val="1"/>
                <w:color w:val="auto"/>
                <w:w w:val="95"/>
              </w:rPr>
              <w:t>Active Markets for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20"/>
              <w:spacing w:after="0" w:line="152" w:lineRule="exact"/>
              <w:rPr>
                <w:sz w:val="20"/>
                <w:szCs w:val="20"/>
                <w:color w:val="auto"/>
              </w:rPr>
            </w:pPr>
            <w:r>
              <w:rPr>
                <w:rFonts w:ascii="Arial" w:cs="Arial" w:eastAsia="Arial" w:hAnsi="Arial"/>
                <w:sz w:val="15"/>
                <w:szCs w:val="15"/>
                <w:b w:val="1"/>
                <w:bCs w:val="1"/>
                <w:color w:val="auto"/>
                <w:w w:val="91"/>
              </w:rPr>
              <w:t>Significant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Identical Assets and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center"/>
              <w:ind w:right="120"/>
              <w:spacing w:after="0" w:line="162" w:lineRule="exact"/>
              <w:rPr>
                <w:sz w:val="20"/>
                <w:szCs w:val="20"/>
                <w:color w:val="auto"/>
              </w:rPr>
            </w:pPr>
            <w:r>
              <w:rPr>
                <w:rFonts w:ascii="Arial" w:cs="Arial" w:eastAsia="Arial" w:hAnsi="Arial"/>
                <w:sz w:val="15"/>
                <w:szCs w:val="15"/>
                <w:b w:val="1"/>
                <w:bCs w:val="1"/>
                <w:color w:val="auto"/>
                <w:w w:val="94"/>
              </w:rPr>
              <w:t>Significant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220"/>
              <w:spacing w:after="0" w:line="162" w:lineRule="exact"/>
              <w:rPr>
                <w:sz w:val="20"/>
                <w:szCs w:val="20"/>
                <w:color w:val="auto"/>
              </w:rPr>
            </w:pPr>
            <w:r>
              <w:rPr>
                <w:rFonts w:ascii="Arial" w:cs="Arial" w:eastAsia="Arial" w:hAnsi="Arial"/>
                <w:sz w:val="15"/>
                <w:szCs w:val="15"/>
                <w:b w:val="1"/>
                <w:bCs w:val="1"/>
                <w:color w:val="auto"/>
                <w:w w:val="90"/>
              </w:rPr>
              <w:t>Unobservable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Carrying Value</w:t>
            </w:r>
          </w:p>
        </w:tc>
        <w:tc>
          <w:tcPr>
            <w:tcW w:w="100" w:type="dxa"/>
            <w:vAlign w:val="bottom"/>
          </w:tcPr>
          <w:p>
            <w:pPr>
              <w:spacing w:after="0"/>
              <w:rPr>
                <w:sz w:val="12"/>
                <w:szCs w:val="12"/>
                <w:color w:val="auto"/>
              </w:rPr>
            </w:pPr>
          </w:p>
        </w:tc>
        <w:tc>
          <w:tcPr>
            <w:tcW w:w="1380" w:type="dxa"/>
            <w:vAlign w:val="bottom"/>
          </w:tcPr>
          <w:p>
            <w:pPr>
              <w:jc w:val="center"/>
              <w:ind w:right="24"/>
              <w:spacing w:after="0" w:line="149" w:lineRule="exact"/>
              <w:rPr>
                <w:sz w:val="20"/>
                <w:szCs w:val="20"/>
                <w:color w:val="auto"/>
              </w:rPr>
            </w:pPr>
            <w:r>
              <w:rPr>
                <w:rFonts w:ascii="Arial" w:cs="Arial" w:eastAsia="Arial" w:hAnsi="Arial"/>
                <w:sz w:val="15"/>
                <w:szCs w:val="15"/>
                <w:b w:val="1"/>
                <w:bCs w:val="1"/>
                <w:color w:val="auto"/>
                <w:w w:val="92"/>
              </w:rPr>
              <w:t>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tcPr>
          <w:p>
            <w:pPr>
              <w:spacing w:after="0" w:line="149" w:lineRule="exact"/>
              <w:rPr>
                <w:sz w:val="20"/>
                <w:szCs w:val="20"/>
                <w:color w:val="auto"/>
              </w:rPr>
            </w:pPr>
            <w:r>
              <w:rPr>
                <w:rFonts w:ascii="Arial" w:cs="Arial" w:eastAsia="Arial" w:hAnsi="Arial"/>
                <w:sz w:val="15"/>
                <w:szCs w:val="15"/>
                <w:b w:val="1"/>
                <w:bCs w:val="1"/>
                <w:color w:val="auto"/>
              </w:rPr>
              <w:t>Observable 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60"/>
              <w:spacing w:after="0" w:line="149" w:lineRule="exact"/>
              <w:rPr>
                <w:sz w:val="20"/>
                <w:szCs w:val="20"/>
                <w:color w:val="auto"/>
              </w:rPr>
            </w:pPr>
            <w:r>
              <w:rPr>
                <w:rFonts w:ascii="Arial" w:cs="Arial" w:eastAsia="Arial" w:hAnsi="Arial"/>
                <w:sz w:val="15"/>
                <w:szCs w:val="15"/>
                <w:b w:val="1"/>
                <w:bCs w:val="1"/>
                <w:color w:val="auto"/>
                <w:w w:val="93"/>
              </w:rPr>
              <w:t>Inputs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0"/>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1"/>
              </w:rPr>
              <w:t>(Level 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5"/>
              </w:rPr>
              <w:t>(Level 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95"/>
              </w:rPr>
              <w:t>(Level 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Financial Assets</w:t>
            </w:r>
          </w:p>
        </w:tc>
        <w:tc>
          <w:tcPr>
            <w:tcW w:w="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20" w:type="dxa"/>
            <w:vAlign w:val="bottom"/>
          </w:tcPr>
          <w:p>
            <w:pPr>
              <w:ind w:left="140"/>
              <w:spacing w:after="0"/>
              <w:rPr>
                <w:sz w:val="20"/>
                <w:szCs w:val="20"/>
                <w:color w:val="auto"/>
              </w:rPr>
            </w:pPr>
            <w:r>
              <w:rPr>
                <w:rFonts w:ascii="Arial" w:cs="Arial" w:eastAsia="Arial" w:hAnsi="Arial"/>
                <w:sz w:val="15"/>
                <w:szCs w:val="15"/>
                <w:color w:val="auto"/>
              </w:rPr>
              <w:t>Cash, cash equivalents and restricted cash</w:t>
            </w:r>
          </w:p>
        </w:tc>
        <w:tc>
          <w:tcPr>
            <w:tcW w:w="360" w:type="dxa"/>
            <w:vAlign w:val="bottom"/>
            <w:gridSpan w:val="2"/>
          </w:tcPr>
          <w:p>
            <w:pPr>
              <w:jc w:val="right"/>
              <w:ind w:right="18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62.0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62.0</w:t>
            </w:r>
          </w:p>
        </w:tc>
        <w:tc>
          <w:tcPr>
            <w:tcW w:w="240" w:type="dxa"/>
            <w:vAlign w:val="bottom"/>
            <w:gridSpan w:val="4"/>
          </w:tcPr>
          <w:p>
            <w:pPr>
              <w:ind w:left="160"/>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5"/>
                <w:szCs w:val="15"/>
                <w:color w:val="auto"/>
                <w:w w:val="95"/>
              </w:rPr>
              <w:t>$</w:t>
            </w:r>
          </w:p>
        </w:tc>
        <w:tc>
          <w:tcPr>
            <w:tcW w:w="12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62.0</w:t>
            </w: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Marketable securities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112.8</w:t>
            </w:r>
          </w:p>
        </w:tc>
        <w:tc>
          <w:tcPr>
            <w:tcW w:w="0" w:type="dxa"/>
            <w:vAlign w:val="bottom"/>
          </w:tcPr>
          <w:p>
            <w:pPr>
              <w:spacing w:after="0"/>
              <w:rPr>
                <w:sz w:val="1"/>
                <w:szCs w:val="1"/>
                <w:color w:val="auto"/>
              </w:rPr>
            </w:pPr>
          </w:p>
        </w:tc>
      </w:tr>
      <w:tr>
        <w:trPr>
          <w:trHeight w:val="198"/>
        </w:trPr>
        <w:tc>
          <w:tcPr>
            <w:tcW w:w="4520" w:type="dxa"/>
            <w:vAlign w:val="bottom"/>
          </w:tcPr>
          <w:p>
            <w:pPr>
              <w:ind w:left="140"/>
              <w:spacing w:after="0"/>
              <w:rPr>
                <w:sz w:val="20"/>
                <w:szCs w:val="20"/>
                <w:color w:val="auto"/>
              </w:rPr>
            </w:pPr>
            <w:r>
              <w:rPr>
                <w:rFonts w:ascii="Arial" w:cs="Arial" w:eastAsia="Arial" w:hAnsi="Arial"/>
                <w:sz w:val="15"/>
                <w:szCs w:val="15"/>
                <w:color w:val="auto"/>
              </w:rPr>
              <w:t>Installment notes receivable on manufactured homes, net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56.0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56.0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56.0</w:t>
            </w: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Notes receivable from real estate developers and operators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477.5</w:t>
            </w:r>
          </w:p>
        </w:tc>
        <w:tc>
          <w:tcPr>
            <w:tcW w:w="0" w:type="dxa"/>
            <w:vAlign w:val="bottom"/>
          </w:tcPr>
          <w:p>
            <w:pPr>
              <w:spacing w:after="0"/>
              <w:rPr>
                <w:sz w:val="1"/>
                <w:szCs w:val="1"/>
                <w:color w:val="auto"/>
              </w:rPr>
            </w:pPr>
          </w:p>
        </w:tc>
      </w:tr>
      <w:tr>
        <w:trPr>
          <w:trHeight w:val="198"/>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Derivative assets</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24.8</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assets measured at fair value</w:t>
            </w:r>
          </w:p>
        </w:tc>
        <w:tc>
          <w:tcPr>
            <w:tcW w:w="360" w:type="dxa"/>
            <w:vAlign w:val="bottom"/>
            <w:gridSpan w:val="2"/>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174.8</w:t>
            </w:r>
          </w:p>
        </w:tc>
        <w:tc>
          <w:tcPr>
            <w:tcW w:w="24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Financial Liabilities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20" w:type="dxa"/>
            <w:vAlign w:val="bottom"/>
          </w:tcPr>
          <w:p>
            <w:pPr>
              <w:ind w:left="140"/>
              <w:spacing w:after="0"/>
              <w:rPr>
                <w:sz w:val="20"/>
                <w:szCs w:val="20"/>
                <w:color w:val="auto"/>
              </w:rPr>
            </w:pPr>
            <w:r>
              <w:rPr>
                <w:rFonts w:ascii="Arial" w:cs="Arial" w:eastAsia="Arial" w:hAnsi="Arial"/>
                <w:sz w:val="15"/>
                <w:szCs w:val="15"/>
                <w:color w:val="auto"/>
              </w:rPr>
              <w:t>Secured debt</w:t>
            </w:r>
          </w:p>
        </w:tc>
        <w:tc>
          <w:tcPr>
            <w:tcW w:w="360" w:type="dxa"/>
            <w:vAlign w:val="bottom"/>
            <w:gridSpan w:val="2"/>
          </w:tcPr>
          <w:p>
            <w:pPr>
              <w:jc w:val="right"/>
              <w:ind w:right="18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3,359.5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4"/>
          </w:tcPr>
          <w:p>
            <w:pPr>
              <w:ind w:left="16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3,359.5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5"/>
                <w:szCs w:val="15"/>
                <w:color w:val="auto"/>
                <w:w w:val="95"/>
              </w:rPr>
              <w:t>$</w:t>
            </w:r>
          </w:p>
        </w:tc>
        <w:tc>
          <w:tcPr>
            <w:tcW w:w="12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2,857.9</w:t>
            </w: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Unsecured debt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20" w:type="dxa"/>
            <w:vAlign w:val="bottom"/>
          </w:tcPr>
          <w:p>
            <w:pPr>
              <w:ind w:left="260"/>
              <w:spacing w:after="0"/>
              <w:rPr>
                <w:sz w:val="20"/>
                <w:szCs w:val="20"/>
                <w:color w:val="auto"/>
              </w:rPr>
            </w:pPr>
            <w:r>
              <w:rPr>
                <w:rFonts w:ascii="Arial" w:cs="Arial" w:eastAsia="Arial" w:hAnsi="Arial"/>
                <w:sz w:val="15"/>
                <w:szCs w:val="15"/>
                <w:color w:val="auto"/>
              </w:rPr>
              <w:t>Senior unsecured notes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2,176.9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2,176.9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1,836.0</w:t>
            </w: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Line of credit and other unsecured debt</w:t>
            </w: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2,128.6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2,128.6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2,128.6</w:t>
            </w:r>
          </w:p>
        </w:tc>
        <w:tc>
          <w:tcPr>
            <w:tcW w:w="0" w:type="dxa"/>
            <w:vAlign w:val="bottom"/>
          </w:tcPr>
          <w:p>
            <w:pPr>
              <w:spacing w:after="0"/>
              <w:rPr>
                <w:sz w:val="1"/>
                <w:szCs w:val="1"/>
                <w:color w:val="auto"/>
              </w:rPr>
            </w:pPr>
          </w:p>
        </w:tc>
      </w:tr>
      <w:tr>
        <w:trPr>
          <w:trHeight w:val="192"/>
        </w:trPr>
        <w:tc>
          <w:tcPr>
            <w:tcW w:w="4520" w:type="dxa"/>
            <w:vAlign w:val="bottom"/>
          </w:tcPr>
          <w:p>
            <w:pPr>
              <w:ind w:left="360"/>
              <w:spacing w:after="0"/>
              <w:rPr>
                <w:sz w:val="20"/>
                <w:szCs w:val="20"/>
                <w:color w:val="auto"/>
              </w:rPr>
            </w:pPr>
            <w:r>
              <w:rPr>
                <w:rFonts w:ascii="Arial" w:cs="Arial" w:eastAsia="Arial" w:hAnsi="Arial"/>
                <w:sz w:val="15"/>
                <w:szCs w:val="15"/>
                <w:color w:val="auto"/>
              </w:rPr>
              <w:t>Total unsecured debt</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4,305.5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4,305.5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3,964.6</w:t>
            </w: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Derivative liabilities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98"/>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financial liabilities (contingent consideration)</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liabilities measured at fair value</w:t>
            </w:r>
          </w:p>
        </w:tc>
        <w:tc>
          <w:tcPr>
            <w:tcW w:w="360" w:type="dxa"/>
            <w:vAlign w:val="bottom"/>
            <w:gridSpan w:val="2"/>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7,685.5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7,665.3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6,843.0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5"/>
                <w:szCs w:val="15"/>
                <w:b w:val="1"/>
                <w:bCs w:val="1"/>
                <w:color w:val="auto"/>
                <w:w w:val="91"/>
              </w:rPr>
              <w:t>December 31, 2022</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0"/>
              </w:rPr>
              <w:t>Quoted Prices in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Active Markets for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vMerge w:val="restart"/>
          </w:tcPr>
          <w:p>
            <w:pPr>
              <w:jc w:val="center"/>
              <w:ind w:right="160"/>
              <w:spacing w:after="0"/>
              <w:rPr>
                <w:sz w:val="20"/>
                <w:szCs w:val="20"/>
                <w:color w:val="auto"/>
              </w:rPr>
            </w:pPr>
            <w:r>
              <w:rPr>
                <w:rFonts w:ascii="Arial" w:cs="Arial" w:eastAsia="Arial" w:hAnsi="Arial"/>
                <w:sz w:val="15"/>
                <w:szCs w:val="15"/>
                <w:b w:val="1"/>
                <w:bCs w:val="1"/>
                <w:color w:val="auto"/>
                <w:w w:val="94"/>
              </w:rPr>
              <w:t>Significant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93"/>
              </w:rPr>
              <w:t>Significant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Identical Assets and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5"/>
                <w:szCs w:val="15"/>
                <w:b w:val="1"/>
                <w:bCs w:val="1"/>
                <w:color w:val="auto"/>
                <w:w w:val="90"/>
              </w:rPr>
              <w:t>Unobservable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4"/>
              <w:spacing w:after="0" w:line="149" w:lineRule="exact"/>
              <w:rPr>
                <w:sz w:val="20"/>
                <w:szCs w:val="20"/>
                <w:color w:val="auto"/>
              </w:rPr>
            </w:pPr>
            <w:r>
              <w:rPr>
                <w:rFonts w:ascii="Arial" w:cs="Arial" w:eastAsia="Arial" w:hAnsi="Arial"/>
                <w:sz w:val="15"/>
                <w:szCs w:val="15"/>
                <w:b w:val="1"/>
                <w:bCs w:val="1"/>
                <w:color w:val="auto"/>
                <w:w w:val="95"/>
              </w:rPr>
              <w:t>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tcPr>
          <w:p>
            <w:pPr>
              <w:jc w:val="center"/>
              <w:ind w:right="120"/>
              <w:spacing w:after="0" w:line="149" w:lineRule="exact"/>
              <w:rPr>
                <w:sz w:val="20"/>
                <w:szCs w:val="20"/>
                <w:color w:val="auto"/>
              </w:rPr>
            </w:pPr>
            <w:r>
              <w:rPr>
                <w:rFonts w:ascii="Arial" w:cs="Arial" w:eastAsia="Arial" w:hAnsi="Arial"/>
                <w:sz w:val="15"/>
                <w:szCs w:val="15"/>
                <w:b w:val="1"/>
                <w:bCs w:val="1"/>
                <w:color w:val="auto"/>
                <w:w w:val="93"/>
              </w:rPr>
              <w:t>Observable 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00"/>
              <w:spacing w:after="0" w:line="149" w:lineRule="exact"/>
              <w:rPr>
                <w:sz w:val="20"/>
                <w:szCs w:val="20"/>
                <w:color w:val="auto"/>
              </w:rPr>
            </w:pPr>
            <w:r>
              <w:rPr>
                <w:rFonts w:ascii="Arial" w:cs="Arial" w:eastAsia="Arial" w:hAnsi="Arial"/>
                <w:sz w:val="15"/>
                <w:szCs w:val="15"/>
                <w:b w:val="1"/>
                <w:bCs w:val="1"/>
                <w:color w:val="auto"/>
                <w:w w:val="97"/>
              </w:rPr>
              <w:t>Inputs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Arial" w:cs="Arial" w:eastAsia="Arial" w:hAnsi="Arial"/>
                <w:sz w:val="15"/>
                <w:szCs w:val="15"/>
                <w:b w:val="1"/>
                <w:bCs w:val="1"/>
                <w:color w:val="auto"/>
              </w:rPr>
              <w:t>Carrying Value</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5"/>
              </w:rPr>
              <w:t>(Level 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5"/>
              </w:rPr>
              <w:t>(Level 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1"/>
              </w:rPr>
              <w:t>(Level 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44"/>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187"/>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Financial Assets</w:t>
            </w:r>
          </w:p>
        </w:tc>
        <w:tc>
          <w:tcPr>
            <w:tcW w:w="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20" w:type="dxa"/>
            <w:vAlign w:val="bottom"/>
          </w:tcPr>
          <w:p>
            <w:pPr>
              <w:ind w:left="140"/>
              <w:spacing w:after="0"/>
              <w:rPr>
                <w:sz w:val="20"/>
                <w:szCs w:val="20"/>
                <w:color w:val="auto"/>
              </w:rPr>
            </w:pPr>
            <w:r>
              <w:rPr>
                <w:rFonts w:ascii="Arial" w:cs="Arial" w:eastAsia="Arial" w:hAnsi="Arial"/>
                <w:sz w:val="15"/>
                <w:szCs w:val="15"/>
                <w:color w:val="auto"/>
              </w:rPr>
              <w:t>Cash, cash equivalents and restricted cash</w:t>
            </w:r>
          </w:p>
        </w:tc>
        <w:tc>
          <w:tcPr>
            <w:tcW w:w="360" w:type="dxa"/>
            <w:vAlign w:val="bottom"/>
            <w:gridSpan w:val="2"/>
          </w:tcPr>
          <w:p>
            <w:pPr>
              <w:jc w:val="right"/>
              <w:ind w:right="18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90.4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90.4</w:t>
            </w:r>
          </w:p>
        </w:tc>
        <w:tc>
          <w:tcPr>
            <w:tcW w:w="240" w:type="dxa"/>
            <w:vAlign w:val="bottom"/>
            <w:gridSpan w:val="4"/>
          </w:tcPr>
          <w:p>
            <w:pPr>
              <w:ind w:left="160"/>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90.4</w:t>
            </w: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Marketable securities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127.3</w:t>
            </w:r>
          </w:p>
        </w:tc>
        <w:tc>
          <w:tcPr>
            <w:tcW w:w="0" w:type="dxa"/>
            <w:vAlign w:val="bottom"/>
          </w:tcPr>
          <w:p>
            <w:pPr>
              <w:spacing w:after="0"/>
              <w:rPr>
                <w:sz w:val="1"/>
                <w:szCs w:val="1"/>
                <w:color w:val="auto"/>
              </w:rPr>
            </w:pPr>
          </w:p>
        </w:tc>
      </w:tr>
      <w:tr>
        <w:trPr>
          <w:trHeight w:val="198"/>
        </w:trPr>
        <w:tc>
          <w:tcPr>
            <w:tcW w:w="4520" w:type="dxa"/>
            <w:vAlign w:val="bottom"/>
          </w:tcPr>
          <w:p>
            <w:pPr>
              <w:ind w:left="140"/>
              <w:spacing w:after="0"/>
              <w:rPr>
                <w:sz w:val="20"/>
                <w:szCs w:val="20"/>
                <w:color w:val="auto"/>
              </w:rPr>
            </w:pPr>
            <w:r>
              <w:rPr>
                <w:rFonts w:ascii="Arial" w:cs="Arial" w:eastAsia="Arial" w:hAnsi="Arial"/>
                <w:sz w:val="15"/>
                <w:szCs w:val="15"/>
                <w:color w:val="auto"/>
              </w:rPr>
              <w:t>Installment notes receivable on manufactured homes, net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65.9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65.9</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Notes receivable from real estate developers and operators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305.2</w:t>
            </w:r>
          </w:p>
        </w:tc>
        <w:tc>
          <w:tcPr>
            <w:tcW w:w="0" w:type="dxa"/>
            <w:vAlign w:val="bottom"/>
          </w:tcPr>
          <w:p>
            <w:pPr>
              <w:spacing w:after="0"/>
              <w:rPr>
                <w:sz w:val="1"/>
                <w:szCs w:val="1"/>
                <w:color w:val="auto"/>
              </w:rPr>
            </w:pPr>
          </w:p>
        </w:tc>
      </w:tr>
      <w:tr>
        <w:trPr>
          <w:trHeight w:val="199"/>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Derivative assets</w:t>
            </w: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assets measured at fair value</w:t>
            </w:r>
          </w:p>
        </w:tc>
        <w:tc>
          <w:tcPr>
            <w:tcW w:w="360" w:type="dxa"/>
            <w:vAlign w:val="bottom"/>
            <w:gridSpan w:val="2"/>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217.7</w:t>
            </w:r>
          </w:p>
        </w:tc>
        <w:tc>
          <w:tcPr>
            <w:tcW w:w="24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Financial Liabilities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20" w:type="dxa"/>
            <w:vAlign w:val="bottom"/>
          </w:tcPr>
          <w:p>
            <w:pPr>
              <w:ind w:left="140"/>
              <w:spacing w:after="0"/>
              <w:rPr>
                <w:sz w:val="20"/>
                <w:szCs w:val="20"/>
                <w:color w:val="auto"/>
              </w:rPr>
            </w:pPr>
            <w:r>
              <w:rPr>
                <w:rFonts w:ascii="Arial" w:cs="Arial" w:eastAsia="Arial" w:hAnsi="Arial"/>
                <w:sz w:val="15"/>
                <w:szCs w:val="15"/>
                <w:color w:val="auto"/>
              </w:rPr>
              <w:t>Secured debt</w:t>
            </w:r>
          </w:p>
        </w:tc>
        <w:tc>
          <w:tcPr>
            <w:tcW w:w="360" w:type="dxa"/>
            <w:vAlign w:val="bottom"/>
            <w:gridSpan w:val="2"/>
          </w:tcPr>
          <w:p>
            <w:pPr>
              <w:jc w:val="right"/>
              <w:ind w:right="18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3,217.8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4"/>
          </w:tcPr>
          <w:p>
            <w:pPr>
              <w:ind w:left="16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3,217.8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2,814.1</w:t>
            </w: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Unsecured debt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20" w:type="dxa"/>
            <w:vAlign w:val="bottom"/>
          </w:tcPr>
          <w:p>
            <w:pPr>
              <w:ind w:left="260"/>
              <w:spacing w:after="0"/>
              <w:rPr>
                <w:sz w:val="20"/>
                <w:szCs w:val="20"/>
                <w:color w:val="auto"/>
              </w:rPr>
            </w:pPr>
            <w:r>
              <w:rPr>
                <w:rFonts w:ascii="Arial" w:cs="Arial" w:eastAsia="Arial" w:hAnsi="Arial"/>
                <w:sz w:val="15"/>
                <w:szCs w:val="15"/>
                <w:color w:val="auto"/>
              </w:rPr>
              <w:t>Senior unsecured notes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1,779.6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1,779.6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1,432.7</w:t>
            </w: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Line of credit and other unsecured debt</w:t>
            </w: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2,199.8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2,199.8</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2,199.8</w:t>
            </w:r>
          </w:p>
        </w:tc>
        <w:tc>
          <w:tcPr>
            <w:tcW w:w="0" w:type="dxa"/>
            <w:vAlign w:val="bottom"/>
          </w:tcPr>
          <w:p>
            <w:pPr>
              <w:spacing w:after="0"/>
              <w:rPr>
                <w:sz w:val="1"/>
                <w:szCs w:val="1"/>
                <w:color w:val="auto"/>
              </w:rPr>
            </w:pPr>
          </w:p>
        </w:tc>
      </w:tr>
      <w:tr>
        <w:trPr>
          <w:trHeight w:val="192"/>
        </w:trPr>
        <w:tc>
          <w:tcPr>
            <w:tcW w:w="4520" w:type="dxa"/>
            <w:vAlign w:val="bottom"/>
          </w:tcPr>
          <w:p>
            <w:pPr>
              <w:ind w:left="360"/>
              <w:spacing w:after="0"/>
              <w:rPr>
                <w:sz w:val="20"/>
                <w:szCs w:val="20"/>
                <w:color w:val="auto"/>
              </w:rPr>
            </w:pPr>
            <w:r>
              <w:rPr>
                <w:rFonts w:ascii="Arial" w:cs="Arial" w:eastAsia="Arial" w:hAnsi="Arial"/>
                <w:sz w:val="15"/>
                <w:szCs w:val="15"/>
                <w:color w:val="auto"/>
              </w:rPr>
              <w:t>Total unsecured debt</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3,979.4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3,979.4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3,632.5</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financial liabilities (contingent consideration)</w:t>
            </w: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Arial" w:cs="Arial" w:eastAsia="Arial" w:hAnsi="Arial"/>
                <w:sz w:val="15"/>
                <w:szCs w:val="15"/>
                <w:b w:val="1"/>
                <w:bCs w:val="1"/>
                <w:color w:val="auto"/>
              </w:rPr>
              <w:t>Total liabilities measured at fair value</w:t>
            </w:r>
          </w:p>
        </w:tc>
        <w:tc>
          <w:tcPr>
            <w:tcW w:w="360" w:type="dxa"/>
            <w:vAlign w:val="bottom"/>
            <w:gridSpan w:val="2"/>
          </w:tcPr>
          <w:p>
            <w:pPr>
              <w:jc w:val="right"/>
              <w:ind w:right="18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7,217.4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4"/>
          </w:tcPr>
          <w:p>
            <w:pPr>
              <w:ind w:left="16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7,197.2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20.2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6,466.8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cash equivalents and restricted cash approximate their fair market values due to the short-term nature of the instruments. These are classified as Level 1 in the hierarchy.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marketable securities is measured by the quoted unadjusted share price which is readily available in active markets (Level 1). The change in the marketable securities balance was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ind w:left="100"/>
              <w:spacing w:after="0"/>
              <w:rPr>
                <w:sz w:val="20"/>
                <w:szCs w:val="20"/>
                <w:color w:val="auto"/>
              </w:rPr>
            </w:pPr>
            <w:r>
              <w:rPr>
                <w:rFonts w:ascii="Arial" w:cs="Arial" w:eastAsia="Arial" w:hAnsi="Arial"/>
                <w:sz w:val="15"/>
                <w:szCs w:val="15"/>
                <w:b w:val="1"/>
                <w:bCs w:val="1"/>
                <w:color w:val="auto"/>
              </w:rPr>
              <w:t>Nine Months Ended</w:t>
            </w:r>
          </w:p>
        </w:tc>
        <w:tc>
          <w:tcPr>
            <w:tcW w:w="200" w:type="dxa"/>
            <w:vAlign w:val="bottom"/>
          </w:tcPr>
          <w:p>
            <w:pPr>
              <w:spacing w:after="0"/>
              <w:rPr>
                <w:sz w:val="17"/>
                <w:szCs w:val="17"/>
                <w:color w:val="auto"/>
              </w:rPr>
            </w:pPr>
          </w:p>
        </w:tc>
        <w:tc>
          <w:tcPr>
            <w:tcW w:w="1660" w:type="dxa"/>
            <w:vAlign w:val="bottom"/>
          </w:tcPr>
          <w:p>
            <w:pPr>
              <w:jc w:val="right"/>
              <w:ind w:right="464"/>
              <w:spacing w:after="0"/>
              <w:rPr>
                <w:sz w:val="20"/>
                <w:szCs w:val="20"/>
                <w:color w:val="auto"/>
              </w:rPr>
            </w:pPr>
            <w:r>
              <w:rPr>
                <w:rFonts w:ascii="Arial" w:cs="Arial" w:eastAsia="Arial" w:hAnsi="Arial"/>
                <w:sz w:val="15"/>
                <w:szCs w:val="15"/>
                <w:b w:val="1"/>
                <w:bCs w:val="1"/>
                <w:color w:val="auto"/>
              </w:rPr>
              <w:t>Year Ended</w:t>
            </w:r>
          </w:p>
        </w:tc>
      </w:tr>
      <w:tr>
        <w:trPr>
          <w:trHeight w:val="206"/>
        </w:trPr>
        <w:tc>
          <w:tcPr>
            <w:tcW w:w="7440" w:type="dxa"/>
            <w:vAlign w:val="bottom"/>
            <w:gridSpan w:val="2"/>
          </w:tcPr>
          <w:p>
            <w:pPr>
              <w:ind w:left="20"/>
              <w:spacing w:after="0"/>
              <w:rPr>
                <w:sz w:val="20"/>
                <w:szCs w:val="20"/>
                <w:color w:val="auto"/>
              </w:rPr>
            </w:pPr>
            <w:r>
              <w:rPr>
                <w:rFonts w:ascii="Arial" w:cs="Arial" w:eastAsia="Arial" w:hAnsi="Arial"/>
                <w:sz w:val="15"/>
                <w:szCs w:val="15"/>
                <w:b w:val="1"/>
                <w:bCs w:val="1"/>
                <w:color w:val="auto"/>
              </w:rPr>
              <w:t>Marketable Securities</w:t>
            </w:r>
          </w:p>
        </w:tc>
        <w:tc>
          <w:tcPr>
            <w:tcW w:w="180" w:type="dxa"/>
            <w:vAlign w:val="bottom"/>
          </w:tcPr>
          <w:p>
            <w:pPr>
              <w:spacing w:after="0"/>
              <w:rPr>
                <w:sz w:val="17"/>
                <w:szCs w:val="17"/>
                <w:color w:val="auto"/>
              </w:rPr>
            </w:pPr>
          </w:p>
        </w:tc>
        <w:tc>
          <w:tcPr>
            <w:tcW w:w="17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2023</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2022</w:t>
            </w:r>
          </w:p>
        </w:tc>
      </w:tr>
      <w:tr>
        <w:trPr>
          <w:trHeight w:val="200"/>
        </w:trPr>
        <w:tc>
          <w:tcPr>
            <w:tcW w:w="7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186.9</w:t>
            </w:r>
          </w:p>
        </w:tc>
      </w:tr>
      <w:tr>
        <w:trPr>
          <w:trHeight w:val="198"/>
        </w:trPr>
        <w:tc>
          <w:tcPr>
            <w:tcW w:w="7440" w:type="dxa"/>
            <w:vAlign w:val="bottom"/>
            <w:gridSpan w:val="2"/>
          </w:tcPr>
          <w:p>
            <w:pPr>
              <w:ind w:left="220"/>
              <w:spacing w:after="0"/>
              <w:rPr>
                <w:sz w:val="20"/>
                <w:szCs w:val="20"/>
                <w:color w:val="auto"/>
              </w:rPr>
            </w:pPr>
            <w:r>
              <w:rPr>
                <w:rFonts w:ascii="Arial" w:cs="Arial" w:eastAsia="Arial" w:hAnsi="Arial"/>
                <w:sz w:val="15"/>
                <w:szCs w:val="15"/>
                <w:color w:val="auto"/>
              </w:rPr>
              <w:t>Change in fair value measurement</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(53.4)</w:t>
            </w:r>
          </w:p>
        </w:tc>
      </w:tr>
      <w:tr>
        <w:trPr>
          <w:trHeight w:val="207"/>
        </w:trPr>
        <w:tc>
          <w:tcPr>
            <w:tcW w:w="74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Foreign currency exchange losses</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r>
      <w:tr>
        <w:trPr>
          <w:trHeight w:val="198"/>
        </w:trPr>
        <w:tc>
          <w:tcPr>
            <w:tcW w:w="7440" w:type="dxa"/>
            <w:vAlign w:val="bottom"/>
            <w:gridSpan w:val="2"/>
          </w:tcPr>
          <w:p>
            <w:pPr>
              <w:ind w:left="220"/>
              <w:spacing w:after="0"/>
              <w:rPr>
                <w:sz w:val="20"/>
                <w:szCs w:val="20"/>
                <w:color w:val="auto"/>
              </w:rPr>
            </w:pPr>
            <w:r>
              <w:rPr>
                <w:rFonts w:ascii="Arial" w:cs="Arial" w:eastAsia="Arial" w:hAnsi="Arial"/>
                <w:sz w:val="15"/>
                <w:szCs w:val="15"/>
                <w:color w:val="auto"/>
              </w:rPr>
              <w:t>Dividend reinvestment, net of tax</w:t>
            </w:r>
          </w:p>
        </w:tc>
        <w:tc>
          <w:tcPr>
            <w:tcW w:w="180" w:type="dxa"/>
            <w:vAlign w:val="bottom"/>
          </w:tcPr>
          <w:p>
            <w:pPr>
              <w:spacing w:after="0"/>
              <w:rPr>
                <w:sz w:val="17"/>
                <w:szCs w:val="17"/>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25"/>
        </w:trPr>
        <w:tc>
          <w:tcPr>
            <w:tcW w:w="7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Ending Balance</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19, "Subsequent Events," for activity related to this investment subsequent to September 30,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Installment notes receivable on manufactured homes are recorded at fair value and are measured using model-derived indicative pricing using primarily unobservable inputs, inclusive of default rates, interest rates and recovery rates (Level 3). Refer to Note 4, "Notes and Other Receivables,"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 and Operators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receivable from real estate developers and operators are recorded at fair value and are measured using model-derived indicative pricing using primarily unobservable inputs including interest rates and counterparty performance (Level 3). The carrying values of the notes generally approximate their fair market values either due to the nature of the note and / or the note being secured primarily by underlying real estate and other collateral and / or personal guarantees. Refer to Note 4, "Notes and Other Receivables," for additional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Assets and Liabilities - Interest Rate Derivatives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rate derivatives are recorded at fair value and consist of treasury rate lock contracts, interest rate swaps and forward swaps. The fair value of these financial instruments are measured using observable inputs based on the 10-year Treasury note rate, the SOFR and SONIA Rates, respectively (Level 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Debt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Secured debt consists primarily of our mortgage term loans. The fair value of mortgage term loans is based on the estimates of management and on rates currently quoted, rates currently prevailing for comparable loans and instruments of comparable maturities (Level 2). Refer to Note 8, "Debt and Line of Credit,"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Debt</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Senior unsecured notes - the fair value of senior unsecured notes is based on the estimates of management and on rates currently quoted, rates currently prevailing for comparable loans and instruments of comparable maturities (Level 2). Refer to Note 8, "Debt and Line of Credit," for additional information.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Line of credit and other unsecured debt - consists primarily of our Senior Credit Facility. We have variable rates on our Senior Credit Facility. The fair value of the debt with variable rates approximates carrying value as the interest rates of these amounts approximate market rates (Level 2). The estimated fair value of our debt as of September 30, 2023 approximated its gross carrying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Liabilities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estimate the fair value of contingent consideration liabilities based on valuation models using significant unobservable inputs that generally consider discounting of future cash flows using market interest rates and adjusting for non-performance risk over the remaining term of the liability (Level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Reconciliation, Measurements and Transfers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Availability of secondary market activity and consistency of pricing from third-party sources impacts our ability to classify securities as Level 2 or Level 3. There were no transfers into or out of Level 3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changes to our financial instruments carried at fair value and classified within Level 3 of the fair value hierarchy for the three and nine months ended September 30, 2023 and 2022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ind w:left="200"/>
              <w:spacing w:after="0"/>
              <w:rPr>
                <w:sz w:val="20"/>
                <w:szCs w:val="20"/>
                <w:color w:val="auto"/>
              </w:rPr>
            </w:pPr>
            <w:r>
              <w:rPr>
                <w:rFonts w:ascii="Arial" w:cs="Arial" w:eastAsia="Arial" w:hAnsi="Arial"/>
                <w:sz w:val="15"/>
                <w:szCs w:val="15"/>
                <w:b w:val="1"/>
                <w:bCs w:val="1"/>
                <w:color w:val="auto"/>
              </w:rPr>
              <w:t>Three Months Ended</w:t>
            </w:r>
          </w:p>
        </w:tc>
        <w:tc>
          <w:tcPr>
            <w:tcW w:w="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rPr>
              <w:t>September 30, 2023</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5"/>
                <w:szCs w:val="15"/>
                <w:b w:val="1"/>
                <w:bCs w:val="1"/>
                <w:color w:val="auto"/>
              </w:rPr>
              <w:t>September 30, 2022</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2"/>
              </w:rPr>
              <w:t>Installment Notes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00"/>
              <w:spacing w:after="0" w:line="154" w:lineRule="exact"/>
              <w:rPr>
                <w:sz w:val="20"/>
                <w:szCs w:val="20"/>
                <w:color w:val="auto"/>
              </w:rPr>
            </w:pPr>
            <w:r>
              <w:rPr>
                <w:rFonts w:ascii="Arial" w:cs="Arial" w:eastAsia="Arial" w:hAnsi="Arial"/>
                <w:sz w:val="15"/>
                <w:szCs w:val="15"/>
                <w:b w:val="1"/>
                <w:bCs w:val="1"/>
                <w:color w:val="auto"/>
                <w:w w:val="90"/>
              </w:rPr>
              <w:t>Notes Receivable</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2"/>
              </w:rPr>
              <w:t>Installment Notes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200"/>
              <w:spacing w:after="0" w:line="154" w:lineRule="exact"/>
              <w:rPr>
                <w:sz w:val="20"/>
                <w:szCs w:val="20"/>
                <w:color w:val="auto"/>
              </w:rPr>
            </w:pPr>
            <w:r>
              <w:rPr>
                <w:rFonts w:ascii="Arial" w:cs="Arial" w:eastAsia="Arial" w:hAnsi="Arial"/>
                <w:sz w:val="15"/>
                <w:szCs w:val="15"/>
                <w:b w:val="1"/>
                <w:bCs w:val="1"/>
                <w:color w:val="auto"/>
                <w:w w:val="88"/>
              </w:rPr>
              <w:t>Notes Receivable</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180"/>
              <w:spacing w:after="0" w:line="152" w:lineRule="exact"/>
              <w:rPr>
                <w:sz w:val="20"/>
                <w:szCs w:val="20"/>
                <w:color w:val="auto"/>
              </w:rPr>
            </w:pPr>
            <w:r>
              <w:rPr>
                <w:rFonts w:ascii="Arial" w:cs="Arial" w:eastAsia="Arial" w:hAnsi="Arial"/>
                <w:sz w:val="15"/>
                <w:szCs w:val="15"/>
                <w:b w:val="1"/>
                <w:bCs w:val="1"/>
                <w:color w:val="auto"/>
                <w:w w:val="92"/>
              </w:rPr>
              <w:t>From Real Estate</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200"/>
              <w:spacing w:after="0" w:line="152" w:lineRule="exact"/>
              <w:rPr>
                <w:sz w:val="20"/>
                <w:szCs w:val="20"/>
                <w:color w:val="auto"/>
              </w:rPr>
            </w:pPr>
            <w:r>
              <w:rPr>
                <w:rFonts w:ascii="Arial" w:cs="Arial" w:eastAsia="Arial" w:hAnsi="Arial"/>
                <w:sz w:val="15"/>
                <w:szCs w:val="15"/>
                <w:b w:val="1"/>
                <w:bCs w:val="1"/>
                <w:color w:val="auto"/>
                <w:w w:val="92"/>
              </w:rPr>
              <w:t>From Real Estate</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Assets</w:t>
            </w:r>
          </w:p>
        </w:tc>
        <w:tc>
          <w:tcPr>
            <w:tcW w:w="80" w:type="dxa"/>
            <w:vAlign w:val="bottom"/>
            <w:vMerge w:val="restart"/>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3"/>
              </w:rPr>
              <w:t>Receivable on MH,</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89"/>
              </w:rPr>
              <w:t>Developers and</w:t>
            </w:r>
          </w:p>
        </w:tc>
        <w:tc>
          <w:tcPr>
            <w:tcW w:w="120" w:type="dxa"/>
            <w:vAlign w:val="bottom"/>
          </w:tcPr>
          <w:p>
            <w:pPr>
              <w:spacing w:after="0"/>
              <w:rPr>
                <w:sz w:val="12"/>
                <w:szCs w:val="12"/>
                <w:color w:val="auto"/>
              </w:rPr>
            </w:pPr>
          </w:p>
        </w:tc>
        <w:tc>
          <w:tcPr>
            <w:tcW w:w="8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Warrants</w:t>
            </w:r>
          </w:p>
        </w:tc>
        <w:tc>
          <w:tcPr>
            <w:tcW w:w="140" w:type="dxa"/>
            <w:vAlign w:val="bottom"/>
            <w:vMerge w:val="restart"/>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3"/>
              </w:rPr>
              <w:t>Receivable on MH,</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5"/>
                <w:szCs w:val="15"/>
                <w:b w:val="1"/>
                <w:bCs w:val="1"/>
                <w:color w:val="auto"/>
                <w:w w:val="89"/>
              </w:rPr>
              <w:t>Developers and</w:t>
            </w:r>
          </w:p>
        </w:tc>
        <w:tc>
          <w:tcPr>
            <w:tcW w:w="120" w:type="dxa"/>
            <w:vAlign w:val="bottom"/>
          </w:tcPr>
          <w:p>
            <w:pPr>
              <w:spacing w:after="0"/>
              <w:rPr>
                <w:sz w:val="12"/>
                <w:szCs w:val="12"/>
                <w:color w:val="auto"/>
              </w:rPr>
            </w:pPr>
          </w:p>
        </w:tc>
        <w:tc>
          <w:tcPr>
            <w:tcW w:w="82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8"/>
              </w:rPr>
              <w:t>Warrants</w:t>
            </w:r>
          </w:p>
        </w:tc>
        <w:tc>
          <w:tcPr>
            <w:tcW w:w="3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7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44"/>
              <w:spacing w:after="0"/>
              <w:rPr>
                <w:sz w:val="20"/>
                <w:szCs w:val="20"/>
                <w:color w:val="auto"/>
              </w:rPr>
            </w:pPr>
            <w:r>
              <w:rPr>
                <w:rFonts w:ascii="Arial" w:cs="Arial" w:eastAsia="Arial" w:hAnsi="Arial"/>
                <w:sz w:val="15"/>
                <w:szCs w:val="15"/>
                <w:b w:val="1"/>
                <w:bCs w:val="1"/>
                <w:color w:val="auto"/>
                <w:w w:val="88"/>
              </w:rPr>
              <w:t>net</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4"/>
              </w:rPr>
              <w:t>Operators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tcBorders>
              <w:bottom w:val="single" w:sz="8" w:color="auto"/>
            </w:tcBorders>
          </w:tcPr>
          <w:p>
            <w:pPr>
              <w:jc w:val="center"/>
              <w:ind w:left="364"/>
              <w:spacing w:after="0"/>
              <w:rPr>
                <w:sz w:val="20"/>
                <w:szCs w:val="20"/>
                <w:color w:val="auto"/>
              </w:rPr>
            </w:pPr>
            <w:r>
              <w:rPr>
                <w:rFonts w:ascii="Arial" w:cs="Arial" w:eastAsia="Arial" w:hAnsi="Arial"/>
                <w:sz w:val="15"/>
                <w:szCs w:val="15"/>
                <w:b w:val="1"/>
                <w:bCs w:val="1"/>
                <w:color w:val="auto"/>
                <w:w w:val="88"/>
              </w:rPr>
              <w:t>net</w:t>
            </w:r>
          </w:p>
        </w:tc>
        <w:tc>
          <w:tcPr>
            <w:tcW w:w="4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4"/>
              </w:rPr>
              <w:t>Operators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780" w:type="dxa"/>
            <w:vAlign w:val="bottom"/>
            <w:gridSpan w:val="2"/>
          </w:tcPr>
          <w:p>
            <w:pPr>
              <w:ind w:left="20"/>
              <w:spacing w:after="0" w:line="158" w:lineRule="exact"/>
              <w:rPr>
                <w:sz w:val="20"/>
                <w:szCs w:val="20"/>
                <w:color w:val="auto"/>
              </w:rPr>
            </w:pPr>
            <w:r>
              <w:rPr>
                <w:rFonts w:ascii="Arial" w:cs="Arial" w:eastAsia="Arial" w:hAnsi="Arial"/>
                <w:sz w:val="15"/>
                <w:szCs w:val="15"/>
                <w:color w:val="auto"/>
              </w:rPr>
              <w:t>Level 3 beginning balance at June 30,</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78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2023 and 2022</w:t>
            </w:r>
          </w:p>
        </w:tc>
        <w:tc>
          <w:tcPr>
            <w:tcW w:w="320" w:type="dxa"/>
            <w:vAlign w:val="bottom"/>
          </w:tcPr>
          <w:p>
            <w:pPr>
              <w:jc w:val="right"/>
              <w:ind w:right="144"/>
              <w:spacing w:after="0" w:line="151" w:lineRule="exact"/>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line="151" w:lineRule="exact"/>
              <w:rPr>
                <w:sz w:val="20"/>
                <w:szCs w:val="20"/>
                <w:color w:val="auto"/>
              </w:rPr>
            </w:pPr>
            <w:r>
              <w:rPr>
                <w:rFonts w:ascii="Arial" w:cs="Arial" w:eastAsia="Arial" w:hAnsi="Arial"/>
                <w:sz w:val="15"/>
                <w:szCs w:val="15"/>
                <w:color w:val="auto"/>
              </w:rPr>
              <w:t>59.5</w:t>
            </w:r>
          </w:p>
        </w:tc>
        <w:tc>
          <w:tcPr>
            <w:tcW w:w="38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w:t>
            </w:r>
          </w:p>
        </w:tc>
        <w:tc>
          <w:tcPr>
            <w:tcW w:w="1280" w:type="dxa"/>
            <w:vAlign w:val="bottom"/>
          </w:tcPr>
          <w:p>
            <w:pPr>
              <w:jc w:val="right"/>
              <w:spacing w:after="0" w:line="151" w:lineRule="exact"/>
              <w:rPr>
                <w:sz w:val="20"/>
                <w:szCs w:val="20"/>
                <w:color w:val="auto"/>
              </w:rPr>
            </w:pPr>
            <w:r>
              <w:rPr>
                <w:rFonts w:ascii="Arial" w:cs="Arial" w:eastAsia="Arial" w:hAnsi="Arial"/>
                <w:sz w:val="15"/>
                <w:szCs w:val="15"/>
                <w:color w:val="auto"/>
              </w:rPr>
              <w:t>462.4</w:t>
            </w:r>
          </w:p>
        </w:tc>
        <w:tc>
          <w:tcPr>
            <w:tcW w:w="80" w:type="dxa"/>
            <w:vAlign w:val="bottom"/>
          </w:tcPr>
          <w:p>
            <w:pPr>
              <w:spacing w:after="0"/>
              <w:rPr>
                <w:sz w:val="13"/>
                <w:szCs w:val="13"/>
                <w:color w:val="auto"/>
              </w:rPr>
            </w:pPr>
          </w:p>
        </w:tc>
        <w:tc>
          <w:tcPr>
            <w:tcW w:w="120" w:type="dxa"/>
            <w:vAlign w:val="bottom"/>
          </w:tcPr>
          <w:p>
            <w:pPr>
              <w:jc w:val="right"/>
              <w:spacing w:after="0" w:line="151" w:lineRule="exact"/>
              <w:rPr>
                <w:sz w:val="20"/>
                <w:szCs w:val="20"/>
                <w:color w:val="auto"/>
              </w:rPr>
            </w:pPr>
            <w:r>
              <w:rPr>
                <w:rFonts w:ascii="Arial" w:cs="Arial" w:eastAsia="Arial" w:hAnsi="Arial"/>
                <w:sz w:val="15"/>
                <w:szCs w:val="15"/>
                <w:color w:val="auto"/>
                <w:w w:val="95"/>
              </w:rPr>
              <w:t>$</w:t>
            </w:r>
          </w:p>
        </w:tc>
        <w:tc>
          <w:tcPr>
            <w:tcW w:w="960" w:type="dxa"/>
            <w:vAlign w:val="bottom"/>
            <w:gridSpan w:val="2"/>
          </w:tcPr>
          <w:p>
            <w:pPr>
              <w:ind w:left="600"/>
              <w:spacing w:after="0" w:line="15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704"/>
              <w:spacing w:after="0" w:line="151" w:lineRule="exact"/>
              <w:rPr>
                <w:sz w:val="20"/>
                <w:szCs w:val="20"/>
                <w:color w:val="auto"/>
              </w:rPr>
            </w:pPr>
            <w:r>
              <w:rPr>
                <w:rFonts w:ascii="Arial" w:cs="Arial" w:eastAsia="Arial" w:hAnsi="Arial"/>
                <w:sz w:val="15"/>
                <w:szCs w:val="15"/>
                <w:color w:val="auto"/>
                <w:w w:val="95"/>
              </w:rPr>
              <w:t>$</w:t>
            </w:r>
          </w:p>
        </w:tc>
        <w:tc>
          <w:tcPr>
            <w:tcW w:w="440" w:type="dxa"/>
            <w:vAlign w:val="bottom"/>
          </w:tcPr>
          <w:p>
            <w:pPr>
              <w:jc w:val="right"/>
              <w:spacing w:after="0" w:line="151" w:lineRule="exact"/>
              <w:rPr>
                <w:sz w:val="20"/>
                <w:szCs w:val="20"/>
                <w:color w:val="auto"/>
              </w:rPr>
            </w:pPr>
            <w:r>
              <w:rPr>
                <w:rFonts w:ascii="Arial" w:cs="Arial" w:eastAsia="Arial" w:hAnsi="Arial"/>
                <w:sz w:val="15"/>
                <w:szCs w:val="15"/>
                <w:color w:val="auto"/>
              </w:rPr>
              <w:t>73.1</w:t>
            </w:r>
          </w:p>
        </w:tc>
        <w:tc>
          <w:tcPr>
            <w:tcW w:w="380" w:type="dxa"/>
            <w:vAlign w:val="bottom"/>
            <w:gridSpan w:val="2"/>
          </w:tcPr>
          <w:p>
            <w:pPr>
              <w:jc w:val="right"/>
              <w:ind w:right="20"/>
              <w:spacing w:after="0" w:line="151" w:lineRule="exact"/>
              <w:rPr>
                <w:sz w:val="20"/>
                <w:szCs w:val="20"/>
                <w:color w:val="auto"/>
              </w:rPr>
            </w:pPr>
            <w:r>
              <w:rPr>
                <w:rFonts w:ascii="Arial" w:cs="Arial" w:eastAsia="Arial" w:hAnsi="Arial"/>
                <w:sz w:val="15"/>
                <w:szCs w:val="15"/>
                <w:color w:val="auto"/>
              </w:rPr>
              <w:t>$</w:t>
            </w:r>
          </w:p>
        </w:tc>
        <w:tc>
          <w:tcPr>
            <w:tcW w:w="1300" w:type="dxa"/>
            <w:vAlign w:val="bottom"/>
          </w:tcPr>
          <w:p>
            <w:pPr>
              <w:jc w:val="right"/>
              <w:spacing w:after="0" w:line="151" w:lineRule="exact"/>
              <w:rPr>
                <w:sz w:val="20"/>
                <w:szCs w:val="20"/>
                <w:color w:val="auto"/>
              </w:rPr>
            </w:pPr>
            <w:r>
              <w:rPr>
                <w:rFonts w:ascii="Arial" w:cs="Arial" w:eastAsia="Arial" w:hAnsi="Arial"/>
                <w:sz w:val="15"/>
                <w:szCs w:val="15"/>
                <w:color w:val="auto"/>
              </w:rPr>
              <w:t>292.3</w:t>
            </w:r>
          </w:p>
        </w:tc>
        <w:tc>
          <w:tcPr>
            <w:tcW w:w="80" w:type="dxa"/>
            <w:vAlign w:val="bottom"/>
          </w:tcPr>
          <w:p>
            <w:pPr>
              <w:spacing w:after="0"/>
              <w:rPr>
                <w:sz w:val="13"/>
                <w:szCs w:val="13"/>
                <w:color w:val="auto"/>
              </w:rPr>
            </w:pPr>
          </w:p>
        </w:tc>
        <w:tc>
          <w:tcPr>
            <w:tcW w:w="120" w:type="dxa"/>
            <w:vAlign w:val="bottom"/>
          </w:tcPr>
          <w:p>
            <w:pPr>
              <w:jc w:val="right"/>
              <w:spacing w:after="0" w:line="151" w:lineRule="exact"/>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360"/>
              <w:spacing w:after="0" w:line="15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3"/>
        </w:trPr>
        <w:tc>
          <w:tcPr>
            <w:tcW w:w="2780" w:type="dxa"/>
            <w:vAlign w:val="bottom"/>
            <w:gridSpan w:val="2"/>
          </w:tcPr>
          <w:p>
            <w:pPr>
              <w:ind w:left="20"/>
              <w:spacing w:after="0"/>
              <w:rPr>
                <w:sz w:val="20"/>
                <w:szCs w:val="20"/>
                <w:color w:val="auto"/>
              </w:rPr>
            </w:pPr>
            <w:r>
              <w:rPr>
                <w:rFonts w:ascii="Arial" w:cs="Arial" w:eastAsia="Arial" w:hAnsi="Arial"/>
                <w:sz w:val="15"/>
                <w:szCs w:val="15"/>
                <w:color w:val="auto"/>
              </w:rPr>
              <w:t>Realized gains / (losses)</w:t>
            </w:r>
          </w:p>
        </w:tc>
        <w:tc>
          <w:tcPr>
            <w:tcW w:w="320" w:type="dxa"/>
            <w:vAlign w:val="bottom"/>
          </w:tcPr>
          <w:p>
            <w:pPr>
              <w:spacing w:after="0"/>
              <w:rPr>
                <w:sz w:val="22"/>
                <w:szCs w:val="22"/>
                <w:color w:val="auto"/>
              </w:rPr>
            </w:pPr>
          </w:p>
        </w:tc>
        <w:tc>
          <w:tcPr>
            <w:tcW w:w="1260" w:type="dxa"/>
            <w:vAlign w:val="bottom"/>
            <w:gridSpan w:val="2"/>
          </w:tcPr>
          <w:p>
            <w:pPr>
              <w:ind w:left="680"/>
              <w:spacing w:after="0"/>
              <w:rPr>
                <w:sz w:val="20"/>
                <w:szCs w:val="20"/>
                <w:color w:val="auto"/>
              </w:rPr>
            </w:pPr>
            <w:r>
              <w:rPr>
                <w:rFonts w:ascii="Arial" w:cs="Arial" w:eastAsia="Arial" w:hAnsi="Arial"/>
                <w:sz w:val="15"/>
                <w:szCs w:val="15"/>
                <w:color w:val="auto"/>
              </w:rPr>
              <w:t xml:space="preserve">(1.3) </w:t>
            </w:r>
            <w:r>
              <w:rPr>
                <w:rFonts w:ascii="Arial" w:cs="Arial" w:eastAsia="Arial" w:hAnsi="Arial"/>
                <w:sz w:val="19"/>
                <w:szCs w:val="19"/>
                <w:color w:val="auto"/>
                <w:vertAlign w:val="superscript"/>
              </w:rPr>
              <w:t>(1)</w:t>
            </w:r>
          </w:p>
        </w:tc>
        <w:tc>
          <w:tcPr>
            <w:tcW w:w="120" w:type="dxa"/>
            <w:vAlign w:val="bottom"/>
          </w:tcPr>
          <w:p>
            <w:pPr>
              <w:spacing w:after="0"/>
              <w:rPr>
                <w:sz w:val="22"/>
                <w:szCs w:val="22"/>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96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22"/>
                <w:szCs w:val="22"/>
                <w:color w:val="auto"/>
              </w:rPr>
            </w:pPr>
          </w:p>
        </w:tc>
        <w:tc>
          <w:tcPr>
            <w:tcW w:w="720" w:type="dxa"/>
            <w:vAlign w:val="bottom"/>
            <w:gridSpan w:val="2"/>
          </w:tcPr>
          <w:p>
            <w:pPr>
              <w:ind w:left="120"/>
              <w:spacing w:after="0"/>
              <w:rPr>
                <w:sz w:val="20"/>
                <w:szCs w:val="20"/>
                <w:color w:val="auto"/>
              </w:rPr>
            </w:pPr>
            <w:r>
              <w:rPr>
                <w:rFonts w:ascii="Arial" w:cs="Arial" w:eastAsia="Arial" w:hAnsi="Arial"/>
                <w:sz w:val="15"/>
                <w:szCs w:val="15"/>
                <w:color w:val="auto"/>
              </w:rPr>
              <w:t xml:space="preserve">(0.1) </w:t>
            </w:r>
            <w:r>
              <w:rPr>
                <w:rFonts w:ascii="Arial" w:cs="Arial" w:eastAsia="Arial" w:hAnsi="Arial"/>
                <w:sz w:val="19"/>
                <w:szCs w:val="19"/>
                <w:color w:val="auto"/>
                <w:vertAlign w:val="superscript"/>
              </w:rPr>
              <w:t>(1)</w:t>
            </w:r>
          </w:p>
        </w:tc>
        <w:tc>
          <w:tcPr>
            <w:tcW w:w="100" w:type="dxa"/>
            <w:vAlign w:val="bottom"/>
          </w:tcPr>
          <w:p>
            <w:pPr>
              <w:spacing w:after="0"/>
              <w:rPr>
                <w:sz w:val="22"/>
                <w:szCs w:val="2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 xml:space="preserve">(0.6) </w:t>
            </w:r>
            <w:r>
              <w:rPr>
                <w:rFonts w:ascii="Arial" w:cs="Arial" w:eastAsia="Arial" w:hAnsi="Arial"/>
                <w:sz w:val="18"/>
                <w:szCs w:val="18"/>
                <w:color w:val="auto"/>
                <w:vertAlign w:val="superscript"/>
              </w:rPr>
              <w:t>(2)</w:t>
            </w: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Purchases and issuances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80" w:type="dxa"/>
            <w:vAlign w:val="bottom"/>
            <w:gridSpan w:val="2"/>
          </w:tcPr>
          <w:p>
            <w:pPr>
              <w:ind w:left="20"/>
              <w:spacing w:after="0"/>
              <w:rPr>
                <w:sz w:val="20"/>
                <w:szCs w:val="20"/>
                <w:color w:val="auto"/>
              </w:rPr>
            </w:pPr>
            <w:r>
              <w:rPr>
                <w:rFonts w:ascii="Arial" w:cs="Arial" w:eastAsia="Arial" w:hAnsi="Arial"/>
                <w:sz w:val="15"/>
                <w:szCs w:val="15"/>
                <w:color w:val="auto"/>
              </w:rPr>
              <w:t>Sales and settlements</w:t>
            </w:r>
          </w:p>
        </w:tc>
        <w:tc>
          <w:tcPr>
            <w:tcW w:w="320" w:type="dxa"/>
            <w:vAlign w:val="bottom"/>
          </w:tcPr>
          <w:p>
            <w:pPr>
              <w:spacing w:after="0"/>
              <w:rPr>
                <w:sz w:val="17"/>
                <w:szCs w:val="17"/>
                <w:color w:val="auto"/>
              </w:rPr>
            </w:pPr>
          </w:p>
        </w:tc>
        <w:tc>
          <w:tcPr>
            <w:tcW w:w="1000" w:type="dxa"/>
            <w:vAlign w:val="bottom"/>
          </w:tcPr>
          <w:p>
            <w:pPr>
              <w:ind w:left="680"/>
              <w:spacing w:after="0"/>
              <w:rPr>
                <w:sz w:val="20"/>
                <w:szCs w:val="20"/>
                <w:color w:val="auto"/>
              </w:rPr>
            </w:pPr>
            <w:r>
              <w:rPr>
                <w:rFonts w:ascii="Arial" w:cs="Arial" w:eastAsia="Arial" w:hAnsi="Arial"/>
                <w:sz w:val="15"/>
                <w:szCs w:val="15"/>
                <w:color w:val="auto"/>
                <w:w w:val="97"/>
              </w:rPr>
              <w:t>(2.4)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7"/>
                <w:szCs w:val="17"/>
                <w:color w:val="auto"/>
              </w:rPr>
            </w:pPr>
          </w:p>
        </w:tc>
        <w:tc>
          <w:tcPr>
            <w:tcW w:w="440" w:type="dxa"/>
            <w:vAlign w:val="bottom"/>
          </w:tcPr>
          <w:p>
            <w:pPr>
              <w:ind w:left="120"/>
              <w:spacing w:after="0"/>
              <w:rPr>
                <w:sz w:val="20"/>
                <w:szCs w:val="20"/>
                <w:color w:val="auto"/>
              </w:rPr>
            </w:pPr>
            <w:r>
              <w:rPr>
                <w:rFonts w:ascii="Arial" w:cs="Arial" w:eastAsia="Arial" w:hAnsi="Arial"/>
                <w:sz w:val="15"/>
                <w:szCs w:val="15"/>
                <w:color w:val="auto"/>
                <w:w w:val="97"/>
              </w:rPr>
              <w:t>(3.6)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5"/>
              </w:rPr>
              <w:t>Foreign currency exchange gains / (losses)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 adjustments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78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5"/>
                <w:szCs w:val="15"/>
                <w:color w:val="auto"/>
              </w:rPr>
              <w:t>Level 3 ending balance at September 30,</w:t>
            </w:r>
          </w:p>
        </w:tc>
        <w:tc>
          <w:tcPr>
            <w:tcW w:w="32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56.0</w:t>
            </w:r>
          </w:p>
        </w:tc>
        <w:tc>
          <w:tcPr>
            <w:tcW w:w="3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477.5</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ind w:right="704"/>
              <w:spacing w:after="0"/>
              <w:rPr>
                <w:sz w:val="20"/>
                <w:szCs w:val="20"/>
                <w:color w:val="auto"/>
              </w:rPr>
            </w:pPr>
            <w:r>
              <w:rPr>
                <w:rFonts w:ascii="Arial" w:cs="Arial" w:eastAsia="Arial" w:hAnsi="Arial"/>
                <w:sz w:val="15"/>
                <w:szCs w:val="15"/>
                <w:color w:val="auto"/>
                <w:w w:val="95"/>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69.4</w:t>
            </w:r>
          </w:p>
        </w:tc>
        <w:tc>
          <w:tcPr>
            <w:tcW w:w="3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288.3</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2023 and 2022</w:t>
            </w:r>
          </w:p>
        </w:tc>
        <w:tc>
          <w:tcPr>
            <w:tcW w:w="32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68"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Realized losses recorded within Gain / (loss) on remeasurement of notes receivable on the Consolidated Statements of Operations.</w:t>
      </w:r>
    </w:p>
    <w:p>
      <w:pPr>
        <w:spacing w:after="0" w:line="57"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Realized losses recorded within Income from nonconsolidated affiliates within on the Consolidated Statements of Operations.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Nine Months Ended</w:t>
            </w: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rPr>
              <w:t>September 30, 2023</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5"/>
                <w:szCs w:val="15"/>
                <w:b w:val="1"/>
                <w:bCs w:val="1"/>
                <w:color w:val="auto"/>
              </w:rPr>
              <w:t>September 30, 2022</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1"/>
              </w:rPr>
              <w:t>Installment Notes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80"/>
              <w:spacing w:after="0" w:line="144" w:lineRule="exact"/>
              <w:rPr>
                <w:sz w:val="20"/>
                <w:szCs w:val="20"/>
                <w:color w:val="auto"/>
              </w:rPr>
            </w:pPr>
            <w:r>
              <w:rPr>
                <w:rFonts w:ascii="Arial" w:cs="Arial" w:eastAsia="Arial" w:hAnsi="Arial"/>
                <w:sz w:val="15"/>
                <w:szCs w:val="15"/>
                <w:b w:val="1"/>
                <w:bCs w:val="1"/>
                <w:color w:val="auto"/>
                <w:w w:val="90"/>
              </w:rPr>
              <w:t>Notes Receivable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1"/>
              </w:rPr>
              <w:t>Installment Notes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44" w:lineRule="exact"/>
              <w:rPr>
                <w:sz w:val="20"/>
                <w:szCs w:val="20"/>
                <w:color w:val="auto"/>
              </w:rPr>
            </w:pPr>
            <w:r>
              <w:rPr>
                <w:rFonts w:ascii="Arial" w:cs="Arial" w:eastAsia="Arial" w:hAnsi="Arial"/>
                <w:sz w:val="15"/>
                <w:szCs w:val="15"/>
                <w:b w:val="1"/>
                <w:bCs w:val="1"/>
                <w:color w:val="auto"/>
                <w:w w:val="90"/>
              </w:rPr>
              <w:t>Notes Receivable</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92"/>
              </w:rPr>
              <w:t>From Real Estate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5"/>
                <w:szCs w:val="15"/>
                <w:b w:val="1"/>
                <w:bCs w:val="1"/>
                <w:color w:val="auto"/>
                <w:w w:val="92"/>
              </w:rPr>
              <w:t>From Real Estate</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5"/>
              </w:rPr>
              <w:t>Receivable on MH,</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5"/>
                <w:szCs w:val="15"/>
                <w:b w:val="1"/>
                <w:bCs w:val="1"/>
                <w:color w:val="auto"/>
                <w:w w:val="89"/>
              </w:rPr>
              <w:t>Developers and</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5"/>
              </w:rPr>
              <w:t>Receivable on MH,</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89"/>
              </w:rPr>
              <w:t>Developers and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Assets</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64"/>
              <w:spacing w:after="0"/>
              <w:rPr>
                <w:sz w:val="20"/>
                <w:szCs w:val="20"/>
                <w:color w:val="auto"/>
              </w:rPr>
            </w:pPr>
            <w:r>
              <w:rPr>
                <w:rFonts w:ascii="Arial" w:cs="Arial" w:eastAsia="Arial" w:hAnsi="Arial"/>
                <w:sz w:val="15"/>
                <w:szCs w:val="15"/>
                <w:b w:val="1"/>
                <w:bCs w:val="1"/>
                <w:color w:val="auto"/>
                <w:w w:val="97"/>
              </w:rPr>
              <w:t>net</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4"/>
              </w:rPr>
              <w:t>Operators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8"/>
              </w:rPr>
              <w:t>Warrants</w:t>
            </w:r>
          </w:p>
        </w:tc>
        <w:tc>
          <w:tcPr>
            <w:tcW w:w="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444"/>
              <w:spacing w:after="0"/>
              <w:rPr>
                <w:sz w:val="20"/>
                <w:szCs w:val="20"/>
                <w:color w:val="auto"/>
              </w:rPr>
            </w:pPr>
            <w:r>
              <w:rPr>
                <w:rFonts w:ascii="Arial" w:cs="Arial" w:eastAsia="Arial" w:hAnsi="Arial"/>
                <w:sz w:val="15"/>
                <w:szCs w:val="15"/>
                <w:b w:val="1"/>
                <w:bCs w:val="1"/>
                <w:color w:val="auto"/>
                <w:w w:val="97"/>
              </w:rPr>
              <w:t>net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4"/>
              </w:rPr>
              <w:t>Operators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8"/>
              </w:rPr>
              <w:t>Warrants</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66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5"/>
                <w:szCs w:val="15"/>
                <w:color w:val="auto"/>
                <w:w w:val="99"/>
              </w:rPr>
              <w:t>Level 3 beginning balance at December</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31, 2022 and 2021</w:t>
            </w: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65.9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660" w:type="dxa"/>
            <w:vAlign w:val="bottom"/>
            <w:gridSpan w:val="2"/>
          </w:tcPr>
          <w:p>
            <w:pPr>
              <w:ind w:left="20"/>
              <w:spacing w:after="0"/>
              <w:rPr>
                <w:sz w:val="20"/>
                <w:szCs w:val="20"/>
                <w:color w:val="auto"/>
              </w:rPr>
            </w:pPr>
            <w:r>
              <w:rPr>
                <w:rFonts w:ascii="Arial" w:cs="Arial" w:eastAsia="Arial" w:hAnsi="Arial"/>
                <w:sz w:val="15"/>
                <w:szCs w:val="15"/>
                <w:color w:val="auto"/>
              </w:rPr>
              <w:t>Realized gains / (losses)</w:t>
            </w:r>
          </w:p>
        </w:tc>
        <w:tc>
          <w:tcPr>
            <w:tcW w:w="340" w:type="dxa"/>
            <w:vAlign w:val="bottom"/>
          </w:tcPr>
          <w:p>
            <w:pPr>
              <w:spacing w:after="0"/>
              <w:rPr>
                <w:sz w:val="17"/>
                <w:szCs w:val="17"/>
                <w:color w:val="auto"/>
              </w:rPr>
            </w:pPr>
          </w:p>
        </w:tc>
        <w:tc>
          <w:tcPr>
            <w:tcW w:w="1260" w:type="dxa"/>
            <w:vAlign w:val="bottom"/>
            <w:gridSpan w:val="2"/>
          </w:tcPr>
          <w:p>
            <w:pPr>
              <w:ind w:left="680"/>
              <w:spacing w:after="0"/>
              <w:rPr>
                <w:sz w:val="20"/>
                <w:szCs w:val="20"/>
                <w:color w:val="auto"/>
              </w:rPr>
            </w:pPr>
            <w:r>
              <w:rPr>
                <w:rFonts w:ascii="Arial" w:cs="Arial" w:eastAsia="Arial" w:hAnsi="Arial"/>
                <w:sz w:val="15"/>
                <w:szCs w:val="15"/>
                <w:color w:val="auto"/>
              </w:rPr>
              <w:t xml:space="preserve">(3.1) </w:t>
            </w:r>
            <w:r>
              <w:rPr>
                <w:rFonts w:ascii="Arial" w:cs="Arial" w:eastAsia="Arial" w:hAnsi="Arial"/>
                <w:sz w:val="9"/>
                <w:szCs w:val="9"/>
                <w:color w:val="auto"/>
              </w:rPr>
              <w:t>(1)</w:t>
            </w:r>
          </w:p>
        </w:tc>
        <w:tc>
          <w:tcPr>
            <w:tcW w:w="1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 xml:space="preserve">(0.4) </w:t>
            </w:r>
            <w:r>
              <w:rPr>
                <w:rFonts w:ascii="Arial" w:cs="Arial" w:eastAsia="Arial" w:hAnsi="Arial"/>
                <w:sz w:val="9"/>
                <w:szCs w:val="9"/>
                <w:color w:val="auto"/>
              </w:rPr>
              <w:t>(2)</w:t>
            </w: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0.1</w:t>
            </w:r>
          </w:p>
        </w:tc>
        <w:tc>
          <w:tcPr>
            <w:tcW w:w="280" w:type="dxa"/>
            <w:vAlign w:val="bottom"/>
          </w:tcPr>
          <w:p>
            <w:pPr>
              <w:jc w:val="right"/>
              <w:ind w:right="70"/>
              <w:spacing w:after="0"/>
              <w:rPr>
                <w:sz w:val="20"/>
                <w:szCs w:val="20"/>
                <w:color w:val="auto"/>
              </w:rPr>
            </w:pPr>
            <w:r>
              <w:rPr>
                <w:rFonts w:ascii="Arial" w:cs="Arial" w:eastAsia="Arial" w:hAnsi="Arial"/>
                <w:sz w:val="10"/>
                <w:szCs w:val="10"/>
                <w:color w:val="auto"/>
                <w:w w:val="97"/>
              </w:rPr>
              <w:t>(1)</w:t>
            </w:r>
          </w:p>
        </w:tc>
        <w:tc>
          <w:tcPr>
            <w:tcW w:w="1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 xml:space="preserve">(2.6) </w:t>
            </w: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207"/>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Purchases and issuances</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gridSpan w:val="2"/>
          </w:tcPr>
          <w:p>
            <w:pPr>
              <w:ind w:left="20"/>
              <w:spacing w:after="0"/>
              <w:rPr>
                <w:sz w:val="20"/>
                <w:szCs w:val="20"/>
                <w:color w:val="auto"/>
              </w:rPr>
            </w:pPr>
            <w:r>
              <w:rPr>
                <w:rFonts w:ascii="Arial" w:cs="Arial" w:eastAsia="Arial" w:hAnsi="Arial"/>
                <w:sz w:val="15"/>
                <w:szCs w:val="15"/>
                <w:color w:val="auto"/>
              </w:rPr>
              <w:t>Sales and settlements</w:t>
            </w:r>
          </w:p>
        </w:tc>
        <w:tc>
          <w:tcPr>
            <w:tcW w:w="340" w:type="dxa"/>
            <w:vAlign w:val="bottom"/>
          </w:tcPr>
          <w:p>
            <w:pPr>
              <w:spacing w:after="0"/>
              <w:rPr>
                <w:sz w:val="17"/>
                <w:szCs w:val="17"/>
                <w:color w:val="auto"/>
              </w:rPr>
            </w:pPr>
          </w:p>
        </w:tc>
        <w:tc>
          <w:tcPr>
            <w:tcW w:w="1000" w:type="dxa"/>
            <w:vAlign w:val="bottom"/>
          </w:tcPr>
          <w:p>
            <w:pPr>
              <w:ind w:left="680"/>
              <w:spacing w:after="0"/>
              <w:rPr>
                <w:sz w:val="20"/>
                <w:szCs w:val="20"/>
                <w:color w:val="auto"/>
              </w:rPr>
            </w:pPr>
            <w:r>
              <w:rPr>
                <w:rFonts w:ascii="Arial" w:cs="Arial" w:eastAsia="Arial" w:hAnsi="Arial"/>
                <w:sz w:val="15"/>
                <w:szCs w:val="15"/>
                <w:color w:val="auto"/>
                <w:w w:val="97"/>
              </w:rPr>
              <w:t>(7.2)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Dispositions of properties</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66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Foreign currency exchange gains /</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660" w:type="dxa"/>
            <w:vAlign w:val="bottom"/>
            <w:gridSpan w:val="2"/>
          </w:tcPr>
          <w:p>
            <w:pPr>
              <w:ind w:left="20"/>
              <w:spacing w:after="0"/>
              <w:rPr>
                <w:sz w:val="20"/>
                <w:szCs w:val="20"/>
                <w:color w:val="auto"/>
              </w:rPr>
            </w:pPr>
            <w:r>
              <w:rPr>
                <w:rFonts w:ascii="Arial" w:cs="Arial" w:eastAsia="Arial" w:hAnsi="Arial"/>
                <w:sz w:val="15"/>
                <w:szCs w:val="15"/>
                <w:color w:val="auto"/>
              </w:rPr>
              <w:t>(losses)</w:t>
            </w:r>
          </w:p>
        </w:tc>
        <w:tc>
          <w:tcPr>
            <w:tcW w:w="34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adjustments</w:t>
            </w: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66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Level 3 ending balance at September 30,</w:t>
            </w:r>
          </w:p>
        </w:tc>
        <w:tc>
          <w:tcPr>
            <w:tcW w:w="340" w:type="dxa"/>
            <w:vAlign w:val="bottom"/>
            <w:vMerge w:val="restart"/>
          </w:tcPr>
          <w:p>
            <w:pPr>
              <w:jc w:val="right"/>
              <w:ind w:right="164"/>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ind w:right="4"/>
              <w:spacing w:after="0"/>
              <w:rPr>
                <w:sz w:val="20"/>
                <w:szCs w:val="20"/>
                <w:color w:val="auto"/>
              </w:rPr>
            </w:pPr>
            <w:r>
              <w:rPr>
                <w:rFonts w:ascii="Arial" w:cs="Arial" w:eastAsia="Arial" w:hAnsi="Arial"/>
                <w:sz w:val="15"/>
                <w:szCs w:val="15"/>
                <w:color w:val="auto"/>
              </w:rPr>
              <w:t>56.0</w:t>
            </w:r>
          </w:p>
        </w:tc>
        <w:tc>
          <w:tcPr>
            <w:tcW w:w="36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1300" w:type="dxa"/>
            <w:vAlign w:val="bottom"/>
            <w:vMerge w:val="restart"/>
          </w:tcPr>
          <w:p>
            <w:pPr>
              <w:jc w:val="right"/>
              <w:ind w:right="4"/>
              <w:spacing w:after="0"/>
              <w:rPr>
                <w:sz w:val="20"/>
                <w:szCs w:val="20"/>
                <w:color w:val="auto"/>
              </w:rPr>
            </w:pPr>
            <w:r>
              <w:rPr>
                <w:rFonts w:ascii="Arial" w:cs="Arial" w:eastAsia="Arial" w:hAnsi="Arial"/>
                <w:sz w:val="15"/>
                <w:szCs w:val="15"/>
                <w:color w:val="auto"/>
              </w:rPr>
              <w:t>477.5</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w:t>
            </w:r>
          </w:p>
        </w:tc>
        <w:tc>
          <w:tcPr>
            <w:tcW w:w="540" w:type="dxa"/>
            <w:vAlign w:val="bottom"/>
            <w:vMerge w:val="restart"/>
          </w:tcPr>
          <w:p>
            <w:pPr>
              <w:jc w:val="right"/>
              <w:ind w:right="364"/>
              <w:spacing w:after="0"/>
              <w:rPr>
                <w:sz w:val="20"/>
                <w:szCs w:val="20"/>
                <w:color w:val="auto"/>
              </w:rPr>
            </w:pPr>
            <w:r>
              <w:rPr>
                <w:rFonts w:ascii="Arial" w:cs="Arial" w:eastAsia="Arial" w:hAnsi="Arial"/>
                <w:sz w:val="15"/>
                <w:szCs w:val="15"/>
                <w:color w:val="auto"/>
                <w:w w:val="95"/>
              </w:rPr>
              <w:t>$</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69.4</w:t>
            </w: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288.3</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660" w:type="dxa"/>
            <w:vAlign w:val="bottom"/>
            <w:gridSpan w:val="2"/>
          </w:tcPr>
          <w:p>
            <w:pPr>
              <w:ind w:left="20"/>
              <w:spacing w:after="0"/>
              <w:rPr>
                <w:sz w:val="20"/>
                <w:szCs w:val="20"/>
                <w:color w:val="auto"/>
              </w:rPr>
            </w:pPr>
            <w:r>
              <w:rPr>
                <w:rFonts w:ascii="Arial" w:cs="Arial" w:eastAsia="Arial" w:hAnsi="Arial"/>
                <w:sz w:val="15"/>
                <w:szCs w:val="15"/>
                <w:color w:val="auto"/>
              </w:rPr>
              <w:t>2023 and 2022</w:t>
            </w:r>
          </w:p>
        </w:tc>
        <w:tc>
          <w:tcPr>
            <w:tcW w:w="3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Realized gain / (losses) recorded within Gain / (loss) on remeasurement of notes receivable on the Consolidated Statements of Operations.</w:t>
      </w:r>
    </w:p>
    <w:p>
      <w:pPr>
        <w:spacing w:after="0" w:line="57"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Realized losses recorded within Income from nonconsolidated affiliates within on the Consolidated Statements of Operations.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gridSpan w:val="5"/>
          </w:tcPr>
          <w:p>
            <w:pPr>
              <w:ind w:left="88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3280" w:type="dxa"/>
            <w:vAlign w:val="bottom"/>
            <w:gridSpan w:val="4"/>
          </w:tcPr>
          <w:p>
            <w:pPr>
              <w:jc w:val="right"/>
              <w:ind w:right="984"/>
              <w:spacing w:after="0"/>
              <w:rPr>
                <w:sz w:val="20"/>
                <w:szCs w:val="20"/>
                <w:color w:val="auto"/>
              </w:rPr>
            </w:pPr>
            <w:r>
              <w:rPr>
                <w:rFonts w:ascii="Arial" w:cs="Arial" w:eastAsia="Arial" w:hAnsi="Arial"/>
                <w:sz w:val="15"/>
                <w:szCs w:val="15"/>
                <w:b w:val="1"/>
                <w:bCs w:val="1"/>
                <w:color w:val="auto"/>
              </w:rPr>
              <w:t>Nine Months Ended</w:t>
            </w:r>
          </w:p>
        </w:tc>
      </w:tr>
      <w:tr>
        <w:trPr>
          <w:trHeight w:val="198"/>
        </w:trPr>
        <w:tc>
          <w:tcPr>
            <w:tcW w:w="4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5"/>
                <w:szCs w:val="15"/>
                <w:b w:val="1"/>
                <w:bCs w:val="1"/>
                <w:color w:val="auto"/>
                <w:w w:val="91"/>
              </w:rPr>
              <w:t>September 30, 2023</w:t>
            </w: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1"/>
              </w:rPr>
              <w:t>September 30, 2022</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1"/>
              </w:rPr>
              <w:t>September 30, 2023</w:t>
            </w: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91"/>
              </w:rPr>
              <w:t>September 30, 2022</w:t>
            </w:r>
          </w:p>
        </w:tc>
      </w:tr>
      <w:tr>
        <w:trPr>
          <w:trHeight w:val="154"/>
        </w:trPr>
        <w:tc>
          <w:tcPr>
            <w:tcW w:w="4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center"/>
              <w:ind w:right="44"/>
              <w:spacing w:after="0" w:line="154" w:lineRule="exact"/>
              <w:rPr>
                <w:sz w:val="20"/>
                <w:szCs w:val="20"/>
                <w:color w:val="auto"/>
              </w:rPr>
            </w:pPr>
            <w:r>
              <w:rPr>
                <w:rFonts w:ascii="Arial" w:cs="Arial" w:eastAsia="Arial" w:hAnsi="Arial"/>
                <w:sz w:val="15"/>
                <w:szCs w:val="15"/>
                <w:b w:val="1"/>
                <w:bCs w:val="1"/>
                <w:color w:val="auto"/>
                <w:w w:val="90"/>
              </w:rPr>
              <w:t>Contingent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center"/>
              <w:ind w:right="64"/>
              <w:spacing w:after="0" w:line="154" w:lineRule="exact"/>
              <w:rPr>
                <w:sz w:val="20"/>
                <w:szCs w:val="20"/>
                <w:color w:val="auto"/>
              </w:rPr>
            </w:pPr>
            <w:r>
              <w:rPr>
                <w:rFonts w:ascii="Arial" w:cs="Arial" w:eastAsia="Arial" w:hAnsi="Arial"/>
                <w:sz w:val="15"/>
                <w:szCs w:val="15"/>
                <w:b w:val="1"/>
                <w:bCs w:val="1"/>
                <w:color w:val="auto"/>
                <w:w w:val="90"/>
              </w:rPr>
              <w:t>Contingent</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center"/>
              <w:ind w:right="64"/>
              <w:spacing w:after="0" w:line="154" w:lineRule="exact"/>
              <w:rPr>
                <w:sz w:val="20"/>
                <w:szCs w:val="20"/>
                <w:color w:val="auto"/>
              </w:rPr>
            </w:pPr>
            <w:r>
              <w:rPr>
                <w:rFonts w:ascii="Arial" w:cs="Arial" w:eastAsia="Arial" w:hAnsi="Arial"/>
                <w:sz w:val="15"/>
                <w:szCs w:val="15"/>
                <w:b w:val="1"/>
                <w:bCs w:val="1"/>
                <w:color w:val="auto"/>
                <w:w w:val="93"/>
              </w:rPr>
              <w:t>Contingent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center"/>
              <w:ind w:right="84"/>
              <w:spacing w:after="0" w:line="154" w:lineRule="exact"/>
              <w:rPr>
                <w:sz w:val="20"/>
                <w:szCs w:val="20"/>
                <w:color w:val="auto"/>
              </w:rPr>
            </w:pPr>
            <w:r>
              <w:rPr>
                <w:rFonts w:ascii="Arial" w:cs="Arial" w:eastAsia="Arial" w:hAnsi="Arial"/>
                <w:sz w:val="15"/>
                <w:szCs w:val="15"/>
                <w:b w:val="1"/>
                <w:bCs w:val="1"/>
                <w:color w:val="auto"/>
                <w:w w:val="90"/>
              </w:rPr>
              <w:t>Contingent</w:t>
            </w:r>
          </w:p>
        </w:tc>
      </w:tr>
      <w:tr>
        <w:trPr>
          <w:trHeight w:val="202"/>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Liabilities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1"/>
              </w:rPr>
              <w:t>Consideration</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1"/>
              </w:rPr>
              <w:t>Consideration</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3"/>
              </w:rPr>
              <w:t>Consideration</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91"/>
              </w:rPr>
              <w:t>Consideration</w:t>
            </w:r>
          </w:p>
        </w:tc>
      </w:tr>
      <w:tr>
        <w:trPr>
          <w:trHeight w:val="160"/>
        </w:trPr>
        <w:tc>
          <w:tcPr>
            <w:tcW w:w="4200" w:type="dxa"/>
            <w:vAlign w:val="bottom"/>
            <w:gridSpan w:val="2"/>
            <w:shd w:val="clear" w:color="auto" w:fill="CCEEFF"/>
          </w:tcPr>
          <w:p>
            <w:pPr>
              <w:ind w:left="20"/>
              <w:spacing w:after="0" w:line="160" w:lineRule="exact"/>
              <w:rPr>
                <w:sz w:val="20"/>
                <w:szCs w:val="20"/>
                <w:color w:val="auto"/>
              </w:rPr>
            </w:pPr>
            <w:r>
              <w:rPr>
                <w:rFonts w:ascii="Arial" w:cs="Arial" w:eastAsia="Arial" w:hAnsi="Arial"/>
                <w:sz w:val="15"/>
                <w:szCs w:val="15"/>
                <w:color w:val="auto"/>
                <w:w w:val="93"/>
              </w:rPr>
              <w:t>Level 3 beginning balance June 30, 2023 and 2022, December 31,</w:t>
            </w: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98"/>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2022 and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w:t>
            </w:r>
          </w:p>
        </w:tc>
      </w:tr>
      <w:tr>
        <w:trPr>
          <w:trHeight w:val="200"/>
        </w:trPr>
        <w:tc>
          <w:tcPr>
            <w:tcW w:w="4200" w:type="dxa"/>
            <w:vAlign w:val="bottom"/>
            <w:gridSpan w:val="2"/>
          </w:tcPr>
          <w:p>
            <w:pPr>
              <w:ind w:left="20"/>
              <w:spacing w:after="0"/>
              <w:rPr>
                <w:sz w:val="20"/>
                <w:szCs w:val="20"/>
                <w:color w:val="auto"/>
              </w:rPr>
            </w:pPr>
            <w:r>
              <w:rPr>
                <w:rFonts w:ascii="Arial" w:cs="Arial" w:eastAsia="Arial" w:hAnsi="Arial"/>
                <w:sz w:val="15"/>
                <w:szCs w:val="15"/>
                <w:color w:val="auto"/>
              </w:rPr>
              <w:t>Level 3 ending balance at September 30, 2023 and 2022</w:t>
            </w:r>
            <w:r>
              <w:rPr>
                <w:rFonts w:ascii="Arial" w:cs="Arial" w:eastAsia="Arial" w:hAnsi="Arial"/>
                <w:sz w:val="9"/>
                <w:szCs w:val="9"/>
                <w:color w:val="auto"/>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w:t>
            </w: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9"/>
          <w:szCs w:val="9"/>
          <w:color w:val="auto"/>
        </w:rPr>
      </w:pPr>
      <w:r>
        <w:rPr>
          <w:rFonts w:ascii="Arial" w:cs="Arial" w:eastAsia="Arial" w:hAnsi="Arial"/>
          <w:sz w:val="14"/>
          <w:szCs w:val="14"/>
          <w:color w:val="auto"/>
        </w:rPr>
        <w:t>There was no activity related to the Contingent consideration liability during the three and nine months ended September 30, 2023 and 2022.</w:t>
      </w:r>
    </w:p>
    <w:p>
      <w:pPr>
        <w:spacing w:after="0" w:line="2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we have determined the estimated fair value amounts using available market information and commonly accepted valuation methodologies, considerable judgment is required in interpreting market data to develop fair value estimates. The fair value estimates are based on information available as of September 30, 2023. As such, our estimates of fair value could differ significantly from the actual carrying value.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 - Class Action Litigation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Since August 31, 2023, several putative class action complaints have been filed in the U.S. District Court for the Northern District of Illinois, Eastern Division, against Datacomp Appraisal Systems, Inc., us, and nine other large MH operators in the United States. The complaint alleges that the defendants have violated federal antitrust laws by sharing and receiving competitively sensitive non-public information to maintain artificially high site rents. The plaintiffs have moved to consolidate the complaints into the case captioned </w:t>
      </w:r>
      <w:r>
        <w:rPr>
          <w:rFonts w:ascii="Arial" w:cs="Arial" w:eastAsia="Arial" w:hAnsi="Arial"/>
          <w:sz w:val="18"/>
          <w:szCs w:val="18"/>
          <w:i w:val="1"/>
          <w:iCs w:val="1"/>
          <w:color w:val="auto"/>
        </w:rPr>
        <w:t>Carla Hajek and Gregory Hammerlund v. Datacomp Appraisal Systems, Inc., et</w:t>
      </w:r>
      <w:r>
        <w:rPr>
          <w:rFonts w:ascii="Arial" w:cs="Arial" w:eastAsia="Arial" w:hAnsi="Arial"/>
          <w:sz w:val="18"/>
          <w:szCs w:val="18"/>
          <w:color w:val="auto"/>
        </w:rPr>
        <w:t xml:space="preserve"> </w:t>
      </w:r>
      <w:r>
        <w:rPr>
          <w:rFonts w:ascii="Arial" w:cs="Arial" w:eastAsia="Arial" w:hAnsi="Arial"/>
          <w:sz w:val="18"/>
          <w:szCs w:val="18"/>
          <w:i w:val="1"/>
          <w:iCs w:val="1"/>
          <w:color w:val="auto"/>
        </w:rPr>
        <w:t>al., No. 1:23-cv-6715.</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Plaintiffs seek both injunctive and monetary damages, as well as attorneys' fees. We are unable to estimate a range of loss, if any, that could result were there to be an adverse final decision in this litigation. If an unfavorable result were to occur, it is possible that the impact could be material to our results of operations in the periods in which any such outcome becomes probable and estimable.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plaintiffs' allegations are without merit and intend to defend against them vigorously. However, litigation is inherently uncertain and there can be no assurance regarding the likelihood that our defense of this litigation will be successful.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involved in various other legal proceedings arising in the ordinary course of business. All such proceedings, taken together, are not expected to have a material adverse impact on our results of operations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Catastrophic Event-Related Charges - Hurricane Ian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Hurricane Ian made landfall on Florida's western coast in September 2022, the storm primarily affected three properties in the Fort Myers area, comprising approximately 2,500 sites. These properties sustained significant flooding and wind damage from the hurricane. At other affected MH and RV properties, most of the damage was limited to trees, roofs, fences, skirting and carports. At affected marina properties, docks, buildings, and landscaping sustained wind and water damage.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We maintain property, casualty, flood and business interruption insurance for our community portfolio, subject to customary deductibles and limits.</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Estimated property insurance recoveries, excluding business interruption recoveries, of $52.2 million related to Hurricane Ian were recorded in Notes and other receivables, net on the Consolidated Balance Sheets as of September 30, 2023. The table below sets forth changes estimated property insurance recoveries, excluding business interruption recoveries (in millions):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estimated insurance receivable -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Change in estimated property insurance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Proceeds received from insurer</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estimated insurance receivable - September 30, 2023</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00" w:type="dxa"/>
            <w:vAlign w:val="bottom"/>
          </w:tcPr>
          <w:p>
            <w:pPr>
              <w:spacing w:after="0"/>
              <w:rPr>
                <w:sz w:val="15"/>
                <w:szCs w:val="15"/>
                <w:color w:val="auto"/>
              </w:rPr>
            </w:pPr>
          </w:p>
        </w:tc>
        <w:tc>
          <w:tcPr>
            <w:tcW w:w="1680" w:type="dxa"/>
            <w:vAlign w:val="bottom"/>
          </w:tcPr>
          <w:p>
            <w:pPr>
              <w:ind w:left="80"/>
              <w:spacing w:after="0"/>
              <w:rPr>
                <w:sz w:val="20"/>
                <w:szCs w:val="20"/>
                <w:color w:val="auto"/>
              </w:rPr>
            </w:pPr>
            <w:r>
              <w:rPr>
                <w:rFonts w:ascii="Arial" w:cs="Arial" w:eastAsia="Arial" w:hAnsi="Arial"/>
                <w:sz w:val="15"/>
                <w:szCs w:val="15"/>
                <w:b w:val="1"/>
                <w:bCs w:val="1"/>
                <w:color w:val="auto"/>
              </w:rPr>
              <w:t>Nine Months Ended</w:t>
            </w:r>
          </w:p>
        </w:tc>
      </w:tr>
      <w:tr>
        <w:trPr>
          <w:trHeight w:val="202"/>
        </w:trPr>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September 30, 2023</w:t>
            </w:r>
          </w:p>
        </w:tc>
      </w:tr>
      <w:tr>
        <w:trPr>
          <w:trHeight w:val="192"/>
        </w:trPr>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tcPr>
          <w:p>
            <w:pPr>
              <w:jc w:val="center"/>
              <w:ind w:left="1204"/>
              <w:spacing w:after="0"/>
              <w:rPr>
                <w:sz w:val="20"/>
                <w:szCs w:val="20"/>
                <w:color w:val="auto"/>
              </w:rPr>
            </w:pPr>
            <w:r>
              <w:rPr>
                <w:rFonts w:ascii="Arial" w:cs="Arial" w:eastAsia="Arial" w:hAnsi="Arial"/>
                <w:sz w:val="15"/>
                <w:szCs w:val="15"/>
                <w:color w:val="auto"/>
                <w:w w:val="95"/>
              </w:rPr>
              <w:t>54.9</w:t>
            </w:r>
          </w:p>
        </w:tc>
      </w:tr>
      <w:tr>
        <w:trPr>
          <w:trHeight w:val="203"/>
        </w:trPr>
        <w:tc>
          <w:tcPr>
            <w:tcW w:w="200" w:type="dxa"/>
            <w:vAlign w:val="bottom"/>
          </w:tcPr>
          <w:p>
            <w:pPr>
              <w:spacing w:after="0"/>
              <w:rPr>
                <w:sz w:val="17"/>
                <w:szCs w:val="17"/>
                <w:color w:val="auto"/>
              </w:rPr>
            </w:pPr>
          </w:p>
        </w:tc>
        <w:tc>
          <w:tcPr>
            <w:tcW w:w="1680" w:type="dxa"/>
            <w:vAlign w:val="bottom"/>
          </w:tcPr>
          <w:p>
            <w:pPr>
              <w:jc w:val="center"/>
              <w:ind w:left="1204"/>
              <w:spacing w:after="0"/>
              <w:rPr>
                <w:sz w:val="20"/>
                <w:szCs w:val="20"/>
                <w:color w:val="auto"/>
              </w:rPr>
            </w:pPr>
            <w:r>
              <w:rPr>
                <w:rFonts w:ascii="Arial" w:cs="Arial" w:eastAsia="Arial" w:hAnsi="Arial"/>
                <w:sz w:val="15"/>
                <w:szCs w:val="15"/>
                <w:color w:val="auto"/>
                <w:w w:val="95"/>
              </w:rPr>
              <w:t>40.2</w:t>
            </w:r>
          </w:p>
        </w:tc>
      </w:tr>
      <w:tr>
        <w:trPr>
          <w:trHeight w:val="207"/>
        </w:trPr>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left="1184"/>
              <w:spacing w:after="0"/>
              <w:rPr>
                <w:sz w:val="20"/>
                <w:szCs w:val="20"/>
                <w:color w:val="auto"/>
              </w:rPr>
            </w:pPr>
            <w:r>
              <w:rPr>
                <w:rFonts w:ascii="Arial" w:cs="Arial" w:eastAsia="Arial" w:hAnsi="Arial"/>
                <w:sz w:val="15"/>
                <w:szCs w:val="15"/>
                <w:color w:val="auto"/>
                <w:w w:val="96"/>
              </w:rPr>
              <w:t>(42.9)</w:t>
            </w:r>
          </w:p>
        </w:tc>
      </w:tr>
      <w:tr>
        <w:trPr>
          <w:trHeight w:val="196"/>
        </w:trPr>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center"/>
              <w:ind w:left="1204"/>
              <w:spacing w:after="0"/>
              <w:rPr>
                <w:sz w:val="20"/>
                <w:szCs w:val="20"/>
                <w:color w:val="auto"/>
              </w:rPr>
            </w:pPr>
            <w:r>
              <w:rPr>
                <w:rFonts w:ascii="Arial" w:cs="Arial" w:eastAsia="Arial" w:hAnsi="Arial"/>
                <w:sz w:val="15"/>
                <w:szCs w:val="15"/>
                <w:color w:val="auto"/>
                <w:w w:val="95"/>
              </w:rPr>
              <w:t>52.2</w:t>
            </w:r>
          </w:p>
        </w:tc>
      </w:tr>
      <w:tr>
        <w:trPr>
          <w:trHeight w:val="25"/>
        </w:trPr>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640" w:space="720"/>
            <w:col w:w="1880"/>
          </w:cols>
          <w:pgMar w:left="320" w:top="126" w:right="339" w:bottom="1440" w:gutter="0" w:footer="0" w:header="0"/>
          <w:type w:val="continuous"/>
        </w:sectPr>
      </w:pP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Changes in estimated property insurance recoveries related to Hurricane Ian during the nine months ended September 30, 2023 were primarily the result of $45.0 million of incremental costs that exceeded the applicable deductible, net of a $4.8 million reduction due to a decrease in the estimated property impairment. The foregoing estimates are based on current information available, and we continue to assess these estimates. Actual charges and insurance recoveries could vary significantly from these estimates. Any changes to these estimates will be recognized in the period(s) in which they are determined.</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actively working with our insurance providers on claims for business interruption recoveries. During the three months ended September 30, 2023, we received and recognized $12.9 million, net of deductibles, for the lost earnings covering the date of the hurricane event through April 30, 2023. These recoveries were included in Brokerage commissions and other, net on our Consolidated Statements of Operations during the three months ended September 30, 2023. The related communities are under redevelopment. As such, we currently cannot estimate a date when operating results will be restored to pre-hurricane levels. Our business interruption insurance policy provides for up to 60 months of coverage from the date of restoration.</w:t>
      </w:r>
    </w:p>
    <w:p>
      <w:pPr>
        <w:sectPr>
          <w:pgSz w:w="11900" w:h="16838" w:orient="portrait"/>
          <w:cols w:equalWidth="0" w:num="1">
            <w:col w:w="1124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lease land under non-cancelable operating leases at certain MH, RV and Marina properties expiring at various dates through 2100. The majority of the leases have terms requiring fixed payments plus additional rents based on a percentage of revenues at those properties. We also have other operating leases, primarily office space and equipment expiring at various dates through 2042.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leases as of September 30, 2023 where we are the lessee include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Maturity of Lease Liabilities</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Finance Leases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6"/>
              </w:rPr>
              <w:t>Operating Leases</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Total</w:t>
            </w:r>
          </w:p>
        </w:tc>
      </w:tr>
      <w:tr>
        <w:trPr>
          <w:trHeight w:val="20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2023 (excluding nine months ended September 30, 2023)</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r>
      <w:tr>
        <w:trPr>
          <w:trHeight w:val="198"/>
        </w:trPr>
        <w:tc>
          <w:tcPr>
            <w:tcW w:w="5860" w:type="dxa"/>
            <w:vAlign w:val="bottom"/>
          </w:tcPr>
          <w:p>
            <w:pPr>
              <w:ind w:left="20"/>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14.1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18.7</w:t>
            </w:r>
          </w:p>
        </w:tc>
      </w:tr>
      <w:tr>
        <w:trPr>
          <w:trHeight w:val="207"/>
        </w:trPr>
        <w:tc>
          <w:tcPr>
            <w:tcW w:w="5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r>
      <w:tr>
        <w:trPr>
          <w:trHeight w:val="198"/>
        </w:trPr>
        <w:tc>
          <w:tcPr>
            <w:tcW w:w="5860" w:type="dxa"/>
            <w:vAlign w:val="bottom"/>
          </w:tcPr>
          <w:p>
            <w:pPr>
              <w:ind w:left="20"/>
              <w:spacing w:after="0"/>
              <w:rPr>
                <w:sz w:val="20"/>
                <w:szCs w:val="20"/>
                <w:color w:val="auto"/>
              </w:rPr>
            </w:pPr>
            <w:r>
              <w:rPr>
                <w:rFonts w:ascii="Arial" w:cs="Arial" w:eastAsia="Arial" w:hAnsi="Arial"/>
                <w:sz w:val="15"/>
                <w:szCs w:val="15"/>
                <w:color w:val="auto"/>
              </w:rPr>
              <w:t>2026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12.2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12.7</w:t>
            </w:r>
          </w:p>
        </w:tc>
      </w:tr>
      <w:tr>
        <w:trPr>
          <w:trHeight w:val="207"/>
        </w:trPr>
        <w:tc>
          <w:tcPr>
            <w:tcW w:w="5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r>
      <w:tr>
        <w:trPr>
          <w:trHeight w:val="198"/>
        </w:trPr>
        <w:tc>
          <w:tcPr>
            <w:tcW w:w="59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Thereafter</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248.1</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268.1</w:t>
            </w:r>
          </w:p>
        </w:tc>
      </w:tr>
      <w:tr>
        <w:trPr>
          <w:trHeight w:val="20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 Lease Payments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328.3</w:t>
            </w:r>
          </w:p>
        </w:tc>
      </w:tr>
      <w:tr>
        <w:trPr>
          <w:trHeight w:val="198"/>
        </w:trPr>
        <w:tc>
          <w:tcPr>
            <w:tcW w:w="59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Less: Imputed interest</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(139.8)</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(152.2)</w:t>
            </w:r>
          </w:p>
        </w:tc>
      </w:tr>
      <w:tr>
        <w:trPr>
          <w:trHeight w:val="225"/>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Present Value of Lease Liabilities</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162.1</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Right-of-use ("ROU") assets and lease liabilities for finance and operating leases as included in our Consolidated Balance Sheets are as follows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gridSpan w:val="2"/>
          </w:tcPr>
          <w:p>
            <w:pPr>
              <w:ind w:left="380"/>
              <w:spacing w:after="0"/>
              <w:rPr>
                <w:sz w:val="20"/>
                <w:szCs w:val="20"/>
                <w:color w:val="auto"/>
              </w:rPr>
            </w:pPr>
            <w:r>
              <w:rPr>
                <w:rFonts w:ascii="Arial" w:cs="Arial" w:eastAsia="Arial" w:hAnsi="Arial"/>
                <w:sz w:val="15"/>
                <w:szCs w:val="15"/>
                <w:b w:val="1"/>
                <w:bCs w:val="1"/>
                <w:color w:val="auto"/>
              </w:rPr>
              <w:t>Financial Statement</w:t>
            </w: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560" w:type="dxa"/>
            <w:vAlign w:val="bottom"/>
            <w:tcBorders>
              <w:bottom w:val="single" w:sz="8" w:color="auto"/>
            </w:tcBorders>
          </w:tcPr>
          <w:p>
            <w:pPr>
              <w:spacing w:after="0"/>
              <w:rPr>
                <w:sz w:val="17"/>
                <w:szCs w:val="17"/>
                <w:color w:val="auto"/>
              </w:rPr>
            </w:pPr>
          </w:p>
        </w:tc>
      </w:tr>
      <w:tr>
        <w:trPr>
          <w:trHeight w:val="194"/>
        </w:trPr>
        <w:tc>
          <w:tcPr>
            <w:tcW w:w="5440" w:type="dxa"/>
            <w:vAlign w:val="bottom"/>
          </w:tcPr>
          <w:p>
            <w:pPr>
              <w:ind w:left="2360"/>
              <w:spacing w:after="0"/>
              <w:rPr>
                <w:sz w:val="20"/>
                <w:szCs w:val="20"/>
                <w:color w:val="auto"/>
              </w:rPr>
            </w:pPr>
            <w:r>
              <w:rPr>
                <w:rFonts w:ascii="Arial" w:cs="Arial" w:eastAsia="Arial" w:hAnsi="Arial"/>
                <w:sz w:val="15"/>
                <w:szCs w:val="15"/>
                <w:b w:val="1"/>
                <w:bCs w:val="1"/>
                <w:color w:val="auto"/>
              </w:rPr>
              <w:t>Description</w:t>
            </w:r>
          </w:p>
        </w:tc>
        <w:tc>
          <w:tcPr>
            <w:tcW w:w="80" w:type="dxa"/>
            <w:vAlign w:val="bottom"/>
          </w:tcPr>
          <w:p>
            <w:pPr>
              <w:spacing w:after="0"/>
              <w:rPr>
                <w:sz w:val="16"/>
                <w:szCs w:val="16"/>
                <w:color w:val="auto"/>
              </w:rPr>
            </w:pPr>
          </w:p>
        </w:tc>
        <w:tc>
          <w:tcPr>
            <w:tcW w:w="2160" w:type="dxa"/>
            <w:vAlign w:val="bottom"/>
            <w:gridSpan w:val="2"/>
          </w:tcPr>
          <w:p>
            <w:pPr>
              <w:ind w:left="600"/>
              <w:spacing w:after="0"/>
              <w:rPr>
                <w:sz w:val="20"/>
                <w:szCs w:val="20"/>
                <w:color w:val="auto"/>
              </w:rPr>
            </w:pPr>
            <w:r>
              <w:rPr>
                <w:rFonts w:ascii="Arial" w:cs="Arial" w:eastAsia="Arial" w:hAnsi="Arial"/>
                <w:sz w:val="15"/>
                <w:szCs w:val="15"/>
                <w:b w:val="1"/>
                <w:bCs w:val="1"/>
                <w:color w:val="auto"/>
              </w:rPr>
              <w:t>Classification</w:t>
            </w:r>
          </w:p>
        </w:tc>
        <w:tc>
          <w:tcPr>
            <w:tcW w:w="160" w:type="dxa"/>
            <w:vAlign w:val="bottom"/>
          </w:tcPr>
          <w:p>
            <w:pPr>
              <w:spacing w:after="0"/>
              <w:rPr>
                <w:sz w:val="16"/>
                <w:szCs w:val="16"/>
                <w:color w:val="auto"/>
              </w:rPr>
            </w:pPr>
          </w:p>
        </w:tc>
        <w:tc>
          <w:tcPr>
            <w:tcW w:w="16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2023</w:t>
            </w:r>
          </w:p>
        </w:tc>
        <w:tc>
          <w:tcPr>
            <w:tcW w:w="180" w:type="dxa"/>
            <w:vAlign w:val="bottom"/>
          </w:tcPr>
          <w:p>
            <w:pPr>
              <w:spacing w:after="0"/>
              <w:rPr>
                <w:sz w:val="16"/>
                <w:szCs w:val="16"/>
                <w:color w:val="auto"/>
              </w:rPr>
            </w:pPr>
          </w:p>
        </w:tc>
        <w:tc>
          <w:tcPr>
            <w:tcW w:w="1560" w:type="dxa"/>
            <w:vAlign w:val="bottom"/>
          </w:tcPr>
          <w:p>
            <w:pPr>
              <w:jc w:val="right"/>
              <w:ind w:right="184"/>
              <w:spacing w:after="0"/>
              <w:rPr>
                <w:sz w:val="20"/>
                <w:szCs w:val="20"/>
                <w:color w:val="auto"/>
              </w:rPr>
            </w:pPr>
            <w:r>
              <w:rPr>
                <w:rFonts w:ascii="Arial" w:cs="Arial" w:eastAsia="Arial" w:hAnsi="Arial"/>
                <w:sz w:val="15"/>
                <w:szCs w:val="15"/>
                <w:b w:val="1"/>
                <w:bCs w:val="1"/>
                <w:color w:val="auto"/>
                <w:w w:val="94"/>
              </w:rPr>
              <w:t>December 31, 2022</w:t>
            </w:r>
          </w:p>
        </w:tc>
      </w:tr>
      <w:tr>
        <w:trPr>
          <w:trHeight w:val="198"/>
        </w:trPr>
        <w:tc>
          <w:tcPr>
            <w:tcW w:w="5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Lease Assets</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5"/>
                <w:szCs w:val="15"/>
                <w:color w:val="auto"/>
              </w:rPr>
              <w:t>Finance lease, right-of-use asset, net of accumulated amortization</w:t>
            </w:r>
          </w:p>
        </w:tc>
        <w:tc>
          <w:tcPr>
            <w:tcW w:w="8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Arial" w:cs="Arial" w:eastAsia="Arial" w:hAnsi="Arial"/>
                <w:sz w:val="15"/>
                <w:szCs w:val="15"/>
                <w:color w:val="auto"/>
              </w:rPr>
              <w:t>Investment property, net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34.8</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32.2</w:t>
            </w: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 net</w:t>
            </w:r>
          </w:p>
        </w:tc>
        <w:tc>
          <w:tcPr>
            <w:tcW w:w="8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assets, net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189.4</w:t>
            </w:r>
          </w:p>
        </w:tc>
      </w:tr>
      <w:tr>
        <w:trPr>
          <w:trHeight w:val="198"/>
        </w:trPr>
        <w:tc>
          <w:tcPr>
            <w:tcW w:w="5440" w:type="dxa"/>
            <w:vAlign w:val="bottom"/>
          </w:tcPr>
          <w:p>
            <w:pPr>
              <w:ind w:left="20"/>
              <w:spacing w:after="0"/>
              <w:rPr>
                <w:sz w:val="20"/>
                <w:szCs w:val="20"/>
                <w:color w:val="auto"/>
              </w:rPr>
            </w:pPr>
            <w:r>
              <w:rPr>
                <w:rFonts w:ascii="Arial" w:cs="Arial" w:eastAsia="Arial" w:hAnsi="Arial"/>
                <w:sz w:val="15"/>
                <w:szCs w:val="15"/>
                <w:color w:val="auto"/>
              </w:rPr>
              <w:t>Below market operating leases, net</w:t>
            </w:r>
          </w:p>
        </w:tc>
        <w:tc>
          <w:tcPr>
            <w:tcW w:w="8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Arial" w:cs="Arial" w:eastAsia="Arial" w:hAnsi="Arial"/>
                <w:sz w:val="15"/>
                <w:szCs w:val="15"/>
                <w:color w:val="auto"/>
              </w:rPr>
              <w:t>Other assets, net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96.1</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90.9</w:t>
            </w: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Lease Liabilities</w:t>
            </w: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5"/>
                <w:szCs w:val="15"/>
                <w:color w:val="auto"/>
              </w:rPr>
              <w:t>Finance lease liabilities</w:t>
            </w:r>
          </w:p>
        </w:tc>
        <w:tc>
          <w:tcPr>
            <w:tcW w:w="8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14.0</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15.0</w:t>
            </w: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w:t>
            </w:r>
          </w:p>
        </w:tc>
        <w:tc>
          <w:tcPr>
            <w:tcW w:w="8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costs for finance and operating leases as included in our Consolidated Statements of Operations are as follows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5"/>
                <w:szCs w:val="15"/>
                <w:b w:val="1"/>
                <w:bCs w:val="1"/>
                <w:color w:val="auto"/>
              </w:rPr>
              <w:t>Three Months Ended</w:t>
            </w:r>
          </w:p>
        </w:tc>
        <w:tc>
          <w:tcPr>
            <w:tcW w:w="5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64"/>
              <w:spacing w:after="0"/>
              <w:rPr>
                <w:sz w:val="20"/>
                <w:szCs w:val="20"/>
                <w:color w:val="auto"/>
              </w:rPr>
            </w:pPr>
            <w:r>
              <w:rPr>
                <w:rFonts w:ascii="Arial" w:cs="Arial" w:eastAsia="Arial" w:hAnsi="Arial"/>
                <w:sz w:val="15"/>
                <w:szCs w:val="15"/>
                <w:b w:val="1"/>
                <w:bCs w:val="1"/>
                <w:color w:val="auto"/>
              </w:rPr>
              <w:t>Nine Months Ended</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60" w:type="dxa"/>
            <w:vAlign w:val="bottom"/>
            <w:tcBorders>
              <w:bottom w:val="single" w:sz="8" w:color="auto"/>
            </w:tcBorders>
          </w:tcPr>
          <w:p>
            <w:pPr>
              <w:ind w:left="760"/>
              <w:spacing w:after="0"/>
              <w:rPr>
                <w:sz w:val="20"/>
                <w:szCs w:val="20"/>
                <w:color w:val="auto"/>
              </w:rPr>
            </w:pPr>
            <w:r>
              <w:rPr>
                <w:rFonts w:ascii="Arial" w:cs="Arial" w:eastAsia="Arial" w:hAnsi="Arial"/>
                <w:sz w:val="15"/>
                <w:szCs w:val="15"/>
                <w:b w:val="1"/>
                <w:bCs w:val="1"/>
                <w:color w:val="auto"/>
              </w:rPr>
              <w:t>Description</w:t>
            </w:r>
          </w:p>
        </w:tc>
        <w:tc>
          <w:tcPr>
            <w:tcW w:w="80" w:type="dxa"/>
            <w:vAlign w:val="bottom"/>
            <w:tcBorders>
              <w:bottom w:val="single" w:sz="8" w:color="CCEEFF"/>
            </w:tcBorders>
          </w:tcPr>
          <w:p>
            <w:pPr>
              <w:spacing w:after="0"/>
              <w:rPr>
                <w:sz w:val="17"/>
                <w:szCs w:val="17"/>
                <w:color w:val="auto"/>
              </w:rPr>
            </w:pPr>
          </w:p>
        </w:tc>
        <w:tc>
          <w:tcPr>
            <w:tcW w:w="282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Financial Statement Classification</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September 30, 2023</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September 30, 2022</w:t>
            </w:r>
          </w:p>
        </w:tc>
        <w:tc>
          <w:tcPr>
            <w:tcW w:w="1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September 30, 2023</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95"/>
              </w:rPr>
              <w:t>September 30, 2022</w:t>
            </w:r>
          </w:p>
        </w:tc>
        <w:tc>
          <w:tcPr>
            <w:tcW w:w="0" w:type="dxa"/>
            <w:vAlign w:val="bottom"/>
          </w:tcPr>
          <w:p>
            <w:pPr>
              <w:spacing w:after="0"/>
              <w:rPr>
                <w:sz w:val="1"/>
                <w:szCs w:val="1"/>
                <w:color w:val="auto"/>
              </w:rPr>
            </w:pPr>
          </w:p>
        </w:tc>
      </w:tr>
      <w:tr>
        <w:trPr>
          <w:trHeight w:val="198"/>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Finance Lease Cost</w:t>
            </w:r>
          </w:p>
        </w:tc>
        <w:tc>
          <w:tcPr>
            <w:tcW w:w="2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40" w:type="dxa"/>
            <w:vAlign w:val="bottom"/>
            <w:gridSpan w:val="2"/>
          </w:tcPr>
          <w:p>
            <w:pPr>
              <w:ind w:left="140"/>
              <w:spacing w:after="0"/>
              <w:rPr>
                <w:sz w:val="20"/>
                <w:szCs w:val="20"/>
                <w:color w:val="auto"/>
              </w:rPr>
            </w:pPr>
            <w:r>
              <w:rPr>
                <w:rFonts w:ascii="Arial" w:cs="Arial" w:eastAsia="Arial" w:hAnsi="Arial"/>
                <w:sz w:val="15"/>
                <w:szCs w:val="15"/>
                <w:color w:val="auto"/>
              </w:rPr>
              <w:t>Amortization of ROU assets</w:t>
            </w:r>
          </w:p>
        </w:tc>
        <w:tc>
          <w:tcPr>
            <w:tcW w:w="2900" w:type="dxa"/>
            <w:vAlign w:val="bottom"/>
            <w:gridSpan w:val="2"/>
          </w:tcPr>
          <w:p>
            <w:pPr>
              <w:ind w:left="20"/>
              <w:spacing w:after="0"/>
              <w:rPr>
                <w:sz w:val="20"/>
                <w:szCs w:val="20"/>
                <w:color w:val="auto"/>
              </w:rPr>
            </w:pPr>
            <w:r>
              <w:rPr>
                <w:rFonts w:ascii="Arial" w:cs="Arial" w:eastAsia="Arial" w:hAnsi="Arial"/>
                <w:sz w:val="15"/>
                <w:szCs w:val="15"/>
                <w:color w:val="auto"/>
              </w:rPr>
              <w:t>Depreciation and amortization</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17"/>
                <w:szCs w:val="17"/>
                <w:color w:val="auto"/>
              </w:rPr>
            </w:pP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ind w:right="4"/>
              <w:spacing w:after="0"/>
              <w:rPr>
                <w:sz w:val="20"/>
                <w:szCs w:val="20"/>
                <w:color w:val="auto"/>
              </w:rPr>
            </w:pPr>
            <w:r>
              <w:rPr>
                <w:rFonts w:ascii="Arial" w:cs="Arial" w:eastAsia="Arial" w:hAnsi="Arial"/>
                <w:sz w:val="15"/>
                <w:szCs w:val="15"/>
                <w:color w:val="auto"/>
              </w:rPr>
              <w:t>1.3</w:t>
            </w:r>
          </w:p>
        </w:tc>
        <w:tc>
          <w:tcPr>
            <w:tcW w:w="180" w:type="dxa"/>
            <w:vAlign w:val="bottom"/>
          </w:tcPr>
          <w:p>
            <w:pPr>
              <w:spacing w:after="0"/>
              <w:rPr>
                <w:sz w:val="17"/>
                <w:szCs w:val="17"/>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7"/>
                <w:szCs w:val="17"/>
                <w:color w:val="auto"/>
              </w:rPr>
            </w:pPr>
          </w:p>
        </w:tc>
        <w:tc>
          <w:tcPr>
            <w:tcW w:w="860" w:type="dxa"/>
            <w:vAlign w:val="bottom"/>
          </w:tcPr>
          <w:p>
            <w:pPr>
              <w:jc w:val="right"/>
              <w:ind w:right="68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6"/>
        </w:trPr>
        <w:tc>
          <w:tcPr>
            <w:tcW w:w="23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on lease liabilities</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0.2</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2"/>
        </w:trPr>
        <w:tc>
          <w:tcPr>
            <w:tcW w:w="234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Operating lease cost</w:t>
            </w:r>
          </w:p>
        </w:tc>
        <w:tc>
          <w:tcPr>
            <w:tcW w:w="29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General and administrative expense,</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Property operating and maintenance,</w:t>
            </w:r>
          </w:p>
        </w:tc>
        <w:tc>
          <w:tcPr>
            <w:tcW w:w="4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vMerge w:val="restart"/>
          </w:tcPr>
          <w:p>
            <w:pPr>
              <w:jc w:val="right"/>
              <w:ind w:right="4"/>
              <w:spacing w:after="0"/>
              <w:rPr>
                <w:sz w:val="20"/>
                <w:szCs w:val="20"/>
                <w:color w:val="auto"/>
              </w:rPr>
            </w:pPr>
            <w:r>
              <w:rPr>
                <w:rFonts w:ascii="Arial" w:cs="Arial" w:eastAsia="Arial" w:hAnsi="Arial"/>
                <w:sz w:val="15"/>
                <w:szCs w:val="15"/>
                <w:color w:val="auto"/>
              </w:rPr>
              <w:t>4.8</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14.7</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gridSpan w:val="2"/>
          </w:tcPr>
          <w:p>
            <w:pPr>
              <w:ind w:left="20"/>
              <w:spacing w:after="0"/>
              <w:rPr>
                <w:sz w:val="20"/>
                <w:szCs w:val="20"/>
                <w:color w:val="auto"/>
              </w:rPr>
            </w:pPr>
            <w:r>
              <w:rPr>
                <w:rFonts w:ascii="Arial" w:cs="Arial" w:eastAsia="Arial" w:hAnsi="Arial"/>
                <w:sz w:val="15"/>
                <w:szCs w:val="15"/>
                <w:color w:val="auto"/>
              </w:rPr>
              <w:t>Depreciation and amortization</w:t>
            </w:r>
          </w:p>
        </w:tc>
        <w:tc>
          <w:tcPr>
            <w:tcW w:w="4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Variable lease cost</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Property operating and maintenance</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w:t>
            </w:r>
          </w:p>
        </w:tc>
        <w:tc>
          <w:tcPr>
            <w:tcW w:w="1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0"/>
        </w:trPr>
        <w:tc>
          <w:tcPr>
            <w:tcW w:w="234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Lease Cost</w:t>
            </w: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4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8.3</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684"/>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Lease term, discount rates and additional information for finance and operating leases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400" w:type="dxa"/>
            <w:vAlign w:val="bottom"/>
          </w:tcPr>
          <w:p>
            <w:pPr>
              <w:spacing w:after="0"/>
              <w:rPr>
                <w:sz w:val="17"/>
                <w:szCs w:val="17"/>
                <w:color w:val="auto"/>
              </w:rPr>
            </w:pPr>
          </w:p>
        </w:tc>
        <w:tc>
          <w:tcPr>
            <w:tcW w:w="1840" w:type="dxa"/>
            <w:vAlign w:val="bottom"/>
          </w:tcPr>
          <w:p>
            <w:pPr>
              <w:ind w:left="740"/>
              <w:spacing w:after="0"/>
              <w:rPr>
                <w:sz w:val="20"/>
                <w:szCs w:val="20"/>
                <w:color w:val="auto"/>
              </w:rPr>
            </w:pPr>
            <w:r>
              <w:rPr>
                <w:rFonts w:ascii="Arial" w:cs="Arial" w:eastAsia="Arial" w:hAnsi="Arial"/>
                <w:sz w:val="15"/>
                <w:szCs w:val="15"/>
                <w:b w:val="1"/>
                <w:bCs w:val="1"/>
                <w:color w:val="auto"/>
              </w:rPr>
              <w:t>As of</w:t>
            </w:r>
          </w:p>
        </w:tc>
      </w:tr>
      <w:tr>
        <w:trPr>
          <w:trHeight w:val="207"/>
        </w:trPr>
        <w:tc>
          <w:tcPr>
            <w:tcW w:w="94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September 30, 2023</w:t>
            </w:r>
          </w:p>
        </w:tc>
      </w:tr>
      <w:tr>
        <w:trPr>
          <w:trHeight w:val="187"/>
        </w:trPr>
        <w:tc>
          <w:tcPr>
            <w:tcW w:w="9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Lease Term and Discount Rate</w:t>
            </w:r>
          </w:p>
        </w:tc>
        <w:tc>
          <w:tcPr>
            <w:tcW w:w="1840" w:type="dxa"/>
            <w:vAlign w:val="bottom"/>
            <w:shd w:val="clear" w:color="auto" w:fill="CCEEFF"/>
          </w:tcPr>
          <w:p>
            <w:pPr>
              <w:spacing w:after="0"/>
              <w:rPr>
                <w:sz w:val="16"/>
                <w:szCs w:val="16"/>
                <w:color w:val="auto"/>
              </w:rPr>
            </w:pPr>
          </w:p>
        </w:tc>
      </w:tr>
      <w:tr>
        <w:trPr>
          <w:trHeight w:val="198"/>
        </w:trPr>
        <w:tc>
          <w:tcPr>
            <w:tcW w:w="9400" w:type="dxa"/>
            <w:vAlign w:val="bottom"/>
          </w:tcPr>
          <w:p>
            <w:pPr>
              <w:ind w:left="20"/>
              <w:spacing w:after="0"/>
              <w:rPr>
                <w:sz w:val="20"/>
                <w:szCs w:val="20"/>
                <w:color w:val="auto"/>
              </w:rPr>
            </w:pPr>
            <w:r>
              <w:rPr>
                <w:rFonts w:ascii="Arial" w:cs="Arial" w:eastAsia="Arial" w:hAnsi="Arial"/>
                <w:sz w:val="15"/>
                <w:szCs w:val="15"/>
                <w:color w:val="auto"/>
              </w:rPr>
              <w:t>Weighted-average Remaining Lease Terms (years)</w:t>
            </w:r>
          </w:p>
        </w:tc>
        <w:tc>
          <w:tcPr>
            <w:tcW w:w="1840" w:type="dxa"/>
            <w:vAlign w:val="bottom"/>
          </w:tcPr>
          <w:p>
            <w:pPr>
              <w:spacing w:after="0"/>
              <w:rPr>
                <w:sz w:val="17"/>
                <w:szCs w:val="17"/>
                <w:color w:val="auto"/>
              </w:rPr>
            </w:pPr>
          </w:p>
        </w:tc>
      </w:tr>
      <w:tr>
        <w:trPr>
          <w:trHeight w:val="207"/>
        </w:trPr>
        <w:tc>
          <w:tcPr>
            <w:tcW w:w="9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w:t>
            </w:r>
          </w:p>
        </w:tc>
        <w:tc>
          <w:tcPr>
            <w:tcW w:w="1840" w:type="dxa"/>
            <w:vAlign w:val="bottom"/>
            <w:shd w:val="clear" w:color="auto" w:fill="CCEEFF"/>
          </w:tcPr>
          <w:p>
            <w:pPr>
              <w:ind w:left="1380"/>
              <w:spacing w:after="0"/>
              <w:rPr>
                <w:sz w:val="20"/>
                <w:szCs w:val="20"/>
                <w:color w:val="auto"/>
              </w:rPr>
            </w:pPr>
            <w:r>
              <w:rPr>
                <w:rFonts w:ascii="Arial" w:cs="Arial" w:eastAsia="Arial" w:hAnsi="Arial"/>
                <w:sz w:val="15"/>
                <w:szCs w:val="15"/>
                <w:color w:val="auto"/>
              </w:rPr>
              <w:t>35.98</w:t>
            </w:r>
          </w:p>
        </w:tc>
      </w:tr>
      <w:tr>
        <w:trPr>
          <w:trHeight w:val="198"/>
        </w:trPr>
        <w:tc>
          <w:tcPr>
            <w:tcW w:w="9400" w:type="dxa"/>
            <w:vAlign w:val="bottom"/>
          </w:tcPr>
          <w:p>
            <w:pPr>
              <w:ind w:left="140"/>
              <w:spacing w:after="0"/>
              <w:rPr>
                <w:sz w:val="20"/>
                <w:szCs w:val="20"/>
                <w:color w:val="auto"/>
              </w:rPr>
            </w:pPr>
            <w:r>
              <w:rPr>
                <w:rFonts w:ascii="Arial" w:cs="Arial" w:eastAsia="Arial" w:hAnsi="Arial"/>
                <w:sz w:val="15"/>
                <w:szCs w:val="15"/>
                <w:color w:val="auto"/>
              </w:rPr>
              <w:t>Operating lease</w:t>
            </w:r>
          </w:p>
        </w:tc>
        <w:tc>
          <w:tcPr>
            <w:tcW w:w="1840" w:type="dxa"/>
            <w:vAlign w:val="bottom"/>
          </w:tcPr>
          <w:p>
            <w:pPr>
              <w:ind w:left="1380"/>
              <w:spacing w:after="0"/>
              <w:rPr>
                <w:sz w:val="20"/>
                <w:szCs w:val="20"/>
                <w:color w:val="auto"/>
              </w:rPr>
            </w:pPr>
            <w:r>
              <w:rPr>
                <w:rFonts w:ascii="Arial" w:cs="Arial" w:eastAsia="Arial" w:hAnsi="Arial"/>
                <w:sz w:val="15"/>
                <w:szCs w:val="15"/>
                <w:color w:val="auto"/>
              </w:rPr>
              <w:t>34.80</w:t>
            </w:r>
          </w:p>
        </w:tc>
      </w:tr>
      <w:tr>
        <w:trPr>
          <w:trHeight w:val="207"/>
        </w:trPr>
        <w:tc>
          <w:tcPr>
            <w:tcW w:w="9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Discount Rate</w:t>
            </w:r>
          </w:p>
        </w:tc>
        <w:tc>
          <w:tcPr>
            <w:tcW w:w="1840" w:type="dxa"/>
            <w:vAlign w:val="bottom"/>
            <w:shd w:val="clear" w:color="auto" w:fill="CCEEFF"/>
          </w:tcPr>
          <w:p>
            <w:pPr>
              <w:spacing w:after="0"/>
              <w:rPr>
                <w:sz w:val="17"/>
                <w:szCs w:val="17"/>
                <w:color w:val="auto"/>
              </w:rPr>
            </w:pPr>
          </w:p>
        </w:tc>
      </w:tr>
      <w:tr>
        <w:trPr>
          <w:trHeight w:val="198"/>
        </w:trPr>
        <w:tc>
          <w:tcPr>
            <w:tcW w:w="9400" w:type="dxa"/>
            <w:vAlign w:val="bottom"/>
          </w:tcPr>
          <w:p>
            <w:pPr>
              <w:ind w:left="140"/>
              <w:spacing w:after="0"/>
              <w:rPr>
                <w:sz w:val="20"/>
                <w:szCs w:val="20"/>
                <w:color w:val="auto"/>
              </w:rPr>
            </w:pPr>
            <w:r>
              <w:rPr>
                <w:rFonts w:ascii="Arial" w:cs="Arial" w:eastAsia="Arial" w:hAnsi="Arial"/>
                <w:sz w:val="15"/>
                <w:szCs w:val="15"/>
                <w:color w:val="auto"/>
              </w:rPr>
              <w:t>Finance lease</w:t>
            </w:r>
          </w:p>
        </w:tc>
        <w:tc>
          <w:tcPr>
            <w:tcW w:w="1840" w:type="dxa"/>
            <w:vAlign w:val="bottom"/>
          </w:tcPr>
          <w:p>
            <w:pPr>
              <w:ind w:left="1380"/>
              <w:spacing w:after="0"/>
              <w:rPr>
                <w:sz w:val="20"/>
                <w:szCs w:val="20"/>
                <w:color w:val="auto"/>
              </w:rPr>
            </w:pPr>
            <w:r>
              <w:rPr>
                <w:rFonts w:ascii="Arial" w:cs="Arial" w:eastAsia="Arial" w:hAnsi="Arial"/>
                <w:sz w:val="15"/>
                <w:szCs w:val="15"/>
                <w:color w:val="auto"/>
                <w:w w:val="94"/>
              </w:rPr>
              <w:t>3.39 %</w:t>
            </w:r>
          </w:p>
        </w:tc>
      </w:tr>
      <w:tr>
        <w:trPr>
          <w:trHeight w:val="207"/>
        </w:trPr>
        <w:tc>
          <w:tcPr>
            <w:tcW w:w="9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lease</w:t>
            </w:r>
          </w:p>
        </w:tc>
        <w:tc>
          <w:tcPr>
            <w:tcW w:w="1840" w:type="dxa"/>
            <w:vAlign w:val="bottom"/>
            <w:shd w:val="clear" w:color="auto" w:fill="CCEEFF"/>
          </w:tcPr>
          <w:p>
            <w:pPr>
              <w:ind w:left="1380"/>
              <w:spacing w:after="0"/>
              <w:rPr>
                <w:sz w:val="20"/>
                <w:szCs w:val="20"/>
                <w:color w:val="auto"/>
              </w:rPr>
            </w:pPr>
            <w:r>
              <w:rPr>
                <w:rFonts w:ascii="Arial" w:cs="Arial" w:eastAsia="Arial" w:hAnsi="Arial"/>
                <w:sz w:val="15"/>
                <w:szCs w:val="15"/>
                <w:color w:val="auto"/>
                <w:w w:val="94"/>
              </w:rPr>
              <w:t>3.78 %</w:t>
            </w:r>
          </w:p>
        </w:tc>
      </w:tr>
    </w:tbl>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4"/>
          </w:tcPr>
          <w:p>
            <w:pPr>
              <w:jc w:val="right"/>
              <w:ind w:right="1044"/>
              <w:spacing w:after="0"/>
              <w:rPr>
                <w:sz w:val="20"/>
                <w:szCs w:val="20"/>
                <w:color w:val="auto"/>
              </w:rPr>
            </w:pPr>
            <w:r>
              <w:rPr>
                <w:rFonts w:ascii="Arial" w:cs="Arial" w:eastAsia="Arial" w:hAnsi="Arial"/>
                <w:sz w:val="15"/>
                <w:szCs w:val="15"/>
                <w:b w:val="1"/>
                <w:bCs w:val="1"/>
                <w:color w:val="auto"/>
              </w:rPr>
              <w:t>Nine Months Ended</w:t>
            </w:r>
          </w:p>
        </w:tc>
      </w:tr>
      <w:tr>
        <w:trPr>
          <w:trHeight w:val="198"/>
        </w:trPr>
        <w:tc>
          <w:tcPr>
            <w:tcW w:w="7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2023</w:t>
            </w:r>
          </w:p>
        </w:tc>
        <w:tc>
          <w:tcPr>
            <w:tcW w:w="160" w:type="dxa"/>
            <w:vAlign w:val="bottom"/>
          </w:tcPr>
          <w:p>
            <w:pPr>
              <w:spacing w:after="0"/>
              <w:rPr>
                <w:sz w:val="17"/>
                <w:szCs w:val="17"/>
                <w:color w:val="auto"/>
              </w:rPr>
            </w:pPr>
          </w:p>
        </w:tc>
        <w:tc>
          <w:tcPr>
            <w:tcW w:w="1580" w:type="dxa"/>
            <w:vAlign w:val="bottom"/>
          </w:tcPr>
          <w:p>
            <w:pPr>
              <w:jc w:val="right"/>
              <w:ind w:right="164"/>
              <w:spacing w:after="0"/>
              <w:rPr>
                <w:sz w:val="20"/>
                <w:szCs w:val="20"/>
                <w:color w:val="auto"/>
              </w:rPr>
            </w:pPr>
            <w:r>
              <w:rPr>
                <w:rFonts w:ascii="Arial" w:cs="Arial" w:eastAsia="Arial" w:hAnsi="Arial"/>
                <w:sz w:val="15"/>
                <w:szCs w:val="15"/>
                <w:b w:val="1"/>
                <w:bCs w:val="1"/>
                <w:color w:val="auto"/>
                <w:w w:val="94"/>
              </w:rPr>
              <w:t>September 30, 2022</w:t>
            </w:r>
          </w:p>
        </w:tc>
      </w:tr>
      <w:tr>
        <w:trPr>
          <w:trHeight w:val="185"/>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Other Information (in millions)</w:t>
            </w:r>
          </w:p>
        </w:tc>
        <w:tc>
          <w:tcPr>
            <w:tcW w:w="16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r>
      <w:tr>
        <w:trPr>
          <w:trHeight w:val="198"/>
        </w:trPr>
        <w:tc>
          <w:tcPr>
            <w:tcW w:w="7680" w:type="dxa"/>
            <w:vAlign w:val="bottom"/>
          </w:tcPr>
          <w:p>
            <w:pPr>
              <w:ind w:left="2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7"/>
        </w:trPr>
        <w:tc>
          <w:tcPr>
            <w:tcW w:w="7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cash flow from 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r>
      <w:tr>
        <w:trPr>
          <w:trHeight w:val="198"/>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Financing cash flow from finance leases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w:t>
            </w:r>
          </w:p>
        </w:tc>
      </w:tr>
      <w:tr>
        <w:trPr>
          <w:trHeight w:val="225"/>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 Cash Paid on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are not the lessor for any finance leases at our MH, RV or Marina properties as of September 30, 2023.</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Nearly all of our operating leases with our residents and customers at our MH and RV properties where we are the lessor are either month-to-month or for a time period not to exceed one year. As of September 30, 2023, future minimum lease payments with our residents or customers would not exceed 12 months.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have any operating leases with real estate operators on our MH properties. At our RV communities and marinas, future minimum lease payments under non-cancellable leases with real estate operators where we are the lessor include the following as of September 30, 2023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Maturity of Lease Payments</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6"/>
              </w:rPr>
              <w:t>Operating Leases</w:t>
            </w:r>
          </w:p>
        </w:tc>
      </w:tr>
      <w:tr>
        <w:trPr>
          <w:trHeight w:val="200"/>
        </w:trPr>
        <w:tc>
          <w:tcPr>
            <w:tcW w:w="9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2023 (excluding the nine months ended September 30, 2023)</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r>
      <w:tr>
        <w:trPr>
          <w:trHeight w:val="199"/>
        </w:trPr>
        <w:tc>
          <w:tcPr>
            <w:tcW w:w="9420" w:type="dxa"/>
            <w:vAlign w:val="bottom"/>
          </w:tcPr>
          <w:p>
            <w:pPr>
              <w:ind w:left="20"/>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20.5</w:t>
            </w:r>
          </w:p>
        </w:tc>
      </w:tr>
      <w:tr>
        <w:trPr>
          <w:trHeight w:val="206"/>
        </w:trPr>
        <w:tc>
          <w:tcPr>
            <w:tcW w:w="9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r>
      <w:tr>
        <w:trPr>
          <w:trHeight w:val="199"/>
        </w:trPr>
        <w:tc>
          <w:tcPr>
            <w:tcW w:w="9420" w:type="dxa"/>
            <w:vAlign w:val="bottom"/>
          </w:tcPr>
          <w:p>
            <w:pPr>
              <w:ind w:left="20"/>
              <w:spacing w:after="0"/>
              <w:rPr>
                <w:sz w:val="20"/>
                <w:szCs w:val="20"/>
                <w:color w:val="auto"/>
              </w:rPr>
            </w:pPr>
            <w:r>
              <w:rPr>
                <w:rFonts w:ascii="Arial" w:cs="Arial" w:eastAsia="Arial" w:hAnsi="Arial"/>
                <w:sz w:val="15"/>
                <w:szCs w:val="15"/>
                <w:color w:val="auto"/>
              </w:rPr>
              <w:t>2026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06"/>
        </w:trPr>
        <w:tc>
          <w:tcPr>
            <w:tcW w:w="9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r>
      <w:tr>
        <w:trPr>
          <w:trHeight w:val="199"/>
        </w:trPr>
        <w:tc>
          <w:tcPr>
            <w:tcW w:w="95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Thereafter</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58.6</w:t>
            </w:r>
          </w:p>
        </w:tc>
      </w:tr>
      <w:tr>
        <w:trPr>
          <w:trHeight w:val="225"/>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 Undiscounted Cash Flows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110.8</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income for our operating leases, as included in our Consolidated Statement of Operations are as follows (in millions):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20" w:right="80" w:firstLine="623"/>
        <w:spacing w:after="0" w:line="425" w:lineRule="auto"/>
        <w:rPr>
          <w:sz w:val="20"/>
          <w:szCs w:val="20"/>
          <w:color w:val="auto"/>
        </w:rPr>
      </w:pPr>
      <w:r>
        <w:rPr>
          <w:rFonts w:ascii="Arial" w:cs="Arial" w:eastAsia="Arial" w:hAnsi="Arial"/>
          <w:sz w:val="13"/>
          <w:szCs w:val="13"/>
          <w:b w:val="1"/>
          <w:bCs w:val="1"/>
          <w:color w:val="auto"/>
        </w:rPr>
        <w:t>Description Operating Leases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Fixed lease income</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3"/>
          <w:szCs w:val="13"/>
          <w:color w:val="auto"/>
        </w:rPr>
        <w:t>Variable lease income</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5"/>
                <w:szCs w:val="15"/>
                <w:b w:val="1"/>
                <w:bCs w:val="1"/>
                <w:color w:val="auto"/>
              </w:rPr>
              <w:t>Three Months Ended</w:t>
            </w:r>
          </w:p>
        </w:tc>
        <w:tc>
          <w:tcPr>
            <w:tcW w:w="5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5"/>
                <w:szCs w:val="15"/>
                <w:b w:val="1"/>
                <w:bCs w:val="1"/>
                <w:color w:val="auto"/>
              </w:rPr>
              <w:t>Nine Months Ended</w:t>
            </w:r>
          </w:p>
        </w:tc>
        <w:tc>
          <w:tcPr>
            <w:tcW w:w="580" w:type="dxa"/>
            <w:vAlign w:val="bottom"/>
            <w:tcBorders>
              <w:bottom w:val="single" w:sz="8" w:color="auto"/>
            </w:tcBorders>
          </w:tcPr>
          <w:p>
            <w:pPr>
              <w:spacing w:after="0"/>
              <w:rPr>
                <w:sz w:val="17"/>
                <w:szCs w:val="17"/>
                <w:color w:val="auto"/>
              </w:rPr>
            </w:pPr>
          </w:p>
        </w:tc>
      </w:tr>
      <w:tr>
        <w:trPr>
          <w:trHeight w:val="200"/>
        </w:trPr>
        <w:tc>
          <w:tcPr>
            <w:tcW w:w="290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Financial Statement Classification</w:t>
            </w:r>
          </w:p>
        </w:tc>
        <w:tc>
          <w:tcPr>
            <w:tcW w:w="80" w:type="dxa"/>
            <w:vAlign w:val="bottom"/>
          </w:tcPr>
          <w:p>
            <w:pPr>
              <w:spacing w:after="0"/>
              <w:rPr>
                <w:sz w:val="17"/>
                <w:szCs w:val="17"/>
                <w:color w:val="auto"/>
              </w:rPr>
            </w:pPr>
          </w:p>
        </w:tc>
        <w:tc>
          <w:tcPr>
            <w:tcW w:w="14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95"/>
              </w:rPr>
              <w:t>September 30, 2023</w:t>
            </w:r>
          </w:p>
        </w:tc>
        <w:tc>
          <w:tcPr>
            <w:tcW w:w="80" w:type="dxa"/>
            <w:vAlign w:val="bottom"/>
          </w:tcPr>
          <w:p>
            <w:pPr>
              <w:spacing w:after="0"/>
              <w:rPr>
                <w:sz w:val="17"/>
                <w:szCs w:val="17"/>
                <w:color w:val="auto"/>
              </w:rPr>
            </w:pPr>
          </w:p>
        </w:tc>
        <w:tc>
          <w:tcPr>
            <w:tcW w:w="14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95"/>
              </w:rPr>
              <w:t>September 30, 2022</w:t>
            </w:r>
          </w:p>
        </w:tc>
        <w:tc>
          <w:tcPr>
            <w:tcW w:w="200" w:type="dxa"/>
            <w:vAlign w:val="bottom"/>
          </w:tcPr>
          <w:p>
            <w:pPr>
              <w:spacing w:after="0"/>
              <w:rPr>
                <w:sz w:val="17"/>
                <w:szCs w:val="17"/>
                <w:color w:val="auto"/>
              </w:rPr>
            </w:pPr>
          </w:p>
        </w:tc>
        <w:tc>
          <w:tcPr>
            <w:tcW w:w="146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97"/>
              </w:rPr>
              <w:t>September 30, 2023</w:t>
            </w:r>
          </w:p>
        </w:tc>
        <w:tc>
          <w:tcPr>
            <w:tcW w:w="80" w:type="dxa"/>
            <w:vAlign w:val="bottom"/>
          </w:tcPr>
          <w:p>
            <w:pPr>
              <w:spacing w:after="0"/>
              <w:rPr>
                <w:sz w:val="17"/>
                <w:szCs w:val="17"/>
                <w:color w:val="auto"/>
              </w:rPr>
            </w:pPr>
          </w:p>
        </w:tc>
        <w:tc>
          <w:tcPr>
            <w:tcW w:w="14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95"/>
              </w:rPr>
              <w:t>September 30, 2022</w:t>
            </w:r>
          </w:p>
        </w:tc>
      </w:tr>
      <w:tr>
        <w:trPr>
          <w:trHeight w:val="347"/>
        </w:trPr>
        <w:tc>
          <w:tcPr>
            <w:tcW w:w="2980" w:type="dxa"/>
            <w:vAlign w:val="bottom"/>
            <w:gridSpan w:val="2"/>
          </w:tcPr>
          <w:p>
            <w:pPr>
              <w:ind w:left="20"/>
              <w:spacing w:after="0"/>
              <w:rPr>
                <w:sz w:val="20"/>
                <w:szCs w:val="20"/>
                <w:color w:val="auto"/>
              </w:rPr>
            </w:pPr>
            <w:r>
              <w:rPr>
                <w:rFonts w:ascii="Arial" w:cs="Arial" w:eastAsia="Arial" w:hAnsi="Arial"/>
                <w:sz w:val="15"/>
                <w:szCs w:val="15"/>
                <w:color w:val="auto"/>
              </w:rPr>
              <w:t>Income from real property; Brokerage</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8"/>
        </w:trPr>
        <w:tc>
          <w:tcPr>
            <w:tcW w:w="2980" w:type="dxa"/>
            <w:vAlign w:val="bottom"/>
            <w:gridSpan w:val="2"/>
          </w:tcPr>
          <w:p>
            <w:pPr>
              <w:ind w:left="20"/>
              <w:spacing w:after="0"/>
              <w:rPr>
                <w:sz w:val="20"/>
                <w:szCs w:val="20"/>
                <w:color w:val="auto"/>
              </w:rPr>
            </w:pPr>
            <w:r>
              <w:rPr>
                <w:rFonts w:ascii="Arial" w:cs="Arial" w:eastAsia="Arial" w:hAnsi="Arial"/>
                <w:sz w:val="15"/>
                <w:szCs w:val="15"/>
                <w:color w:val="auto"/>
              </w:rPr>
              <w:t>commissions and other revenue, net</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10.8</w:t>
            </w:r>
          </w:p>
        </w:tc>
        <w:tc>
          <w:tcPr>
            <w:tcW w:w="80" w:type="dxa"/>
            <w:vAlign w:val="bottom"/>
          </w:tcPr>
          <w:p>
            <w:pPr>
              <w:spacing w:after="0"/>
              <w:rPr>
                <w:sz w:val="18"/>
                <w:szCs w:val="18"/>
                <w:color w:val="auto"/>
              </w:rPr>
            </w:pPr>
          </w:p>
        </w:tc>
        <w:tc>
          <w:tcPr>
            <w:tcW w:w="920" w:type="dxa"/>
            <w:vAlign w:val="bottom"/>
          </w:tcPr>
          <w:p>
            <w:pPr>
              <w:jc w:val="right"/>
              <w:ind w:right="744"/>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7.0</w:t>
            </w:r>
          </w:p>
        </w:tc>
        <w:tc>
          <w:tcPr>
            <w:tcW w:w="200" w:type="dxa"/>
            <w:vAlign w:val="bottom"/>
          </w:tcPr>
          <w:p>
            <w:pPr>
              <w:spacing w:after="0"/>
              <w:rPr>
                <w:sz w:val="18"/>
                <w:szCs w:val="18"/>
                <w:color w:val="auto"/>
              </w:rPr>
            </w:pPr>
          </w:p>
        </w:tc>
        <w:tc>
          <w:tcPr>
            <w:tcW w:w="480" w:type="dxa"/>
            <w:vAlign w:val="bottom"/>
          </w:tcPr>
          <w:p>
            <w:pPr>
              <w:jc w:val="right"/>
              <w:ind w:right="30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24.0</w:t>
            </w:r>
          </w:p>
        </w:tc>
        <w:tc>
          <w:tcPr>
            <w:tcW w:w="80" w:type="dxa"/>
            <w:vAlign w:val="bottom"/>
          </w:tcPr>
          <w:p>
            <w:pPr>
              <w:spacing w:after="0"/>
              <w:rPr>
                <w:sz w:val="18"/>
                <w:szCs w:val="18"/>
                <w:color w:val="auto"/>
              </w:rPr>
            </w:pPr>
          </w:p>
        </w:tc>
        <w:tc>
          <w:tcPr>
            <w:tcW w:w="860" w:type="dxa"/>
            <w:vAlign w:val="bottom"/>
          </w:tcPr>
          <w:p>
            <w:pPr>
              <w:jc w:val="right"/>
              <w:ind w:right="68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21.0</w:t>
            </w:r>
          </w:p>
        </w:tc>
      </w:tr>
      <w:tr>
        <w:trPr>
          <w:trHeight w:val="157"/>
        </w:trPr>
        <w:tc>
          <w:tcPr>
            <w:tcW w:w="2980" w:type="dxa"/>
            <w:vAlign w:val="bottom"/>
            <w:gridSpan w:val="2"/>
          </w:tcPr>
          <w:p>
            <w:pPr>
              <w:ind w:left="20"/>
              <w:spacing w:after="0" w:line="157" w:lineRule="exact"/>
              <w:rPr>
                <w:sz w:val="20"/>
                <w:szCs w:val="20"/>
                <w:color w:val="auto"/>
              </w:rPr>
            </w:pPr>
            <w:r>
              <w:rPr>
                <w:rFonts w:ascii="Arial" w:cs="Arial" w:eastAsia="Arial" w:hAnsi="Arial"/>
                <w:sz w:val="15"/>
                <w:szCs w:val="15"/>
                <w:color w:val="auto"/>
              </w:rPr>
              <w:t>Income from real property; Brokerage</w:t>
            </w: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08"/>
        </w:trPr>
        <w:tc>
          <w:tcPr>
            <w:tcW w:w="2980" w:type="dxa"/>
            <w:vAlign w:val="bottom"/>
            <w:gridSpan w:val="2"/>
          </w:tcPr>
          <w:p>
            <w:pPr>
              <w:ind w:left="20"/>
              <w:spacing w:after="0"/>
              <w:rPr>
                <w:sz w:val="20"/>
                <w:szCs w:val="20"/>
                <w:color w:val="auto"/>
              </w:rPr>
            </w:pPr>
            <w:r>
              <w:rPr>
                <w:rFonts w:ascii="Arial" w:cs="Arial" w:eastAsia="Arial" w:hAnsi="Arial"/>
                <w:sz w:val="15"/>
                <w:szCs w:val="15"/>
                <w:color w:val="auto"/>
              </w:rPr>
              <w:t>commissions and other revenue, net</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0.8</w:t>
            </w:r>
          </w:p>
        </w:tc>
        <w:tc>
          <w:tcPr>
            <w:tcW w:w="80" w:type="dxa"/>
            <w:vAlign w:val="bottom"/>
          </w:tcPr>
          <w:p>
            <w:pPr>
              <w:spacing w:after="0"/>
              <w:rPr>
                <w:sz w:val="18"/>
                <w:szCs w:val="18"/>
                <w:color w:val="auto"/>
              </w:rPr>
            </w:pPr>
          </w:p>
        </w:tc>
        <w:tc>
          <w:tcPr>
            <w:tcW w:w="920" w:type="dxa"/>
            <w:vAlign w:val="bottom"/>
          </w:tcPr>
          <w:p>
            <w:pPr>
              <w:jc w:val="right"/>
              <w:ind w:right="744"/>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0.8</w:t>
            </w:r>
          </w:p>
        </w:tc>
        <w:tc>
          <w:tcPr>
            <w:tcW w:w="200" w:type="dxa"/>
            <w:vAlign w:val="bottom"/>
          </w:tcPr>
          <w:p>
            <w:pPr>
              <w:spacing w:after="0"/>
              <w:rPr>
                <w:sz w:val="18"/>
                <w:szCs w:val="18"/>
                <w:color w:val="auto"/>
              </w:rPr>
            </w:pPr>
          </w:p>
        </w:tc>
        <w:tc>
          <w:tcPr>
            <w:tcW w:w="480" w:type="dxa"/>
            <w:vAlign w:val="bottom"/>
          </w:tcPr>
          <w:p>
            <w:pPr>
              <w:jc w:val="right"/>
              <w:ind w:right="30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8"/>
                <w:szCs w:val="18"/>
                <w:color w:val="auto"/>
              </w:rPr>
            </w:pPr>
          </w:p>
        </w:tc>
        <w:tc>
          <w:tcPr>
            <w:tcW w:w="860" w:type="dxa"/>
            <w:vAlign w:val="bottom"/>
          </w:tcPr>
          <w:p>
            <w:pPr>
              <w:jc w:val="right"/>
              <w:ind w:right="68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-226060</wp:posOffset>
            </wp:positionV>
            <wp:extent cx="7132320" cy="231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-594360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1480" w:space="640"/>
            <w:col w:w="9120"/>
          </w:cols>
          <w:pgMar w:left="320" w:top="126" w:right="339" w:bottom="1440" w:gutter="0" w:footer="0" w:header="0"/>
          <w:type w:val="continuous"/>
        </w:sectPr>
      </w:pPr>
    </w:p>
    <w:p>
      <w:pPr>
        <w:ind w:left="160" w:hanging="152"/>
        <w:spacing w:after="0"/>
        <w:tabs>
          <w:tab w:leader="none" w:pos="160"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color w:val="auto"/>
        </w:rPr>
        <w:t>Consists of rent primarily based on a percentage of acquisition costs and net operating income.</w:t>
      </w:r>
    </w:p>
    <w:p>
      <w:pPr>
        <w:sectPr>
          <w:pgSz w:w="11900" w:h="16838" w:orient="portrait"/>
          <w:cols w:equalWidth="0" w:num="1">
            <w:col w:w="1124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Failed Sale Leaseback</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our acquisition of Park Holidays, we assumed ground lease arrangements for 34 UK properties that we concluded to be failed sale-leaseback transactions under ASC Topic 842, "</w:t>
      </w:r>
      <w:r>
        <w:rPr>
          <w:rFonts w:ascii="Arial" w:cs="Arial" w:eastAsia="Arial" w:hAnsi="Arial"/>
          <w:sz w:val="16"/>
          <w:szCs w:val="16"/>
          <w:i w:val="1"/>
          <w:iCs w:val="1"/>
          <w:color w:val="auto"/>
        </w:rPr>
        <w:t>Leases</w:t>
      </w:r>
      <w:r>
        <w:rPr>
          <w:rFonts w:ascii="Arial" w:cs="Arial" w:eastAsia="Arial" w:hAnsi="Arial"/>
          <w:sz w:val="16"/>
          <w:szCs w:val="16"/>
          <w:color w:val="auto"/>
        </w:rPr>
        <w:t>." The arrangements have maturities ranging from 2117 through 2197 with an option to repurchase for £1.00 at the end of the term. The obligation related to the underlying ground leases has been recorded as a financial liability in Other Liabilities on the Consolidated Balance Sheets. The financial liability was $344.4 million and $339.7 million as of September 30, 2023 and December 31, 2022, respectively. The following table presents the future minimum rental payments for this financial liability as of September 30, 2023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Maturity of Financial Liability</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4"/>
              </w:rPr>
              <w:t>September 30, 2023</w:t>
            </w:r>
          </w:p>
        </w:tc>
      </w:tr>
      <w:tr>
        <w:trPr>
          <w:trHeight w:val="200"/>
        </w:trPr>
        <w:tc>
          <w:tcPr>
            <w:tcW w:w="9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2023 (excluding nine months ended September 30, 2023)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198"/>
        </w:trPr>
        <w:tc>
          <w:tcPr>
            <w:tcW w:w="9420" w:type="dxa"/>
            <w:vAlign w:val="bottom"/>
          </w:tcPr>
          <w:p>
            <w:pPr>
              <w:ind w:left="20"/>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11.4</w:t>
            </w:r>
          </w:p>
        </w:tc>
      </w:tr>
      <w:tr>
        <w:trPr>
          <w:trHeight w:val="207"/>
        </w:trPr>
        <w:tc>
          <w:tcPr>
            <w:tcW w:w="9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r>
      <w:tr>
        <w:trPr>
          <w:trHeight w:val="198"/>
        </w:trPr>
        <w:tc>
          <w:tcPr>
            <w:tcW w:w="9420" w:type="dxa"/>
            <w:vAlign w:val="bottom"/>
          </w:tcPr>
          <w:p>
            <w:pPr>
              <w:ind w:left="20"/>
              <w:spacing w:after="0"/>
              <w:rPr>
                <w:sz w:val="20"/>
                <w:szCs w:val="20"/>
                <w:color w:val="auto"/>
              </w:rPr>
            </w:pPr>
            <w:r>
              <w:rPr>
                <w:rFonts w:ascii="Arial" w:cs="Arial" w:eastAsia="Arial" w:hAnsi="Arial"/>
                <w:sz w:val="15"/>
                <w:szCs w:val="15"/>
                <w:color w:val="auto"/>
              </w:rPr>
              <w:t>2026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11.6</w:t>
            </w:r>
          </w:p>
        </w:tc>
      </w:tr>
      <w:tr>
        <w:trPr>
          <w:trHeight w:val="207"/>
        </w:trPr>
        <w:tc>
          <w:tcPr>
            <w:tcW w:w="9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r>
      <w:tr>
        <w:trPr>
          <w:trHeight w:val="198"/>
        </w:trPr>
        <w:tc>
          <w:tcPr>
            <w:tcW w:w="95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Thereafter</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1,697.8</w:t>
            </w:r>
          </w:p>
        </w:tc>
      </w:tr>
      <w:tr>
        <w:trPr>
          <w:trHeight w:val="200"/>
        </w:trPr>
        <w:tc>
          <w:tcPr>
            <w:tcW w:w="95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1,746.8</w:t>
            </w:r>
          </w:p>
        </w:tc>
      </w:tr>
      <w:tr>
        <w:trPr>
          <w:trHeight w:val="198"/>
        </w:trPr>
        <w:tc>
          <w:tcPr>
            <w:tcW w:w="95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Less: Imputed interest</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(1,402.4)</w:t>
            </w:r>
          </w:p>
        </w:tc>
      </w:tr>
      <w:tr>
        <w:trPr>
          <w:trHeight w:val="225"/>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Present Value of Financial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344.4</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2020, the FASB issued ASU 2020-04, "</w:t>
      </w:r>
      <w:r>
        <w:rPr>
          <w:rFonts w:ascii="Arial" w:cs="Arial" w:eastAsia="Arial" w:hAnsi="Arial"/>
          <w:sz w:val="17"/>
          <w:szCs w:val="17"/>
          <w:i w:val="1"/>
          <w:iCs w:val="1"/>
          <w:color w:val="auto"/>
        </w:rPr>
        <w:t>Reference Rate Reform (Topic 848) -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which provides optional guidance for accounting for contracts, hedging relationships and other transactions affected by the reference rate</w:t>
      </w:r>
      <w:r>
        <w:rPr>
          <w:rFonts w:ascii="Arial" w:cs="Arial" w:eastAsia="Arial" w:hAnsi="Arial"/>
          <w:sz w:val="17"/>
          <w:szCs w:val="17"/>
          <w:i w:val="1"/>
          <w:iCs w:val="1"/>
          <w:color w:val="auto"/>
        </w:rPr>
        <w:t xml:space="preserve"> </w:t>
      </w:r>
      <w:r>
        <w:rPr>
          <w:rFonts w:ascii="Arial" w:cs="Arial" w:eastAsia="Arial" w:hAnsi="Arial"/>
          <w:sz w:val="17"/>
          <w:szCs w:val="17"/>
          <w:color w:val="auto"/>
        </w:rPr>
        <w:t>reform, if certain criteria are met. The provisions of this standard were available for election through December 31, 2022. In December 2022, the FASB issued ASU 2022-06, "</w:t>
      </w:r>
      <w:r>
        <w:rPr>
          <w:rFonts w:ascii="Arial" w:cs="Arial" w:eastAsia="Arial" w:hAnsi="Arial"/>
          <w:sz w:val="17"/>
          <w:szCs w:val="17"/>
          <w:i w:val="1"/>
          <w:iCs w:val="1"/>
          <w:color w:val="auto"/>
        </w:rPr>
        <w:t>Reference Rate Reform (Topic 848) - Deferral of the Sunset Date of Topic 848</w:t>
      </w:r>
      <w:r>
        <w:rPr>
          <w:rFonts w:ascii="Arial" w:cs="Arial" w:eastAsia="Arial" w:hAnsi="Arial"/>
          <w:sz w:val="17"/>
          <w:szCs w:val="17"/>
          <w:color w:val="auto"/>
        </w:rPr>
        <w:t>," which defers the sunset date for Topic 848 from December 31, 2022 to December 31, 2024, after which entities will no longer be permitted to apply the relief in Topic 848. As of September 30, 2023, all of our debt and derivative instruments have been converted from LIBOR to alternative reference rates. The adoption of this ASU did not have a material impact on our Consolidated Financial Statements as the majority of our debt has fixed interest rates.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2023, we sold our 41.8 million share position in Ingenia Communities Group (ASX: INA), generating $102.5 million of proceeds, net of underwriting and other estimated fees, with an estimated realized loss of $9.0 million. The proceeds were used to pay down amounts drawn under our Senior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October 2023, we entered into an interest rate swap contract to hedge variable rate borrowings of $25.0 million under the term loan of the Senior Credit Facility. The interest rate swap locks in a weighted average SOFR rate of 4.684%, and inclusive of spread, an all-in rate of 5.594% through the term loan maturity date of April 7, 2026.</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2023, we terminated one $50.0 million SOFR swap and received a cash settlement payment of $6.0 million. As of September 30, 2023, the net accumulated gain is included in Accumulated other comprehensive income on our Consolidated Balance Sheets, and will be amortized as a reduction to Interest expense over the term of the hedged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Debt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2023, we entered into new mortgage term loans for $252.8 million that mature in November 2030 and bear interest at a fixed rate of 6.49%. As a result of the new mortgage term loans, two additional properties are encumbered. We used the proceeds to repay $117.8 million of mortgage term loans that mature in 2023 and pay down amounts drawn under our Senior Credit Facility. The effective interest rate on the new mortgage term loans is 6.251%, inclusive of the impact of the aforementioned terminated swap of $50.0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our Consolidated Financial Statements for subsequent events through the date that this Form 10-Q was issued.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of the consolidated financial condition and results of operations should be read in conjunction with the Consolidated Financial Statements and the accompanying Notes, along with our 2022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fully integrated REIT. As of September 30, 2023, we owned and operated, directly or indirectly, or had an interest in, a portfolio of 670 developed properties located in the U.S., the UK and Canada, including 353 MH communities, 182 RV communities and 135 marinas. We have been in the business of acquiring, operating, developing and expanding MH and RV communities since 1975 and marinas since 2020. We lease individual sites with utilities access for placement of manufactured homes, RVs or boats to our customers. In the U.S., we are also engaged in the marketing, selling and leasing of new and pre-owned homes to current and future residents in our MH communities. In the UK, we also provide holiday home sales and associated site license activities to holiday homeowners in our MH communities. The Rental Program operations within our MH communities support and enhance our occupancy levels, property performance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Annual Report on Form 10-K for the year ended December 31,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 / amortization of real estate assets. In addition, NOI and FFO are commonly used in various ratios, pricing multiples / yields and returns and valuation calculations used to measure financial position, performance and value.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NOI</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Total Portfolio NOI - </w:t>
      </w:r>
      <w:r>
        <w:rPr>
          <w:rFonts w:ascii="Arial" w:cs="Arial" w:eastAsia="Arial" w:hAnsi="Arial"/>
          <w:sz w:val="18"/>
          <w:szCs w:val="18"/>
          <w:color w:val="auto"/>
        </w:rPr>
        <w:t>NOI is derived from property operating revenues minus property operating expenses and real estate taxes. NOI is a non-GAAP</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 / 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 We believe that NOI provides enhanced comparability for investor evaluation of properties' performance and growth over time.</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Same Property NOI </w:t>
      </w:r>
      <w:r>
        <w:rPr>
          <w:rFonts w:ascii="Arial" w:cs="Arial" w:eastAsia="Arial" w:hAnsi="Arial"/>
          <w:sz w:val="16"/>
          <w:szCs w:val="16"/>
          <w:color w:val="auto"/>
        </w:rPr>
        <w:t>- This is a management tool used when evaluating performance and growth of our Same Property portfolio. We define same</w:t>
      </w:r>
      <w:r>
        <w:rPr>
          <w:rFonts w:ascii="Arial" w:cs="Arial" w:eastAsia="Arial" w:hAnsi="Arial"/>
          <w:sz w:val="16"/>
          <w:szCs w:val="16"/>
          <w:b w:val="1"/>
          <w:bCs w:val="1"/>
          <w:color w:val="auto"/>
        </w:rPr>
        <w:t xml:space="preserve"> </w:t>
      </w:r>
      <w:r>
        <w:rPr>
          <w:rFonts w:ascii="Arial" w:cs="Arial" w:eastAsia="Arial" w:hAnsi="Arial"/>
          <w:sz w:val="16"/>
          <w:szCs w:val="16"/>
          <w:color w:val="auto"/>
        </w:rPr>
        <w:t>properties as those we have owned and operated continuously since January 1, 2022. Same properties exclude ground-up development properties, acquired properties and properties sold after December 31, 2021. The Same Property data may change from time-to-time depending on acquisitions, dispositions, management discretion, significant transactions or unique situations. Same Property NOI does not include the revenues and expenses related to home sales, and service, retail, dining and entertainment activities at the properties. We believe that Same Property NOI is helpful to investors as a supplemental comparative performance measure of the income generated from the Same Property portfolio from one period to the next.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FFO</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FFO is defined by the National Association of Real Estate Investment Trusts ("NAREIT") as GAAP net income (loss), excluding gains (or losses) from sales of depreciable operating property, plus real estate related depreciation and amortization, real estate related impairments,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real estate related to impairment and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Core FFO - In addition, we use FFO excluding certain gain and loss items that management considers unrelated to the operational and financial performance of our core business ("Core FFO").</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FFO and Core FFO provide enhanced comparability for investor evaluations of period-over-period results. We believe that GAAP net income (loss) is the most directly comparable measure to FFO. The principal limitation of FFO is that it does not replace GAAP net income (loss) as a financial performance measure or GAAP cash flow from operating activities as a measure of our liquidity. Because FFO excludes significant economic components of GAAP net income (loss) including depreciation and amortization, FFO should be used as a supplement to GAAP net income (loss) and not as an alternative to it. Furthermore,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Catastrophic Event-Related Charges - Hurricane Ian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2022, Hurricane Ian made landfall on Florida's western coast. The storm primarily affected three properties in the Fort Myers area, comprising approximately 2,500 sites. These properties sustained significant flooding and wind damage from the hurricane. At other affected MH and RV properties, most of the damage was limited to trees, roofs, fences, skirting and carports. At affected marina properties, docks, buildings, and landscaping sustained wind and water damage.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property, casualty, flood and business interruption insurance for our community portfolio, subject to customary deductibles and limits. As of September 30, 2023, estimated insurance recoveries, excluding business interruption recoveries, of $52.2 million related to Hurricane Ian were recorded in Notes and other receivables, net on the Consolidated Balance Sheets.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Changes in estimated insurance recoveries related to Hurricane Ian during the nine months ended September 30, 2023 were primarily the result of $45.0 million of incremental costs that exceeded the applicable deductible, net of a $4.8 million reduction due to a decrease in estimated property losses. The foregoing estimates are based on current information available, and we continue to assess these estimates. Actual charges and insurance recoveries could vary significantly from these estimates. Any changes to these estimates will be recognized in the period(s) in which they are determined.</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actively working with our insurance providers on claims for business interruption recoveries. During the three months ended September 30, 2023, we received and recognized $12.9 million, net of deductibles, for the lost earnings covering the date of the hurricane event through April 30, 2023. These recoveries were included in Brokerage commissions and other, net on our Consolidated Statements of Operations during the three months ended September 30, 2023. The related communities are under redevelopment. As such, we currently cannot estimate a date when operating results will be restored to pre-hurricane levels. Our business interruption insurance policy provides for up to 60 months of coverage from the date of restoration.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reconcile the Net income attributable to SUI common shareholders to NOI and summarize our consolidated financial results for the three and nine months ended September 30, 2023 and 2022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Three Months Ended</w:t>
            </w:r>
          </w:p>
        </w:tc>
        <w:tc>
          <w:tcPr>
            <w:tcW w:w="5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Nine Months Ended</w:t>
            </w:r>
          </w:p>
        </w:tc>
        <w:tc>
          <w:tcPr>
            <w:tcW w:w="640" w:type="dxa"/>
            <w:vAlign w:val="bottom"/>
            <w:tcBorders>
              <w:bottom w:val="single" w:sz="8" w:color="auto"/>
            </w:tcBorders>
          </w:tcPr>
          <w:p>
            <w:pPr>
              <w:spacing w:after="0"/>
              <w:rPr>
                <w:sz w:val="17"/>
                <w:szCs w:val="17"/>
                <w:color w:val="auto"/>
              </w:rPr>
            </w:pPr>
          </w:p>
        </w:tc>
      </w:tr>
      <w:tr>
        <w:trPr>
          <w:trHeight w:val="198"/>
        </w:trPr>
        <w:tc>
          <w:tcPr>
            <w:tcW w:w="5400" w:type="dxa"/>
            <w:vAlign w:val="bottom"/>
          </w:tcPr>
          <w:p>
            <w:pPr>
              <w:spacing w:after="0"/>
              <w:rPr>
                <w:sz w:val="17"/>
                <w:szCs w:val="17"/>
                <w:color w:val="auto"/>
              </w:rPr>
            </w:pPr>
          </w:p>
        </w:tc>
        <w:tc>
          <w:tcPr>
            <w:tcW w:w="1440" w:type="dxa"/>
            <w:vAlign w:val="bottom"/>
            <w:gridSpan w:val="3"/>
          </w:tcPr>
          <w:p>
            <w:pPr>
              <w:ind w:left="40"/>
              <w:spacing w:after="0"/>
              <w:rPr>
                <w:sz w:val="20"/>
                <w:szCs w:val="20"/>
                <w:color w:val="auto"/>
              </w:rPr>
            </w:pPr>
            <w:r>
              <w:rPr>
                <w:rFonts w:ascii="Arial" w:cs="Arial" w:eastAsia="Arial" w:hAnsi="Arial"/>
                <w:sz w:val="15"/>
                <w:szCs w:val="15"/>
                <w:b w:val="1"/>
                <w:bCs w:val="1"/>
                <w:color w:val="auto"/>
                <w:w w:val="98"/>
              </w:rPr>
              <w:t>September 30, 2023</w:t>
            </w:r>
          </w:p>
        </w:tc>
        <w:tc>
          <w:tcPr>
            <w:tcW w:w="1380" w:type="dxa"/>
            <w:vAlign w:val="bottom"/>
            <w:gridSpan w:val="2"/>
          </w:tcPr>
          <w:p>
            <w:pPr>
              <w:jc w:val="right"/>
              <w:spacing w:after="0"/>
              <w:rPr>
                <w:sz w:val="20"/>
                <w:szCs w:val="20"/>
                <w:color w:val="auto"/>
              </w:rPr>
            </w:pPr>
            <w:r>
              <w:rPr>
                <w:rFonts w:ascii="Arial" w:cs="Arial" w:eastAsia="Arial" w:hAnsi="Arial"/>
                <w:sz w:val="15"/>
                <w:szCs w:val="15"/>
                <w:b w:val="1"/>
                <w:bCs w:val="1"/>
                <w:color w:val="auto"/>
                <w:w w:val="92"/>
              </w:rPr>
              <w:t>September 30, 2022</w:t>
            </w:r>
          </w:p>
        </w:tc>
        <w:tc>
          <w:tcPr>
            <w:tcW w:w="18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Arial" w:cs="Arial" w:eastAsia="Arial" w:hAnsi="Arial"/>
                <w:sz w:val="15"/>
                <w:szCs w:val="15"/>
                <w:b w:val="1"/>
                <w:bCs w:val="1"/>
                <w:color w:val="auto"/>
                <w:w w:val="98"/>
              </w:rPr>
              <w:t>September 30, 2023</w:t>
            </w:r>
          </w:p>
        </w:tc>
        <w:tc>
          <w:tcPr>
            <w:tcW w:w="138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September 30, 2022</w:t>
            </w:r>
          </w:p>
        </w:tc>
      </w:tr>
      <w:tr>
        <w:trPr>
          <w:trHeight w:val="198"/>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Attributable to SUI Common Shareholders</w:t>
            </w:r>
          </w:p>
        </w:tc>
        <w:tc>
          <w:tcPr>
            <w:tcW w:w="40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163.1</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4"/>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162.6</w:t>
            </w: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222.8</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237.3</w:t>
            </w:r>
          </w:p>
        </w:tc>
      </w:tr>
      <w:tr>
        <w:trPr>
          <w:trHeight w:val="198"/>
        </w:trPr>
        <w:tc>
          <w:tcPr>
            <w:tcW w:w="540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(15.2)</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(11.2)</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(40.6)</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(25.3)</w:t>
            </w:r>
          </w:p>
        </w:tc>
      </w:tr>
      <w:tr>
        <w:trPr>
          <w:trHeight w:val="207"/>
        </w:trPr>
        <w:tc>
          <w:tcPr>
            <w:tcW w:w="5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Brokerage commissions and other revenues, net</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w:t>
            </w:r>
          </w:p>
        </w:tc>
      </w:tr>
      <w:tr>
        <w:trPr>
          <w:trHeight w:val="198"/>
        </w:trPr>
        <w:tc>
          <w:tcPr>
            <w:tcW w:w="5400" w:type="dxa"/>
            <w:vAlign w:val="bottom"/>
          </w:tcPr>
          <w:p>
            <w:pPr>
              <w:ind w:left="220"/>
              <w:spacing w:after="0"/>
              <w:rPr>
                <w:sz w:val="20"/>
                <w:szCs w:val="20"/>
                <w:color w:val="auto"/>
              </w:rPr>
            </w:pPr>
            <w:r>
              <w:rPr>
                <w:rFonts w:ascii="Arial" w:cs="Arial" w:eastAsia="Arial" w:hAnsi="Arial"/>
                <w:sz w:val="15"/>
                <w:szCs w:val="15"/>
                <w:color w:val="auto"/>
              </w:rPr>
              <w:t>General and administrative</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66.2</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69.1</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192.4</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187.0</w:t>
            </w:r>
          </w:p>
        </w:tc>
      </w:tr>
      <w:tr>
        <w:trPr>
          <w:trHeight w:val="207"/>
        </w:trPr>
        <w:tc>
          <w:tcPr>
            <w:tcW w:w="5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Catastrophic event-related charges, net</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r>
      <w:tr>
        <w:trPr>
          <w:trHeight w:val="198"/>
        </w:trPr>
        <w:tc>
          <w:tcPr>
            <w:tcW w:w="5400" w:type="dxa"/>
            <w:vAlign w:val="bottom"/>
          </w:tcPr>
          <w:p>
            <w:pPr>
              <w:ind w:left="220"/>
              <w:spacing w:after="0"/>
              <w:rPr>
                <w:sz w:val="20"/>
                <w:szCs w:val="20"/>
                <w:color w:val="auto"/>
              </w:rPr>
            </w:pPr>
            <w:r>
              <w:rPr>
                <w:rFonts w:ascii="Arial" w:cs="Arial" w:eastAsia="Arial" w:hAnsi="Arial"/>
                <w:sz w:val="15"/>
                <w:szCs w:val="15"/>
                <w:color w:val="auto"/>
              </w:rPr>
              <w:t>Business combination expense</w:t>
            </w:r>
          </w:p>
        </w:tc>
        <w:tc>
          <w:tcPr>
            <w:tcW w:w="4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8.4</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23.9</w:t>
            </w:r>
          </w:p>
        </w:tc>
      </w:tr>
      <w:tr>
        <w:trPr>
          <w:trHeight w:val="207"/>
        </w:trPr>
        <w:tc>
          <w:tcPr>
            <w:tcW w:w="5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149.7</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447.7</w:t>
            </w:r>
          </w:p>
        </w:tc>
      </w:tr>
      <w:tr>
        <w:trPr>
          <w:trHeight w:val="198"/>
        </w:trPr>
        <w:tc>
          <w:tcPr>
            <w:tcW w:w="5400" w:type="dxa"/>
            <w:vAlign w:val="bottom"/>
          </w:tcPr>
          <w:p>
            <w:pPr>
              <w:ind w:left="220"/>
              <w:spacing w:after="0"/>
              <w:rPr>
                <w:sz w:val="20"/>
                <w:szCs w:val="20"/>
                <w:color w:val="auto"/>
              </w:rPr>
            </w:pPr>
            <w:r>
              <w:rPr>
                <w:rFonts w:ascii="Arial" w:cs="Arial" w:eastAsia="Arial" w:hAnsi="Arial"/>
                <w:sz w:val="15"/>
                <w:szCs w:val="15"/>
                <w:color w:val="auto"/>
              </w:rPr>
              <w:t>Asset impairments</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10.1</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07"/>
        </w:trPr>
        <w:tc>
          <w:tcPr>
            <w:tcW w:w="5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on extinguishment of debt (see Note 8)</w:t>
            </w:r>
          </w:p>
        </w:tc>
        <w:tc>
          <w:tcPr>
            <w:tcW w:w="4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r>
      <w:tr>
        <w:trPr>
          <w:trHeight w:val="198"/>
        </w:trPr>
        <w:tc>
          <w:tcPr>
            <w:tcW w:w="540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84.1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61.7</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239.9</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162.2</w:t>
            </w:r>
          </w:p>
        </w:tc>
      </w:tr>
      <w:tr>
        <w:trPr>
          <w:trHeight w:val="207"/>
        </w:trPr>
        <w:tc>
          <w:tcPr>
            <w:tcW w:w="5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 on mandatorily redeemable preferred OP units / equity</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198"/>
        </w:trPr>
        <w:tc>
          <w:tcPr>
            <w:tcW w:w="5400" w:type="dxa"/>
            <w:vAlign w:val="bottom"/>
          </w:tcPr>
          <w:p>
            <w:pPr>
              <w:ind w:left="220"/>
              <w:spacing w:after="0"/>
              <w:rPr>
                <w:sz w:val="20"/>
                <w:szCs w:val="20"/>
                <w:color w:val="auto"/>
              </w:rPr>
            </w:pPr>
            <w:r>
              <w:rPr>
                <w:rFonts w:ascii="Arial" w:cs="Arial" w:eastAsia="Arial" w:hAnsi="Arial"/>
                <w:sz w:val="15"/>
                <w:szCs w:val="15"/>
                <w:color w:val="auto"/>
              </w:rPr>
              <w:t>(Gain) / loss on remeasurement of marketable securities (see Note 15)</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7.2</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74.0</w:t>
            </w:r>
          </w:p>
        </w:tc>
      </w:tr>
      <w:tr>
        <w:trPr>
          <w:trHeight w:val="207"/>
        </w:trPr>
        <w:tc>
          <w:tcPr>
            <w:tcW w:w="5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foreign currency exchanges</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w:t>
            </w:r>
          </w:p>
        </w:tc>
      </w:tr>
      <w:tr>
        <w:trPr>
          <w:trHeight w:val="198"/>
        </w:trPr>
        <w:tc>
          <w:tcPr>
            <w:tcW w:w="5400" w:type="dxa"/>
            <w:vAlign w:val="bottom"/>
          </w:tcPr>
          <w:p>
            <w:pPr>
              <w:ind w:left="220"/>
              <w:spacing w:after="0"/>
              <w:rPr>
                <w:sz w:val="20"/>
                <w:szCs w:val="20"/>
                <w:color w:val="auto"/>
              </w:rPr>
            </w:pPr>
            <w:r>
              <w:rPr>
                <w:rFonts w:ascii="Arial" w:cs="Arial" w:eastAsia="Arial" w:hAnsi="Arial"/>
                <w:sz w:val="15"/>
                <w:szCs w:val="15"/>
                <w:color w:val="auto"/>
              </w:rPr>
              <w:t>(Gain) / loss on disposition of properties</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0.8</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(12.5)</w:t>
            </w:r>
          </w:p>
        </w:tc>
      </w:tr>
      <w:tr>
        <w:trPr>
          <w:trHeight w:val="207"/>
        </w:trPr>
        <w:tc>
          <w:tcPr>
            <w:tcW w:w="5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(income) / expense, net</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r>
      <w:tr>
        <w:trPr>
          <w:trHeight w:val="198"/>
        </w:trPr>
        <w:tc>
          <w:tcPr>
            <w:tcW w:w="5400" w:type="dxa"/>
            <w:vAlign w:val="bottom"/>
          </w:tcPr>
          <w:p>
            <w:pPr>
              <w:ind w:left="220"/>
              <w:spacing w:after="0"/>
              <w:rPr>
                <w:sz w:val="20"/>
                <w:szCs w:val="20"/>
                <w:color w:val="auto"/>
              </w:rPr>
            </w:pPr>
            <w:r>
              <w:rPr>
                <w:rFonts w:ascii="Arial" w:cs="Arial" w:eastAsia="Arial" w:hAnsi="Arial"/>
                <w:sz w:val="15"/>
                <w:szCs w:val="15"/>
                <w:color w:val="auto"/>
              </w:rPr>
              <w:t>(Gain) / loss on remeasurement of notes receivable (see Note 4)</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0.1</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(0.1)</w:t>
            </w:r>
          </w:p>
        </w:tc>
      </w:tr>
      <w:tr>
        <w:trPr>
          <w:trHeight w:val="206"/>
        </w:trPr>
        <w:tc>
          <w:tcPr>
            <w:tcW w:w="5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Income from nonconsolidated affiliates (see Note 6)</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r>
      <w:tr>
        <w:trPr>
          <w:trHeight w:val="149"/>
        </w:trPr>
        <w:tc>
          <w:tcPr>
            <w:tcW w:w="5400" w:type="dxa"/>
            <w:vAlign w:val="bottom"/>
          </w:tcPr>
          <w:p>
            <w:pPr>
              <w:ind w:left="220"/>
              <w:spacing w:after="0" w:line="149" w:lineRule="exact"/>
              <w:rPr>
                <w:sz w:val="20"/>
                <w:szCs w:val="20"/>
                <w:color w:val="auto"/>
              </w:rPr>
            </w:pPr>
            <w:r>
              <w:rPr>
                <w:rFonts w:ascii="Arial" w:cs="Arial" w:eastAsia="Arial" w:hAnsi="Arial"/>
                <w:sz w:val="15"/>
                <w:szCs w:val="15"/>
                <w:color w:val="auto"/>
                <w:w w:val="98"/>
              </w:rPr>
              <w:t>(Gain) / loss on remeasurement of investment in nonconsolidated affiliates (see</w:t>
            </w: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2"/>
        </w:trPr>
        <w:tc>
          <w:tcPr>
            <w:tcW w:w="5400" w:type="dxa"/>
            <w:vAlign w:val="bottom"/>
          </w:tcPr>
          <w:p>
            <w:pPr>
              <w:ind w:left="220"/>
              <w:spacing w:after="0"/>
              <w:rPr>
                <w:sz w:val="20"/>
                <w:szCs w:val="20"/>
                <w:color w:val="auto"/>
              </w:rPr>
            </w:pPr>
            <w:r>
              <w:rPr>
                <w:rFonts w:ascii="Arial" w:cs="Arial" w:eastAsia="Arial" w:hAnsi="Arial"/>
                <w:sz w:val="15"/>
                <w:szCs w:val="15"/>
                <w:color w:val="auto"/>
              </w:rPr>
              <w:t>Note 6)</w:t>
            </w:r>
          </w:p>
        </w:tc>
        <w:tc>
          <w:tcPr>
            <w:tcW w:w="4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0.4</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(0.1)</w:t>
            </w:r>
          </w:p>
        </w:tc>
      </w:tr>
      <w:tr>
        <w:trPr>
          <w:trHeight w:val="207"/>
        </w:trPr>
        <w:tc>
          <w:tcPr>
            <w:tcW w:w="5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Current tax expense (see Note 12)</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r>
      <w:tr>
        <w:trPr>
          <w:trHeight w:val="198"/>
        </w:trPr>
        <w:tc>
          <w:tcPr>
            <w:tcW w:w="5400" w:type="dxa"/>
            <w:vAlign w:val="bottom"/>
          </w:tcPr>
          <w:p>
            <w:pPr>
              <w:ind w:left="220"/>
              <w:spacing w:after="0"/>
              <w:rPr>
                <w:sz w:val="20"/>
                <w:szCs w:val="20"/>
                <w:color w:val="auto"/>
              </w:rPr>
            </w:pPr>
            <w:r>
              <w:rPr>
                <w:rFonts w:ascii="Arial" w:cs="Arial" w:eastAsia="Arial" w:hAnsi="Arial"/>
                <w:sz w:val="15"/>
                <w:szCs w:val="15"/>
                <w:color w:val="auto"/>
              </w:rPr>
              <w:t>Deferred tax benefit (see Note 12)</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(3.6)</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(14.6)</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07"/>
        </w:trPr>
        <w:tc>
          <w:tcPr>
            <w:tcW w:w="5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Add: Preferred return to preferred OP units / equity interests</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r>
      <w:tr>
        <w:trPr>
          <w:trHeight w:val="198"/>
        </w:trPr>
        <w:tc>
          <w:tcPr>
            <w:tcW w:w="54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Add: Income attributable to noncontrolling interests</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w:t>
            </w:r>
          </w:p>
        </w:tc>
        <w:tc>
          <w:tcPr>
            <w:tcW w:w="1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w:t>
            </w:r>
          </w:p>
        </w:tc>
      </w:tr>
      <w:tr>
        <w:trPr>
          <w:trHeight w:val="225"/>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NOI</w:t>
            </w: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458.0</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4"/>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455.2</w:t>
            </w:r>
          </w:p>
        </w:tc>
        <w:tc>
          <w:tcPr>
            <w:tcW w:w="1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1,116.6</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1,091.8</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Three Months Ended</w:t>
            </w:r>
          </w:p>
        </w:tc>
        <w:tc>
          <w:tcPr>
            <w:tcW w:w="5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Nine Months Ended</w:t>
            </w:r>
          </w:p>
        </w:tc>
        <w:tc>
          <w:tcPr>
            <w:tcW w:w="640" w:type="dxa"/>
            <w:vAlign w:val="bottom"/>
            <w:tcBorders>
              <w:bottom w:val="single" w:sz="8" w:color="auto"/>
            </w:tcBorders>
          </w:tcPr>
          <w:p>
            <w:pPr>
              <w:spacing w:after="0"/>
              <w:rPr>
                <w:sz w:val="17"/>
                <w:szCs w:val="17"/>
                <w:color w:val="auto"/>
              </w:rPr>
            </w:pPr>
          </w:p>
        </w:tc>
      </w:tr>
      <w:tr>
        <w:trPr>
          <w:trHeight w:val="198"/>
        </w:trPr>
        <w:tc>
          <w:tcPr>
            <w:tcW w:w="536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Arial" w:cs="Arial" w:eastAsia="Arial" w:hAnsi="Arial"/>
                <w:sz w:val="15"/>
                <w:szCs w:val="15"/>
                <w:b w:val="1"/>
                <w:bCs w:val="1"/>
                <w:color w:val="auto"/>
                <w:w w:val="98"/>
              </w:rPr>
              <w:t>September 30, 2023</w:t>
            </w:r>
          </w:p>
        </w:tc>
        <w:tc>
          <w:tcPr>
            <w:tcW w:w="138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September 30, 2022</w:t>
            </w:r>
          </w:p>
        </w:tc>
        <w:tc>
          <w:tcPr>
            <w:tcW w:w="20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Arial" w:cs="Arial" w:eastAsia="Arial" w:hAnsi="Arial"/>
                <w:sz w:val="15"/>
                <w:szCs w:val="15"/>
                <w:b w:val="1"/>
                <w:bCs w:val="1"/>
                <w:color w:val="auto"/>
                <w:w w:val="98"/>
              </w:rPr>
              <w:t>September 30, 2023</w:t>
            </w:r>
          </w:p>
        </w:tc>
        <w:tc>
          <w:tcPr>
            <w:tcW w:w="138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September 30, 2022</w:t>
            </w:r>
          </w:p>
        </w:tc>
      </w:tr>
      <w:tr>
        <w:trPr>
          <w:trHeight w:val="198"/>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Real property NOI</w:t>
            </w:r>
          </w:p>
        </w:tc>
        <w:tc>
          <w:tcPr>
            <w:tcW w:w="42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394.0</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4"/>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371.6</w:t>
            </w: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966.3</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909.2</w:t>
            </w:r>
          </w:p>
        </w:tc>
      </w:tr>
      <w:tr>
        <w:trPr>
          <w:trHeight w:val="198"/>
        </w:trPr>
        <w:tc>
          <w:tcPr>
            <w:tcW w:w="5360" w:type="dxa"/>
            <w:vAlign w:val="bottom"/>
          </w:tcPr>
          <w:p>
            <w:pPr>
              <w:ind w:left="20"/>
              <w:spacing w:after="0"/>
              <w:rPr>
                <w:sz w:val="20"/>
                <w:szCs w:val="20"/>
                <w:color w:val="auto"/>
              </w:rPr>
            </w:pPr>
            <w:r>
              <w:rPr>
                <w:rFonts w:ascii="Arial" w:cs="Arial" w:eastAsia="Arial" w:hAnsi="Arial"/>
                <w:sz w:val="15"/>
                <w:szCs w:val="15"/>
                <w:color w:val="auto"/>
              </w:rPr>
              <w:t>Home sales NOI</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37.3</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54.3</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101.8</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122.9</w:t>
            </w:r>
          </w:p>
        </w:tc>
      </w:tr>
      <w:tr>
        <w:trPr>
          <w:trHeight w:val="203"/>
        </w:trPr>
        <w:tc>
          <w:tcPr>
            <w:tcW w:w="5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Service, retail, dining and entertainment NOI</w:t>
            </w: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48.5</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59.7</w:t>
            </w:r>
          </w:p>
        </w:tc>
      </w:tr>
      <w:tr>
        <w:trPr>
          <w:trHeight w:val="200"/>
        </w:trPr>
        <w:tc>
          <w:tcPr>
            <w:tcW w:w="5360" w:type="dxa"/>
            <w:vAlign w:val="bottom"/>
          </w:tcPr>
          <w:p>
            <w:pPr>
              <w:ind w:left="140"/>
              <w:spacing w:after="0"/>
              <w:rPr>
                <w:sz w:val="20"/>
                <w:szCs w:val="20"/>
                <w:color w:val="auto"/>
              </w:rPr>
            </w:pPr>
            <w:r>
              <w:rPr>
                <w:rFonts w:ascii="Arial" w:cs="Arial" w:eastAsia="Arial" w:hAnsi="Arial"/>
                <w:sz w:val="15"/>
                <w:szCs w:val="15"/>
                <w:b w:val="1"/>
                <w:bCs w:val="1"/>
                <w:color w:val="auto"/>
              </w:rPr>
              <w:t>NOI</w:t>
            </w:r>
          </w:p>
        </w:tc>
        <w:tc>
          <w:tcPr>
            <w:tcW w:w="4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458.0</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455.2</w:t>
            </w:r>
          </w:p>
        </w:tc>
        <w:tc>
          <w:tcPr>
            <w:tcW w:w="200" w:type="dxa"/>
            <w:vAlign w:val="bottom"/>
          </w:tcPr>
          <w:p>
            <w:pPr>
              <w:spacing w:after="0"/>
              <w:rPr>
                <w:sz w:val="17"/>
                <w:szCs w:val="17"/>
                <w:color w:val="auto"/>
              </w:rPr>
            </w:pPr>
          </w:p>
        </w:tc>
        <w:tc>
          <w:tcPr>
            <w:tcW w:w="4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1,116.6</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1,091.8</w:t>
            </w:r>
          </w:p>
        </w:tc>
      </w:tr>
      <w:tr>
        <w:trPr>
          <w:trHeight w:val="20"/>
        </w:trPr>
        <w:tc>
          <w:tcPr>
            <w:tcW w:w="5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 of Revenue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RV and marina industries are seasonal in nature, and the results of operations in any one period may not be indicative of results in future periods.</w:t>
      </w: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RV business, certain properties maintain higher occupancy during the summer months, while other properties maintain higher occupancy during the winter months. Based on the location of our properties with transient RV sites, our portfolio generally produces higher revenues between April and September than between October and March. As of September 30, 2023, we recognized Real property - transient revenue of $39.8 million in the first quarter, $89.4 million in the second quarter and $152.0 million in the third quarter. Real property-transient revenue for the year ended December 31, 2022 was recognized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Real property -</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4"/>
            <w:vMerge w:val="restart"/>
          </w:tcPr>
          <w:p>
            <w:pPr>
              <w:ind w:left="680"/>
              <w:spacing w:after="0"/>
              <w:rPr>
                <w:sz w:val="20"/>
                <w:szCs w:val="20"/>
                <w:color w:val="auto"/>
              </w:rPr>
            </w:pPr>
            <w:r>
              <w:rPr>
                <w:rFonts w:ascii="Arial" w:cs="Arial" w:eastAsia="Arial" w:hAnsi="Arial"/>
                <w:sz w:val="15"/>
                <w:szCs w:val="15"/>
                <w:b w:val="1"/>
                <w:bCs w:val="1"/>
                <w:color w:val="auto"/>
              </w:rPr>
              <w:t>For the Three Months Ended</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7"/>
              </w:rPr>
              <w:t>transient revenue</w:t>
            </w:r>
          </w:p>
        </w:tc>
        <w:tc>
          <w:tcPr>
            <w:tcW w:w="1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gridSpan w:val="4"/>
            <w:vMerge w:val="continue"/>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420" w:type="dxa"/>
            <w:vAlign w:val="bottom"/>
            <w:gridSpan w:val="2"/>
          </w:tcPr>
          <w:p>
            <w:pPr>
              <w:ind w:left="520"/>
              <w:spacing w:after="0"/>
              <w:rPr>
                <w:sz w:val="20"/>
                <w:szCs w:val="20"/>
                <w:color w:val="auto"/>
              </w:rPr>
            </w:pPr>
            <w:r>
              <w:rPr>
                <w:rFonts w:ascii="Arial" w:cs="Arial" w:eastAsia="Arial" w:hAnsi="Arial"/>
                <w:sz w:val="15"/>
                <w:szCs w:val="15"/>
                <w:b w:val="1"/>
                <w:bCs w:val="1"/>
                <w:color w:val="auto"/>
              </w:rPr>
              <w:t>Year</w:t>
            </w: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(in millions)</w:t>
            </w:r>
          </w:p>
        </w:tc>
        <w:tc>
          <w:tcPr>
            <w:tcW w:w="1660" w:type="dxa"/>
            <w:vAlign w:val="bottom"/>
            <w:gridSpan w:val="2"/>
          </w:tcPr>
          <w:p>
            <w:pPr>
              <w:ind w:left="480"/>
              <w:spacing w:after="0"/>
              <w:rPr>
                <w:sz w:val="20"/>
                <w:szCs w:val="20"/>
                <w:color w:val="auto"/>
              </w:rPr>
            </w:pPr>
            <w:r>
              <w:rPr>
                <w:rFonts w:ascii="Arial" w:cs="Arial" w:eastAsia="Arial" w:hAnsi="Arial"/>
                <w:sz w:val="15"/>
                <w:szCs w:val="15"/>
                <w:b w:val="1"/>
                <w:bCs w:val="1"/>
                <w:color w:val="auto"/>
              </w:rPr>
              <w:t>March 31</w:t>
            </w:r>
          </w:p>
        </w:tc>
        <w:tc>
          <w:tcPr>
            <w:tcW w:w="1640" w:type="dxa"/>
            <w:vAlign w:val="bottom"/>
            <w:gridSpan w:val="2"/>
          </w:tcPr>
          <w:p>
            <w:pPr>
              <w:ind w:left="520"/>
              <w:spacing w:after="0"/>
              <w:rPr>
                <w:sz w:val="20"/>
                <w:szCs w:val="20"/>
                <w:color w:val="auto"/>
              </w:rPr>
            </w:pPr>
            <w:r>
              <w:rPr>
                <w:rFonts w:ascii="Arial" w:cs="Arial" w:eastAsia="Arial" w:hAnsi="Arial"/>
                <w:sz w:val="15"/>
                <w:szCs w:val="15"/>
                <w:b w:val="1"/>
                <w:bCs w:val="1"/>
                <w:color w:val="auto"/>
              </w:rPr>
              <w:t>June 30</w:t>
            </w:r>
          </w:p>
        </w:tc>
        <w:tc>
          <w:tcPr>
            <w:tcW w:w="1700" w:type="dxa"/>
            <w:vAlign w:val="bottom"/>
            <w:gridSpan w:val="2"/>
          </w:tcPr>
          <w:p>
            <w:pPr>
              <w:ind w:left="360"/>
              <w:spacing w:after="0"/>
              <w:rPr>
                <w:sz w:val="20"/>
                <w:szCs w:val="20"/>
                <w:color w:val="auto"/>
              </w:rPr>
            </w:pPr>
            <w:r>
              <w:rPr>
                <w:rFonts w:ascii="Arial" w:cs="Arial" w:eastAsia="Arial" w:hAnsi="Arial"/>
                <w:sz w:val="15"/>
                <w:szCs w:val="15"/>
                <w:b w:val="1"/>
                <w:bCs w:val="1"/>
                <w:color w:val="auto"/>
              </w:rPr>
              <w:t>September 30</w:t>
            </w:r>
          </w:p>
        </w:tc>
        <w:tc>
          <w:tcPr>
            <w:tcW w:w="1680" w:type="dxa"/>
            <w:vAlign w:val="bottom"/>
            <w:gridSpan w:val="2"/>
          </w:tcPr>
          <w:p>
            <w:pPr>
              <w:ind w:left="360"/>
              <w:spacing w:after="0"/>
              <w:rPr>
                <w:sz w:val="20"/>
                <w:szCs w:val="20"/>
                <w:color w:val="auto"/>
              </w:rPr>
            </w:pPr>
            <w:r>
              <w:rPr>
                <w:rFonts w:ascii="Arial" w:cs="Arial" w:eastAsia="Arial" w:hAnsi="Arial"/>
                <w:sz w:val="15"/>
                <w:szCs w:val="15"/>
                <w:b w:val="1"/>
                <w:bCs w:val="1"/>
                <w:color w:val="auto"/>
              </w:rPr>
              <w:t>December 31</w:t>
            </w:r>
          </w:p>
        </w:tc>
        <w:tc>
          <w:tcPr>
            <w:tcW w:w="1580" w:type="dxa"/>
            <w:vAlign w:val="bottom"/>
          </w:tcPr>
          <w:p>
            <w:pPr>
              <w:jc w:val="right"/>
              <w:ind w:right="54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0"/>
        </w:trPr>
        <w:tc>
          <w:tcPr>
            <w:tcW w:w="13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2022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334.5</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12.7 %</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27.8 %</w:t>
            </w:r>
          </w:p>
        </w:tc>
        <w:tc>
          <w:tcPr>
            <w:tcW w:w="8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45.8 %</w:t>
            </w:r>
          </w:p>
        </w:tc>
        <w:tc>
          <w:tcPr>
            <w:tcW w:w="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13.7 %</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marina business, the majority of our wet slip and dry storage space leases have annual terms that are billed seasonally. Wet slip storage increases during the summer months for the boating season, whereas dry storage increases during the winter season as weather patterns require boat owners to store their vessels on dry docks or within covered racks. As of September 30, 2023, we recognized seasonal real property revenue of $72.5 million in the first quarter, $90.3 million in the second quarter and $99.8 million in the third quarter. Seasonal real property revenue for the year ended December 31, 2022 was recognized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Seasonal real</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4"/>
            <w:vMerge w:val="restart"/>
          </w:tcPr>
          <w:p>
            <w:pPr>
              <w:ind w:left="680"/>
              <w:spacing w:after="0"/>
              <w:rPr>
                <w:sz w:val="20"/>
                <w:szCs w:val="20"/>
                <w:color w:val="auto"/>
              </w:rPr>
            </w:pPr>
            <w:r>
              <w:rPr>
                <w:rFonts w:ascii="Arial" w:cs="Arial" w:eastAsia="Arial" w:hAnsi="Arial"/>
                <w:sz w:val="15"/>
                <w:szCs w:val="15"/>
                <w:b w:val="1"/>
                <w:bCs w:val="1"/>
                <w:color w:val="auto"/>
              </w:rPr>
              <w:t>For the Three Months Ended</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7"/>
              </w:rPr>
              <w:t>property revenue</w:t>
            </w:r>
          </w:p>
        </w:tc>
        <w:tc>
          <w:tcPr>
            <w:tcW w:w="1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gridSpan w:val="4"/>
            <w:vMerge w:val="continue"/>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420" w:type="dxa"/>
            <w:vAlign w:val="bottom"/>
            <w:gridSpan w:val="2"/>
          </w:tcPr>
          <w:p>
            <w:pPr>
              <w:ind w:left="520"/>
              <w:spacing w:after="0"/>
              <w:rPr>
                <w:sz w:val="20"/>
                <w:szCs w:val="20"/>
                <w:color w:val="auto"/>
              </w:rPr>
            </w:pPr>
            <w:r>
              <w:rPr>
                <w:rFonts w:ascii="Arial" w:cs="Arial" w:eastAsia="Arial" w:hAnsi="Arial"/>
                <w:sz w:val="15"/>
                <w:szCs w:val="15"/>
                <w:b w:val="1"/>
                <w:bCs w:val="1"/>
                <w:color w:val="auto"/>
              </w:rPr>
              <w:t>Year</w:t>
            </w:r>
          </w:p>
        </w:tc>
        <w:tc>
          <w:tcPr>
            <w:tcW w:w="14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(in millions)</w:t>
            </w:r>
          </w:p>
        </w:tc>
        <w:tc>
          <w:tcPr>
            <w:tcW w:w="1660" w:type="dxa"/>
            <w:vAlign w:val="bottom"/>
            <w:gridSpan w:val="2"/>
          </w:tcPr>
          <w:p>
            <w:pPr>
              <w:ind w:left="480"/>
              <w:spacing w:after="0"/>
              <w:rPr>
                <w:sz w:val="20"/>
                <w:szCs w:val="20"/>
                <w:color w:val="auto"/>
              </w:rPr>
            </w:pPr>
            <w:r>
              <w:rPr>
                <w:rFonts w:ascii="Arial" w:cs="Arial" w:eastAsia="Arial" w:hAnsi="Arial"/>
                <w:sz w:val="15"/>
                <w:szCs w:val="15"/>
                <w:b w:val="1"/>
                <w:bCs w:val="1"/>
                <w:color w:val="auto"/>
              </w:rPr>
              <w:t>March 31</w:t>
            </w:r>
          </w:p>
        </w:tc>
        <w:tc>
          <w:tcPr>
            <w:tcW w:w="1640" w:type="dxa"/>
            <w:vAlign w:val="bottom"/>
            <w:gridSpan w:val="2"/>
          </w:tcPr>
          <w:p>
            <w:pPr>
              <w:ind w:left="520"/>
              <w:spacing w:after="0"/>
              <w:rPr>
                <w:sz w:val="20"/>
                <w:szCs w:val="20"/>
                <w:color w:val="auto"/>
              </w:rPr>
            </w:pPr>
            <w:r>
              <w:rPr>
                <w:rFonts w:ascii="Arial" w:cs="Arial" w:eastAsia="Arial" w:hAnsi="Arial"/>
                <w:sz w:val="15"/>
                <w:szCs w:val="15"/>
                <w:b w:val="1"/>
                <w:bCs w:val="1"/>
                <w:color w:val="auto"/>
              </w:rPr>
              <w:t>June 30</w:t>
            </w:r>
          </w:p>
        </w:tc>
        <w:tc>
          <w:tcPr>
            <w:tcW w:w="1700" w:type="dxa"/>
            <w:vAlign w:val="bottom"/>
            <w:gridSpan w:val="2"/>
          </w:tcPr>
          <w:p>
            <w:pPr>
              <w:ind w:left="360"/>
              <w:spacing w:after="0"/>
              <w:rPr>
                <w:sz w:val="20"/>
                <w:szCs w:val="20"/>
                <w:color w:val="auto"/>
              </w:rPr>
            </w:pPr>
            <w:r>
              <w:rPr>
                <w:rFonts w:ascii="Arial" w:cs="Arial" w:eastAsia="Arial" w:hAnsi="Arial"/>
                <w:sz w:val="15"/>
                <w:szCs w:val="15"/>
                <w:b w:val="1"/>
                <w:bCs w:val="1"/>
                <w:color w:val="auto"/>
              </w:rPr>
              <w:t>September 30</w:t>
            </w:r>
          </w:p>
        </w:tc>
        <w:tc>
          <w:tcPr>
            <w:tcW w:w="1680" w:type="dxa"/>
            <w:vAlign w:val="bottom"/>
            <w:gridSpan w:val="2"/>
          </w:tcPr>
          <w:p>
            <w:pPr>
              <w:ind w:left="360"/>
              <w:spacing w:after="0"/>
              <w:rPr>
                <w:sz w:val="20"/>
                <w:szCs w:val="20"/>
                <w:color w:val="auto"/>
              </w:rPr>
            </w:pPr>
            <w:r>
              <w:rPr>
                <w:rFonts w:ascii="Arial" w:cs="Arial" w:eastAsia="Arial" w:hAnsi="Arial"/>
                <w:sz w:val="15"/>
                <w:szCs w:val="15"/>
                <w:b w:val="1"/>
                <w:bCs w:val="1"/>
                <w:color w:val="auto"/>
              </w:rPr>
              <w:t>December 31</w:t>
            </w:r>
          </w:p>
        </w:tc>
        <w:tc>
          <w:tcPr>
            <w:tcW w:w="1580" w:type="dxa"/>
            <w:vAlign w:val="bottom"/>
          </w:tcPr>
          <w:p>
            <w:pPr>
              <w:jc w:val="right"/>
              <w:ind w:right="54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0"/>
        </w:trPr>
        <w:tc>
          <w:tcPr>
            <w:tcW w:w="13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2022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310.2</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20.1 %</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25.6 %</w:t>
            </w:r>
          </w:p>
        </w:tc>
        <w:tc>
          <w:tcPr>
            <w:tcW w:w="8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29.0 %</w:t>
            </w:r>
          </w:p>
        </w:tc>
        <w:tc>
          <w:tcPr>
            <w:tcW w:w="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25.3 %</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Total Portfolio</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reflect certain financial and other information for our real estate operations by segment as of and for the three and nine months ended September 30, 2023 and 2022 (in millions, except for statistical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11"/>
          </w:tcPr>
          <w:p>
            <w:pPr>
              <w:ind w:left="100"/>
              <w:spacing w:after="0"/>
              <w:rPr>
                <w:sz w:val="20"/>
                <w:szCs w:val="20"/>
                <w:color w:val="auto"/>
              </w:rPr>
            </w:pPr>
            <w:r>
              <w:rPr>
                <w:rFonts w:ascii="Arial" w:cs="Arial" w:eastAsia="Arial" w:hAnsi="Arial"/>
                <w:sz w:val="14"/>
                <w:szCs w:val="14"/>
                <w:b w:val="1"/>
                <w:bCs w:val="1"/>
                <w:color w:val="auto"/>
              </w:rPr>
              <w:t>Three Months Ended September 30, 2023</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11"/>
          </w:tcPr>
          <w:p>
            <w:pPr>
              <w:ind w:left="100"/>
              <w:spacing w:after="0"/>
              <w:rPr>
                <w:sz w:val="20"/>
                <w:szCs w:val="20"/>
                <w:color w:val="auto"/>
              </w:rPr>
            </w:pPr>
            <w:r>
              <w:rPr>
                <w:rFonts w:ascii="Arial" w:cs="Arial" w:eastAsia="Arial" w:hAnsi="Arial"/>
                <w:sz w:val="14"/>
                <w:szCs w:val="14"/>
                <w:b w:val="1"/>
                <w:bCs w:val="1"/>
                <w:color w:val="auto"/>
              </w:rPr>
              <w:t>Three months ended September 30, 2022</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MH</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MH</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Financial Information</w:t>
            </w:r>
          </w:p>
        </w:tc>
        <w:tc>
          <w:tcPr>
            <w:tcW w:w="100" w:type="dxa"/>
            <w:vAlign w:val="bottom"/>
          </w:tcPr>
          <w:p>
            <w:pPr>
              <w:spacing w:after="0"/>
              <w:rPr>
                <w:sz w:val="12"/>
                <w:szCs w:val="12"/>
                <w:color w:val="auto"/>
              </w:rPr>
            </w:pPr>
          </w:p>
        </w:tc>
        <w:tc>
          <w:tcPr>
            <w:tcW w:w="72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2"/>
                <w:szCs w:val="12"/>
                <w:color w:val="auto"/>
              </w:rPr>
            </w:pPr>
          </w:p>
        </w:tc>
        <w:tc>
          <w:tcPr>
            <w:tcW w:w="6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UK</w:t>
            </w:r>
          </w:p>
        </w:tc>
        <w:tc>
          <w:tcPr>
            <w:tcW w:w="16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RV</w:t>
            </w: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Marinas</w:t>
            </w:r>
          </w:p>
        </w:tc>
        <w:tc>
          <w:tcPr>
            <w:tcW w:w="14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72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North</w:t>
            </w:r>
          </w:p>
        </w:tc>
        <w:tc>
          <w:tcPr>
            <w:tcW w:w="14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28"/>
                <w:szCs w:val="28"/>
                <w:b w:val="1"/>
                <w:bCs w:val="1"/>
                <w:color w:val="auto"/>
                <w:vertAlign w:val="subscript"/>
              </w:rPr>
              <w:t>UK</w:t>
            </w:r>
            <w:r>
              <w:rPr>
                <w:rFonts w:ascii="Arial" w:cs="Arial" w:eastAsia="Arial" w:hAnsi="Arial"/>
                <w:sz w:val="9"/>
                <w:szCs w:val="9"/>
                <w:b w:val="1"/>
                <w:bCs w:val="1"/>
                <w:color w:val="auto"/>
              </w:rPr>
              <w:t>(a)</w:t>
            </w:r>
          </w:p>
        </w:tc>
        <w:tc>
          <w:tcPr>
            <w:tcW w:w="14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RV</w:t>
            </w: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Marinas</w:t>
            </w:r>
          </w:p>
        </w:tc>
        <w:tc>
          <w:tcPr>
            <w:tcW w:w="14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1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America</w:t>
            </w:r>
          </w:p>
        </w:tc>
        <w:tc>
          <w:tcPr>
            <w:tcW w:w="12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America</w:t>
            </w:r>
          </w:p>
        </w:tc>
        <w:tc>
          <w:tcPr>
            <w:tcW w:w="14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700" w:type="dxa"/>
            <w:vAlign w:val="bottom"/>
          </w:tcPr>
          <w:p>
            <w:pPr>
              <w:ind w:left="240"/>
              <w:spacing w:after="0" w:line="143" w:lineRule="exact"/>
              <w:rPr>
                <w:sz w:val="20"/>
                <w:szCs w:val="20"/>
                <w:color w:val="auto"/>
              </w:rPr>
            </w:pPr>
            <w:r>
              <w:rPr>
                <w:rFonts w:ascii="Arial" w:cs="Arial" w:eastAsia="Arial" w:hAnsi="Arial"/>
                <w:sz w:val="14"/>
                <w:szCs w:val="14"/>
                <w:color w:val="auto"/>
              </w:rPr>
              <w:t>Real property</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229.4</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color w:val="auto"/>
              </w:rPr>
              <w:t>258.7</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128"/>
              <w:spacing w:after="0"/>
              <w:rPr>
                <w:sz w:val="20"/>
                <w:szCs w:val="20"/>
                <w:color w:val="auto"/>
              </w:rPr>
            </w:pPr>
            <w:r>
              <w:rPr>
                <w:rFonts w:ascii="Arial" w:cs="Arial" w:eastAsia="Arial" w:hAnsi="Arial"/>
                <w:sz w:val="14"/>
                <w:szCs w:val="14"/>
                <w:color w:val="auto"/>
              </w:rPr>
              <w:t>82.5</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116.0</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457.2</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213.5</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51"/>
              <w:spacing w:after="0"/>
              <w:rPr>
                <w:sz w:val="20"/>
                <w:szCs w:val="20"/>
                <w:color w:val="auto"/>
              </w:rPr>
            </w:pPr>
            <w:r>
              <w:rPr>
                <w:rFonts w:ascii="Arial" w:cs="Arial" w:eastAsia="Arial" w:hAnsi="Arial"/>
                <w:sz w:val="14"/>
                <w:szCs w:val="14"/>
                <w:color w:val="auto"/>
              </w:rPr>
              <w:t>24.7</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color w:val="auto"/>
              </w:rPr>
              <w:t>238.2</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128"/>
              <w:spacing w:after="0"/>
              <w:rPr>
                <w:sz w:val="20"/>
                <w:szCs w:val="20"/>
                <w:color w:val="auto"/>
              </w:rPr>
            </w:pPr>
            <w:r>
              <w:rPr>
                <w:rFonts w:ascii="Arial" w:cs="Arial" w:eastAsia="Arial" w:hAnsi="Arial"/>
                <w:sz w:val="14"/>
                <w:szCs w:val="14"/>
                <w:color w:val="auto"/>
              </w:rPr>
              <w:t>78.4</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color w:val="auto"/>
                <w:w w:val="96"/>
              </w:rPr>
              <w:t>108.7</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425.3</w:t>
            </w:r>
          </w:p>
        </w:tc>
        <w:tc>
          <w:tcPr>
            <w:tcW w:w="0" w:type="dxa"/>
            <w:vAlign w:val="bottom"/>
          </w:tcPr>
          <w:p>
            <w:pPr>
              <w:spacing w:after="0"/>
              <w:rPr>
                <w:sz w:val="1"/>
                <w:szCs w:val="1"/>
                <w:color w:val="auto"/>
              </w:rPr>
            </w:pPr>
          </w:p>
        </w:tc>
      </w:tr>
      <w:tr>
        <w:trPr>
          <w:trHeight w:val="188"/>
        </w:trPr>
        <w:tc>
          <w:tcPr>
            <w:tcW w:w="1700" w:type="dxa"/>
            <w:vAlign w:val="bottom"/>
          </w:tcPr>
          <w:p>
            <w:pPr>
              <w:ind w:left="240"/>
              <w:spacing w:after="0"/>
              <w:rPr>
                <w:sz w:val="20"/>
                <w:szCs w:val="20"/>
                <w:color w:val="auto"/>
              </w:rPr>
            </w:pPr>
            <w:r>
              <w:rPr>
                <w:rFonts w:ascii="Arial" w:cs="Arial" w:eastAsia="Arial" w:hAnsi="Arial"/>
                <w:sz w:val="14"/>
                <w:szCs w:val="14"/>
                <w:color w:val="auto"/>
              </w:rPr>
              <w:t>(excluding transient)</w:t>
            </w: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5"/>
              </w:rPr>
              <w:t>Real property - transient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23.0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23.8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96"/>
              </w:rPr>
              <w:t>128.0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161.6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21.8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96"/>
              </w:rPr>
              <w:t>131.2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160.4</w:t>
            </w:r>
          </w:p>
        </w:tc>
        <w:tc>
          <w:tcPr>
            <w:tcW w:w="0" w:type="dxa"/>
            <w:vAlign w:val="bottom"/>
          </w:tcPr>
          <w:p>
            <w:pPr>
              <w:spacing w:after="0"/>
              <w:rPr>
                <w:sz w:val="1"/>
                <w:szCs w:val="1"/>
                <w:color w:val="auto"/>
              </w:rPr>
            </w:pPr>
          </w:p>
        </w:tc>
      </w:tr>
      <w:tr>
        <w:trPr>
          <w:trHeight w:val="176"/>
        </w:trPr>
        <w:tc>
          <w:tcPr>
            <w:tcW w:w="1700" w:type="dxa"/>
            <w:vAlign w:val="bottom"/>
          </w:tcPr>
          <w:p>
            <w:pPr>
              <w:ind w:left="240"/>
              <w:spacing w:after="0"/>
              <w:rPr>
                <w:sz w:val="20"/>
                <w:szCs w:val="20"/>
                <w:color w:val="auto"/>
              </w:rPr>
            </w:pPr>
            <w:r>
              <w:rPr>
                <w:rFonts w:ascii="Arial" w:cs="Arial" w:eastAsia="Arial" w:hAnsi="Arial"/>
                <w:sz w:val="14"/>
                <w:szCs w:val="14"/>
                <w:color w:val="auto"/>
                <w:w w:val="92"/>
              </w:rPr>
              <w:t>Total operating revenues</w:t>
            </w: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230.2</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52.3</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282.5</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96"/>
              </w:rPr>
              <w:t>210.5</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125.8</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618.8</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213.8</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46.5</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260.3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96"/>
              </w:rPr>
              <w:t>209.6</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96"/>
              </w:rPr>
              <w:t>115.8</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585.7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700" w:type="dxa"/>
            <w:vAlign w:val="bottom"/>
          </w:tcPr>
          <w:p>
            <w:pPr>
              <w:ind w:left="240"/>
              <w:spacing w:after="0" w:line="143" w:lineRule="exact"/>
              <w:rPr>
                <w:sz w:val="20"/>
                <w:szCs w:val="20"/>
                <w:color w:val="auto"/>
              </w:rPr>
            </w:pPr>
            <w:r>
              <w:rPr>
                <w:rFonts w:ascii="Arial" w:cs="Arial" w:eastAsia="Arial" w:hAnsi="Arial"/>
                <w:sz w:val="14"/>
                <w:szCs w:val="14"/>
                <w:color w:val="auto"/>
              </w:rPr>
              <w:t>Property operating</w:t>
            </w:r>
          </w:p>
        </w:tc>
        <w:tc>
          <w:tcPr>
            <w:tcW w:w="1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76.7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28"/>
              <w:spacing w:after="0"/>
              <w:rPr>
                <w:sz w:val="20"/>
                <w:szCs w:val="20"/>
                <w:color w:val="auto"/>
              </w:rPr>
            </w:pPr>
            <w:r>
              <w:rPr>
                <w:rFonts w:ascii="Arial" w:cs="Arial" w:eastAsia="Arial" w:hAnsi="Arial"/>
                <w:sz w:val="14"/>
                <w:szCs w:val="14"/>
                <w:color w:val="auto"/>
              </w:rPr>
              <w:t>82.1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42.7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224.8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72.2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51"/>
              <w:spacing w:after="0"/>
              <w:rPr>
                <w:sz w:val="20"/>
                <w:szCs w:val="20"/>
                <w:color w:val="auto"/>
              </w:rPr>
            </w:pPr>
            <w:r>
              <w:rPr>
                <w:rFonts w:ascii="Arial" w:cs="Arial" w:eastAsia="Arial" w:hAnsi="Arial"/>
                <w:sz w:val="14"/>
                <w:szCs w:val="14"/>
                <w:color w:val="auto"/>
              </w:rPr>
              <w:t>21.3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28"/>
              <w:spacing w:after="0"/>
              <w:rPr>
                <w:sz w:val="20"/>
                <w:szCs w:val="20"/>
                <w:color w:val="auto"/>
              </w:rPr>
            </w:pPr>
            <w:r>
              <w:rPr>
                <w:rFonts w:ascii="Arial" w:cs="Arial" w:eastAsia="Arial" w:hAnsi="Arial"/>
                <w:sz w:val="14"/>
                <w:szCs w:val="14"/>
                <w:color w:val="auto"/>
              </w:rPr>
              <w:t>82.6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color w:val="auto"/>
              </w:rPr>
              <w:t>38.0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214.1</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expenses</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Real Property NOI</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182.5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96"/>
              </w:rPr>
              <w:t>128.4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394.0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25.2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166.8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96"/>
              </w:rPr>
              <w:t>127.0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371.6</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11"/>
          </w:tcPr>
          <w:p>
            <w:pPr>
              <w:ind w:left="140"/>
              <w:spacing w:after="0"/>
              <w:rPr>
                <w:sz w:val="20"/>
                <w:szCs w:val="20"/>
                <w:color w:val="auto"/>
              </w:rPr>
            </w:pPr>
            <w:r>
              <w:rPr>
                <w:rFonts w:ascii="Arial" w:cs="Arial" w:eastAsia="Arial" w:hAnsi="Arial"/>
                <w:sz w:val="14"/>
                <w:szCs w:val="14"/>
                <w:b w:val="1"/>
                <w:bCs w:val="1"/>
                <w:color w:val="auto"/>
              </w:rPr>
              <w:t>Nine Months Ended September 30, 2023</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11"/>
          </w:tcPr>
          <w:p>
            <w:pPr>
              <w:ind w:left="120"/>
              <w:spacing w:after="0"/>
              <w:rPr>
                <w:sz w:val="20"/>
                <w:szCs w:val="20"/>
                <w:color w:val="auto"/>
              </w:rPr>
            </w:pPr>
            <w:r>
              <w:rPr>
                <w:rFonts w:ascii="Arial" w:cs="Arial" w:eastAsia="Arial" w:hAnsi="Arial"/>
                <w:sz w:val="14"/>
                <w:szCs w:val="14"/>
                <w:b w:val="1"/>
                <w:bCs w:val="1"/>
                <w:color w:val="auto"/>
              </w:rPr>
              <w:t>Nine Months Ended September 30, 2022</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MH</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MH</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Financial Information</w:t>
            </w:r>
          </w:p>
        </w:tc>
        <w:tc>
          <w:tcPr>
            <w:tcW w:w="100" w:type="dxa"/>
            <w:vAlign w:val="bottom"/>
          </w:tcPr>
          <w:p>
            <w:pPr>
              <w:spacing w:after="0"/>
              <w:rPr>
                <w:sz w:val="12"/>
                <w:szCs w:val="12"/>
                <w:color w:val="auto"/>
              </w:rPr>
            </w:pPr>
          </w:p>
        </w:tc>
        <w:tc>
          <w:tcPr>
            <w:tcW w:w="72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2"/>
                <w:szCs w:val="12"/>
                <w:color w:val="auto"/>
              </w:rPr>
            </w:pPr>
          </w:p>
        </w:tc>
        <w:tc>
          <w:tcPr>
            <w:tcW w:w="6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UK</w:t>
            </w:r>
          </w:p>
        </w:tc>
        <w:tc>
          <w:tcPr>
            <w:tcW w:w="16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RV</w:t>
            </w: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Marinas</w:t>
            </w:r>
          </w:p>
        </w:tc>
        <w:tc>
          <w:tcPr>
            <w:tcW w:w="14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72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North</w:t>
            </w:r>
          </w:p>
        </w:tc>
        <w:tc>
          <w:tcPr>
            <w:tcW w:w="14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28"/>
                <w:szCs w:val="28"/>
                <w:b w:val="1"/>
                <w:bCs w:val="1"/>
                <w:color w:val="auto"/>
                <w:vertAlign w:val="subscript"/>
              </w:rPr>
              <w:t>UK</w:t>
            </w:r>
            <w:r>
              <w:rPr>
                <w:rFonts w:ascii="Arial" w:cs="Arial" w:eastAsia="Arial" w:hAnsi="Arial"/>
                <w:sz w:val="9"/>
                <w:szCs w:val="9"/>
                <w:b w:val="1"/>
                <w:bCs w:val="1"/>
                <w:color w:val="auto"/>
              </w:rPr>
              <w:t>(a)</w:t>
            </w:r>
          </w:p>
        </w:tc>
        <w:tc>
          <w:tcPr>
            <w:tcW w:w="14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RV</w:t>
            </w: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Marinas</w:t>
            </w:r>
          </w:p>
        </w:tc>
        <w:tc>
          <w:tcPr>
            <w:tcW w:w="14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1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America</w:t>
            </w:r>
          </w:p>
        </w:tc>
        <w:tc>
          <w:tcPr>
            <w:tcW w:w="12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America</w:t>
            </w:r>
          </w:p>
        </w:tc>
        <w:tc>
          <w:tcPr>
            <w:tcW w:w="14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700" w:type="dxa"/>
            <w:vAlign w:val="bottom"/>
          </w:tcPr>
          <w:p>
            <w:pPr>
              <w:ind w:left="240"/>
              <w:spacing w:after="0" w:line="143" w:lineRule="exact"/>
              <w:rPr>
                <w:sz w:val="20"/>
                <w:szCs w:val="20"/>
                <w:color w:val="auto"/>
              </w:rPr>
            </w:pPr>
            <w:r>
              <w:rPr>
                <w:rFonts w:ascii="Arial" w:cs="Arial" w:eastAsia="Arial" w:hAnsi="Arial"/>
                <w:sz w:val="14"/>
                <w:szCs w:val="14"/>
                <w:color w:val="auto"/>
              </w:rPr>
              <w:t>Real property</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676.9</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color w:val="auto"/>
              </w:rPr>
              <w:t>85.1</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color w:val="auto"/>
              </w:rPr>
              <w:t>762.0</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128"/>
              <w:spacing w:after="0"/>
              <w:rPr>
                <w:sz w:val="20"/>
                <w:szCs w:val="20"/>
                <w:color w:val="auto"/>
              </w:rPr>
            </w:pPr>
            <w:r>
              <w:rPr>
                <w:rFonts w:ascii="Arial" w:cs="Arial" w:eastAsia="Arial" w:hAnsi="Arial"/>
                <w:sz w:val="14"/>
                <w:szCs w:val="14"/>
                <w:color w:val="auto"/>
                <w:w w:val="96"/>
              </w:rPr>
              <w:t>217.1</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306.4</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w w:val="98"/>
              </w:rPr>
              <w:t>1,285.5</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630.8</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51"/>
              <w:spacing w:after="0"/>
              <w:rPr>
                <w:sz w:val="20"/>
                <w:szCs w:val="20"/>
                <w:color w:val="auto"/>
              </w:rPr>
            </w:pPr>
            <w:r>
              <w:rPr>
                <w:rFonts w:ascii="Arial" w:cs="Arial" w:eastAsia="Arial" w:hAnsi="Arial"/>
                <w:sz w:val="14"/>
                <w:szCs w:val="14"/>
                <w:color w:val="auto"/>
              </w:rPr>
              <w:t>44.7</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color w:val="auto"/>
              </w:rPr>
              <w:t>675.5</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128"/>
              <w:spacing w:after="0"/>
              <w:rPr>
                <w:sz w:val="20"/>
                <w:szCs w:val="20"/>
                <w:color w:val="auto"/>
              </w:rPr>
            </w:pPr>
            <w:r>
              <w:rPr>
                <w:rFonts w:ascii="Arial" w:cs="Arial" w:eastAsia="Arial" w:hAnsi="Arial"/>
                <w:sz w:val="14"/>
                <w:szCs w:val="14"/>
                <w:color w:val="auto"/>
                <w:w w:val="96"/>
              </w:rPr>
              <w:t>208.2</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color w:val="auto"/>
                <w:w w:val="96"/>
              </w:rPr>
              <w:t>274.4</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w w:val="98"/>
              </w:rPr>
              <w:t>1,158.1</w:t>
            </w:r>
          </w:p>
        </w:tc>
        <w:tc>
          <w:tcPr>
            <w:tcW w:w="0" w:type="dxa"/>
            <w:vAlign w:val="bottom"/>
          </w:tcPr>
          <w:p>
            <w:pPr>
              <w:spacing w:after="0"/>
              <w:rPr>
                <w:sz w:val="1"/>
                <w:szCs w:val="1"/>
                <w:color w:val="auto"/>
              </w:rPr>
            </w:pPr>
          </w:p>
        </w:tc>
      </w:tr>
      <w:tr>
        <w:trPr>
          <w:trHeight w:val="188"/>
        </w:trPr>
        <w:tc>
          <w:tcPr>
            <w:tcW w:w="1700" w:type="dxa"/>
            <w:vAlign w:val="bottom"/>
          </w:tcPr>
          <w:p>
            <w:pPr>
              <w:ind w:left="240"/>
              <w:spacing w:after="0"/>
              <w:rPr>
                <w:sz w:val="20"/>
                <w:szCs w:val="20"/>
                <w:color w:val="auto"/>
              </w:rPr>
            </w:pPr>
            <w:r>
              <w:rPr>
                <w:rFonts w:ascii="Arial" w:cs="Arial" w:eastAsia="Arial" w:hAnsi="Arial"/>
                <w:sz w:val="14"/>
                <w:szCs w:val="14"/>
                <w:color w:val="auto"/>
              </w:rPr>
              <w:t>(excluding transient)</w:t>
            </w: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5"/>
              </w:rPr>
              <w:t>Real property - transient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37.9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39.4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96"/>
              </w:rPr>
              <w:t>241.3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300.9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34.7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35.9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96"/>
              </w:rPr>
              <w:t>253.0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14.6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303.5</w:t>
            </w:r>
          </w:p>
        </w:tc>
        <w:tc>
          <w:tcPr>
            <w:tcW w:w="0" w:type="dxa"/>
            <w:vAlign w:val="bottom"/>
          </w:tcPr>
          <w:p>
            <w:pPr>
              <w:spacing w:after="0"/>
              <w:rPr>
                <w:sz w:val="1"/>
                <w:szCs w:val="1"/>
                <w:color w:val="auto"/>
              </w:rPr>
            </w:pPr>
          </w:p>
        </w:tc>
      </w:tr>
      <w:tr>
        <w:trPr>
          <w:trHeight w:val="176"/>
        </w:trPr>
        <w:tc>
          <w:tcPr>
            <w:tcW w:w="1700" w:type="dxa"/>
            <w:vAlign w:val="bottom"/>
          </w:tcPr>
          <w:p>
            <w:pPr>
              <w:ind w:left="240"/>
              <w:spacing w:after="0"/>
              <w:rPr>
                <w:sz w:val="20"/>
                <w:szCs w:val="20"/>
                <w:color w:val="auto"/>
              </w:rPr>
            </w:pPr>
            <w:r>
              <w:rPr>
                <w:rFonts w:ascii="Arial" w:cs="Arial" w:eastAsia="Arial" w:hAnsi="Arial"/>
                <w:sz w:val="14"/>
                <w:szCs w:val="14"/>
                <w:color w:val="auto"/>
                <w:w w:val="92"/>
              </w:rPr>
              <w:t>Total operating revenues</w:t>
            </w: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678.4</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96"/>
              </w:rPr>
              <w:t>123.0</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801.4</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96"/>
              </w:rPr>
              <w:t>458.4</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326.6</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8"/>
              </w:rPr>
              <w:t>1,586.4</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632.0</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79.4</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711.4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96"/>
              </w:rPr>
              <w:t>461.2</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96"/>
              </w:rPr>
              <w:t>289.0</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8"/>
              </w:rPr>
              <w:t>1,461.6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700" w:type="dxa"/>
            <w:vAlign w:val="bottom"/>
          </w:tcPr>
          <w:p>
            <w:pPr>
              <w:ind w:left="240"/>
              <w:spacing w:after="0" w:line="143" w:lineRule="exact"/>
              <w:rPr>
                <w:sz w:val="20"/>
                <w:szCs w:val="20"/>
                <w:color w:val="auto"/>
              </w:rPr>
            </w:pPr>
            <w:r>
              <w:rPr>
                <w:rFonts w:ascii="Arial" w:cs="Arial" w:eastAsia="Arial" w:hAnsi="Arial"/>
                <w:sz w:val="14"/>
                <w:szCs w:val="14"/>
                <w:color w:val="auto"/>
              </w:rPr>
              <w:t>Property operating</w:t>
            </w:r>
          </w:p>
        </w:tc>
        <w:tc>
          <w:tcPr>
            <w:tcW w:w="1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223.1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color w:val="auto"/>
              </w:rPr>
              <w:t>70.3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color w:val="auto"/>
              </w:rPr>
              <w:t>293.4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28"/>
              <w:spacing w:after="0"/>
              <w:rPr>
                <w:sz w:val="20"/>
                <w:szCs w:val="20"/>
                <w:color w:val="auto"/>
              </w:rPr>
            </w:pPr>
            <w:r>
              <w:rPr>
                <w:rFonts w:ascii="Arial" w:cs="Arial" w:eastAsia="Arial" w:hAnsi="Arial"/>
                <w:sz w:val="14"/>
                <w:szCs w:val="14"/>
                <w:color w:val="auto"/>
                <w:w w:val="96"/>
              </w:rPr>
              <w:t>207.6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119.1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620.1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204.1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51"/>
              <w:spacing w:after="0"/>
              <w:rPr>
                <w:sz w:val="20"/>
                <w:szCs w:val="20"/>
                <w:color w:val="auto"/>
              </w:rPr>
            </w:pPr>
            <w:r>
              <w:rPr>
                <w:rFonts w:ascii="Arial" w:cs="Arial" w:eastAsia="Arial" w:hAnsi="Arial"/>
                <w:sz w:val="14"/>
                <w:szCs w:val="14"/>
                <w:color w:val="auto"/>
              </w:rPr>
              <w:t>38.8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color w:val="auto"/>
              </w:rPr>
              <w:t>242.9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28"/>
              <w:spacing w:after="0"/>
              <w:rPr>
                <w:sz w:val="20"/>
                <w:szCs w:val="20"/>
                <w:color w:val="auto"/>
              </w:rPr>
            </w:pPr>
            <w:r>
              <w:rPr>
                <w:rFonts w:ascii="Arial" w:cs="Arial" w:eastAsia="Arial" w:hAnsi="Arial"/>
                <w:sz w:val="14"/>
                <w:szCs w:val="14"/>
                <w:color w:val="auto"/>
                <w:w w:val="96"/>
              </w:rPr>
              <w:t>205.3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color w:val="auto"/>
                <w:w w:val="96"/>
              </w:rPr>
              <w:t>104.2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552.4</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expenses</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Real Property NOI</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455.3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52.7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508.0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96"/>
              </w:rPr>
              <w:t>250.8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966.3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427.9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40.6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468.5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96"/>
              </w:rPr>
              <w:t>255.9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6"/>
              </w:rPr>
              <w:t>184.8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909.2</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information</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Number of properties</w:t>
      </w:r>
    </w:p>
    <w:p>
      <w:pPr>
        <w:spacing w:after="0" w:line="42" w:lineRule="exact"/>
        <w:rPr>
          <w:sz w:val="20"/>
          <w:szCs w:val="20"/>
          <w:color w:val="auto"/>
        </w:rPr>
      </w:pPr>
    </w:p>
    <w:p>
      <w:pPr>
        <w:ind w:left="140" w:right="40"/>
        <w:spacing w:after="0" w:line="254" w:lineRule="auto"/>
        <w:rPr>
          <w:sz w:val="20"/>
          <w:szCs w:val="20"/>
          <w:color w:val="auto"/>
        </w:rPr>
      </w:pPr>
      <w:r>
        <w:rPr>
          <w:rFonts w:ascii="Arial" w:cs="Arial" w:eastAsia="Arial" w:hAnsi="Arial"/>
          <w:sz w:val="14"/>
          <w:szCs w:val="14"/>
          <w:b w:val="1"/>
          <w:bCs w:val="1"/>
          <w:color w:val="auto"/>
        </w:rPr>
        <w:t>Sites, wet slips and dry storage spaces</w:t>
      </w:r>
    </w:p>
    <w:p>
      <w:pPr>
        <w:spacing w:after="0" w:line="1" w:lineRule="exact"/>
        <w:rPr>
          <w:sz w:val="20"/>
          <w:szCs w:val="20"/>
          <w:color w:val="auto"/>
        </w:rPr>
      </w:pPr>
    </w:p>
    <w:p>
      <w:pPr>
        <w:ind w:left="240"/>
        <w:spacing w:after="0" w:line="235" w:lineRule="auto"/>
        <w:rPr>
          <w:sz w:val="20"/>
          <w:szCs w:val="20"/>
          <w:color w:val="auto"/>
        </w:rPr>
      </w:pPr>
      <w:r>
        <w:rPr>
          <w:rFonts w:ascii="Arial" w:cs="Arial" w:eastAsia="Arial" w:hAnsi="Arial"/>
          <w:sz w:val="14"/>
          <w:szCs w:val="14"/>
          <w:color w:val="auto"/>
        </w:rPr>
        <w:t>Sites, wet slips and dry storage spaces</w:t>
      </w:r>
      <w:r>
        <w:rPr>
          <w:rFonts w:ascii="Arial" w:cs="Arial" w:eastAsia="Arial" w:hAnsi="Arial"/>
          <w:sz w:val="17"/>
          <w:szCs w:val="17"/>
          <w:color w:val="auto"/>
          <w:vertAlign w:val="superscript"/>
        </w:rPr>
        <w:t>(b)</w:t>
      </w:r>
    </w:p>
    <w:p>
      <w:pPr>
        <w:ind w:left="240"/>
        <w:spacing w:after="0"/>
        <w:rPr>
          <w:sz w:val="20"/>
          <w:szCs w:val="20"/>
          <w:color w:val="auto"/>
        </w:rPr>
      </w:pPr>
      <w:r>
        <w:rPr>
          <w:rFonts w:ascii="Arial" w:cs="Arial" w:eastAsia="Arial" w:hAnsi="Arial"/>
          <w:sz w:val="14"/>
          <w:szCs w:val="14"/>
          <w:color w:val="auto"/>
        </w:rPr>
        <w:t>Transient sites</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Total</w:t>
      </w:r>
    </w:p>
    <w:p>
      <w:pPr>
        <w:spacing w:after="0" w:line="146" w:lineRule="exact"/>
        <w:rPr>
          <w:sz w:val="20"/>
          <w:szCs w:val="20"/>
          <w:color w:val="auto"/>
        </w:rPr>
      </w:pPr>
    </w:p>
    <w:p>
      <w:pPr>
        <w:ind w:left="140" w:right="200"/>
        <w:spacing w:after="0" w:line="258" w:lineRule="auto"/>
        <w:rPr>
          <w:sz w:val="20"/>
          <w:szCs w:val="20"/>
          <w:color w:val="auto"/>
        </w:rPr>
      </w:pPr>
      <w:r>
        <w:rPr>
          <w:rFonts w:ascii="Arial" w:cs="Arial" w:eastAsia="Arial" w:hAnsi="Arial"/>
          <w:sz w:val="14"/>
          <w:szCs w:val="14"/>
          <w:b w:val="1"/>
          <w:bCs w:val="1"/>
          <w:color w:val="auto"/>
        </w:rPr>
        <w:t>MH and Annual RV Occupancy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4"/>
              </w:rPr>
              <w:t>As of September 30, 2023</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6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As of September 30, 2022</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MH</w:t>
            </w: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MH</w:t>
            </w: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rPr>
              <w:t>North</w:t>
            </w:r>
          </w:p>
        </w:tc>
        <w:tc>
          <w:tcPr>
            <w:tcW w:w="6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UK</w:t>
            </w:r>
          </w:p>
        </w:tc>
        <w:tc>
          <w:tcPr>
            <w:tcW w:w="80" w:type="dxa"/>
            <w:vAlign w:val="bottom"/>
          </w:tcPr>
          <w:p>
            <w:pPr>
              <w:spacing w:after="0"/>
              <w:rPr>
                <w:sz w:val="12"/>
                <w:szCs w:val="12"/>
                <w:color w:val="auto"/>
              </w:rPr>
            </w:pPr>
          </w:p>
        </w:tc>
        <w:tc>
          <w:tcPr>
            <w:tcW w:w="8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RV</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Marinas</w:t>
            </w:r>
          </w:p>
        </w:tc>
        <w:tc>
          <w:tcPr>
            <w:tcW w:w="8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8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rPr>
              <w:t>North</w:t>
            </w:r>
          </w:p>
        </w:tc>
        <w:tc>
          <w:tcPr>
            <w:tcW w:w="700" w:type="dxa"/>
            <w:vAlign w:val="bottom"/>
            <w:vMerge w:val="restart"/>
          </w:tcPr>
          <w:p>
            <w:pPr>
              <w:jc w:val="right"/>
              <w:ind w:right="112"/>
              <w:spacing w:after="0"/>
              <w:rPr>
                <w:sz w:val="20"/>
                <w:szCs w:val="20"/>
                <w:color w:val="auto"/>
              </w:rPr>
            </w:pPr>
            <w:r>
              <w:rPr>
                <w:rFonts w:ascii="Arial" w:cs="Arial" w:eastAsia="Arial" w:hAnsi="Arial"/>
                <w:sz w:val="28"/>
                <w:szCs w:val="28"/>
                <w:b w:val="1"/>
                <w:bCs w:val="1"/>
                <w:color w:val="auto"/>
                <w:vertAlign w:val="subscript"/>
              </w:rPr>
              <w:t>UK</w:t>
            </w:r>
            <w:r>
              <w:rPr>
                <w:rFonts w:ascii="Arial" w:cs="Arial" w:eastAsia="Arial" w:hAnsi="Arial"/>
                <w:sz w:val="9"/>
                <w:szCs w:val="9"/>
                <w:b w:val="1"/>
                <w:bCs w:val="1"/>
                <w:color w:val="auto"/>
              </w:rPr>
              <w:t>(a)</w:t>
            </w:r>
          </w:p>
        </w:tc>
        <w:tc>
          <w:tcPr>
            <w:tcW w:w="80" w:type="dxa"/>
            <w:vAlign w:val="bottom"/>
          </w:tcPr>
          <w:p>
            <w:pPr>
              <w:spacing w:after="0"/>
              <w:rPr>
                <w:sz w:val="12"/>
                <w:szCs w:val="12"/>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RV</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Marinas</w:t>
            </w: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America</w:t>
            </w: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America</w:t>
            </w: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298</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353</w:t>
            </w:r>
          </w:p>
        </w:tc>
        <w:tc>
          <w:tcPr>
            <w:tcW w:w="80" w:type="dxa"/>
            <w:vAlign w:val="bottom"/>
          </w:tcPr>
          <w:p>
            <w:pPr>
              <w:spacing w:after="0"/>
              <w:rPr>
                <w:sz w:val="15"/>
                <w:szCs w:val="15"/>
                <w:color w:val="auto"/>
              </w:rPr>
            </w:pPr>
          </w:p>
        </w:tc>
        <w:tc>
          <w:tcPr>
            <w:tcW w:w="7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5"/>
                <w:szCs w:val="15"/>
                <w:color w:val="auto"/>
              </w:rPr>
            </w:pP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15"/>
                <w:szCs w:val="15"/>
                <w:color w:val="auto"/>
              </w:rPr>
            </w:pP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296</w:t>
            </w:r>
          </w:p>
        </w:tc>
        <w:tc>
          <w:tcPr>
            <w:tcW w:w="80" w:type="dxa"/>
            <w:vAlign w:val="bottom"/>
          </w:tcPr>
          <w:p>
            <w:pPr>
              <w:spacing w:after="0"/>
              <w:rPr>
                <w:sz w:val="15"/>
                <w:szCs w:val="15"/>
                <w:color w:val="auto"/>
              </w:rPr>
            </w:pP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5"/>
                <w:szCs w:val="15"/>
                <w:color w:val="auto"/>
              </w:rPr>
            </w:pP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5"/>
                <w:szCs w:val="15"/>
                <w:color w:val="auto"/>
              </w:rPr>
            </w:pPr>
          </w:p>
        </w:tc>
        <w:tc>
          <w:tcPr>
            <w:tcW w:w="7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181</w:t>
            </w:r>
          </w:p>
        </w:tc>
        <w:tc>
          <w:tcPr>
            <w:tcW w:w="80" w:type="dxa"/>
            <w:vAlign w:val="bottom"/>
          </w:tcPr>
          <w:p>
            <w:pPr>
              <w:spacing w:after="0"/>
              <w:rPr>
                <w:sz w:val="15"/>
                <w:szCs w:val="15"/>
                <w:color w:val="auto"/>
              </w:rPr>
            </w:pPr>
          </w:p>
        </w:tc>
        <w:tc>
          <w:tcPr>
            <w:tcW w:w="6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5"/>
                <w:szCs w:val="15"/>
                <w:color w:val="auto"/>
              </w:rPr>
            </w:pP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670"/>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100,200</w:t>
            </w:r>
          </w:p>
        </w:tc>
        <w:tc>
          <w:tcPr>
            <w:tcW w:w="8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18,050</w:t>
            </w: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118,250</w:t>
            </w:r>
          </w:p>
        </w:tc>
        <w:tc>
          <w:tcPr>
            <w:tcW w:w="80" w:type="dxa"/>
            <w:vAlign w:val="bottom"/>
          </w:tcPr>
          <w:p>
            <w:pPr>
              <w:spacing w:after="0"/>
              <w:rPr>
                <w:sz w:val="24"/>
                <w:szCs w:val="2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32,150</w:t>
            </w:r>
          </w:p>
        </w:tc>
        <w:tc>
          <w:tcPr>
            <w:tcW w:w="80" w:type="dxa"/>
            <w:vAlign w:val="bottom"/>
          </w:tcPr>
          <w:p>
            <w:pPr>
              <w:spacing w:after="0"/>
              <w:rPr>
                <w:sz w:val="24"/>
                <w:szCs w:val="2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48,030</w:t>
            </w:r>
          </w:p>
        </w:tc>
        <w:tc>
          <w:tcPr>
            <w:tcW w:w="8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198,430</w:t>
            </w:r>
          </w:p>
        </w:tc>
        <w:tc>
          <w:tcPr>
            <w:tcW w:w="12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99,430</w:t>
            </w:r>
          </w:p>
        </w:tc>
        <w:tc>
          <w:tcPr>
            <w:tcW w:w="8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17,480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116,910</w:t>
            </w:r>
          </w:p>
        </w:tc>
        <w:tc>
          <w:tcPr>
            <w:tcW w:w="100" w:type="dxa"/>
            <w:vAlign w:val="bottom"/>
          </w:tcPr>
          <w:p>
            <w:pPr>
              <w:spacing w:after="0"/>
              <w:rPr>
                <w:sz w:val="24"/>
                <w:szCs w:val="2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32,030</w:t>
            </w:r>
          </w:p>
        </w:tc>
        <w:tc>
          <w:tcPr>
            <w:tcW w:w="80" w:type="dxa"/>
            <w:vAlign w:val="bottom"/>
          </w:tcPr>
          <w:p>
            <w:pPr>
              <w:spacing w:after="0"/>
              <w:rPr>
                <w:sz w:val="24"/>
                <w:szCs w:val="2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46,190</w:t>
            </w:r>
          </w:p>
        </w:tc>
        <w:tc>
          <w:tcPr>
            <w:tcW w:w="8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195,130</w:t>
            </w:r>
          </w:p>
        </w:tc>
        <w:tc>
          <w:tcPr>
            <w:tcW w:w="0" w:type="dxa"/>
            <w:vAlign w:val="bottom"/>
          </w:tcPr>
          <w:p>
            <w:pPr>
              <w:spacing w:after="0"/>
              <w:rPr>
                <w:sz w:val="1"/>
                <w:szCs w:val="1"/>
                <w:color w:val="auto"/>
              </w:rPr>
            </w:pPr>
          </w:p>
        </w:tc>
      </w:tr>
      <w:tr>
        <w:trPr>
          <w:trHeight w:val="203"/>
        </w:trPr>
        <w:tc>
          <w:tcPr>
            <w:tcW w:w="820" w:type="dxa"/>
            <w:vAlign w:val="bottom"/>
            <w:gridSpan w:val="2"/>
          </w:tcPr>
          <w:p>
            <w:pPr>
              <w:ind w:left="340"/>
              <w:spacing w:after="0"/>
              <w:rPr>
                <w:sz w:val="20"/>
                <w:szCs w:val="20"/>
                <w:color w:val="auto"/>
              </w:rPr>
            </w:pPr>
            <w:r>
              <w:rPr>
                <w:rFonts w:ascii="Arial" w:cs="Arial" w:eastAsia="Arial" w:hAnsi="Arial"/>
                <w:sz w:val="14"/>
                <w:szCs w:val="14"/>
                <w:color w:val="auto"/>
              </w:rPr>
              <w:t>N/M</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3,280</w:t>
            </w: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3,280</w:t>
            </w:r>
          </w:p>
        </w:tc>
        <w:tc>
          <w:tcPr>
            <w:tcW w:w="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26,490</w:t>
            </w:r>
          </w:p>
        </w:tc>
        <w:tc>
          <w:tcPr>
            <w:tcW w:w="8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N/A</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29,770</w:t>
            </w:r>
          </w:p>
        </w:tc>
        <w:tc>
          <w:tcPr>
            <w:tcW w:w="120" w:type="dxa"/>
            <w:vAlign w:val="bottom"/>
          </w:tcPr>
          <w:p>
            <w:pPr>
              <w:spacing w:after="0"/>
              <w:rPr>
                <w:sz w:val="17"/>
                <w:szCs w:val="17"/>
                <w:color w:val="auto"/>
              </w:rPr>
            </w:pPr>
          </w:p>
        </w:tc>
        <w:tc>
          <w:tcPr>
            <w:tcW w:w="820" w:type="dxa"/>
            <w:vAlign w:val="bottom"/>
            <w:gridSpan w:val="2"/>
          </w:tcPr>
          <w:p>
            <w:pPr>
              <w:ind w:left="340"/>
              <w:spacing w:after="0"/>
              <w:rPr>
                <w:sz w:val="20"/>
                <w:szCs w:val="20"/>
                <w:color w:val="auto"/>
              </w:rPr>
            </w:pPr>
            <w:r>
              <w:rPr>
                <w:rFonts w:ascii="Arial" w:cs="Arial" w:eastAsia="Arial" w:hAnsi="Arial"/>
                <w:sz w:val="14"/>
                <w:szCs w:val="14"/>
                <w:color w:val="auto"/>
              </w:rPr>
              <w:t>N/M</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3,200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27,950</w:t>
            </w:r>
          </w:p>
        </w:tc>
        <w:tc>
          <w:tcPr>
            <w:tcW w:w="8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N/A</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31,150</w:t>
            </w:r>
          </w:p>
        </w:tc>
        <w:tc>
          <w:tcPr>
            <w:tcW w:w="0" w:type="dxa"/>
            <w:vAlign w:val="bottom"/>
          </w:tcPr>
          <w:p>
            <w:pPr>
              <w:spacing w:after="0"/>
              <w:rPr>
                <w:sz w:val="1"/>
                <w:szCs w:val="1"/>
                <w:color w:val="auto"/>
              </w:rPr>
            </w:pPr>
          </w:p>
        </w:tc>
      </w:tr>
      <w:tr>
        <w:trPr>
          <w:trHeight w:val="25"/>
        </w:trPr>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100,200</w:t>
            </w:r>
          </w:p>
        </w:tc>
        <w:tc>
          <w:tcPr>
            <w:tcW w:w="8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21,330</w:t>
            </w:r>
          </w:p>
        </w:tc>
        <w:tc>
          <w:tcPr>
            <w:tcW w:w="8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121,530</w:t>
            </w:r>
          </w:p>
        </w:tc>
        <w:tc>
          <w:tcPr>
            <w:tcW w:w="8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58,640</w:t>
            </w:r>
          </w:p>
        </w:tc>
        <w:tc>
          <w:tcPr>
            <w:tcW w:w="8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48,030</w:t>
            </w:r>
          </w:p>
        </w:tc>
        <w:tc>
          <w:tcPr>
            <w:tcW w:w="8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228,200</w:t>
            </w: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99,430</w:t>
            </w:r>
          </w:p>
        </w:tc>
        <w:tc>
          <w:tcPr>
            <w:tcW w:w="8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20,680</w:t>
            </w:r>
          </w:p>
        </w:tc>
        <w:tc>
          <w:tcPr>
            <w:tcW w:w="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120,110</w:t>
            </w:r>
          </w:p>
        </w:tc>
        <w:tc>
          <w:tcPr>
            <w:tcW w:w="10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59,980</w:t>
            </w:r>
          </w:p>
        </w:tc>
        <w:tc>
          <w:tcPr>
            <w:tcW w:w="8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46,190</w:t>
            </w:r>
          </w:p>
        </w:tc>
        <w:tc>
          <w:tcPr>
            <w:tcW w:w="8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226,280</w:t>
            </w:r>
          </w:p>
        </w:tc>
        <w:tc>
          <w:tcPr>
            <w:tcW w:w="0" w:type="dxa"/>
            <w:vAlign w:val="bottom"/>
          </w:tcPr>
          <w:p>
            <w:pPr>
              <w:spacing w:after="0"/>
              <w:rPr>
                <w:sz w:val="1"/>
                <w:szCs w:val="1"/>
                <w:color w:val="auto"/>
              </w:rPr>
            </w:pPr>
          </w:p>
        </w:tc>
      </w:tr>
      <w:tr>
        <w:trPr>
          <w:trHeight w:val="440"/>
        </w:trPr>
        <w:tc>
          <w:tcPr>
            <w:tcW w:w="740" w:type="dxa"/>
            <w:vAlign w:val="bottom"/>
          </w:tcPr>
          <w:p>
            <w:pPr>
              <w:jc w:val="right"/>
              <w:spacing w:after="0"/>
              <w:rPr>
                <w:sz w:val="20"/>
                <w:szCs w:val="20"/>
                <w:color w:val="auto"/>
              </w:rPr>
            </w:pPr>
            <w:r>
              <w:rPr>
                <w:rFonts w:ascii="Arial" w:cs="Arial" w:eastAsia="Arial" w:hAnsi="Arial"/>
                <w:sz w:val="14"/>
                <w:szCs w:val="14"/>
                <w:color w:val="auto"/>
              </w:rPr>
              <w:t>96.3 %</w:t>
            </w:r>
          </w:p>
        </w:tc>
        <w:tc>
          <w:tcPr>
            <w:tcW w:w="8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14"/>
                <w:szCs w:val="14"/>
                <w:color w:val="auto"/>
                <w:w w:val="96"/>
              </w:rPr>
              <w:t>90.6 %</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95.4 %</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24"/>
                <w:szCs w:val="24"/>
                <w:color w:val="auto"/>
              </w:rPr>
            </w:pP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N/A</w:t>
            </w:r>
          </w:p>
        </w:tc>
        <w:tc>
          <w:tcPr>
            <w:tcW w:w="740" w:type="dxa"/>
            <w:vAlign w:val="bottom"/>
          </w:tcPr>
          <w:p>
            <w:pPr>
              <w:jc w:val="right"/>
              <w:spacing w:after="0"/>
              <w:rPr>
                <w:sz w:val="20"/>
                <w:szCs w:val="20"/>
                <w:color w:val="auto"/>
              </w:rPr>
            </w:pPr>
            <w:r>
              <w:rPr>
                <w:rFonts w:ascii="Arial" w:cs="Arial" w:eastAsia="Arial" w:hAnsi="Arial"/>
                <w:sz w:val="14"/>
                <w:szCs w:val="14"/>
                <w:color w:val="auto"/>
              </w:rPr>
              <w:t>96.4 %</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96.2 %</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91.7 %</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95.5 %</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24"/>
                <w:szCs w:val="24"/>
                <w:color w:val="auto"/>
              </w:rPr>
            </w:pP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N/A</w:t>
            </w:r>
          </w:p>
        </w:tc>
        <w:tc>
          <w:tcPr>
            <w:tcW w:w="740" w:type="dxa"/>
            <w:vAlign w:val="bottom"/>
          </w:tcPr>
          <w:p>
            <w:pPr>
              <w:jc w:val="right"/>
              <w:spacing w:after="0"/>
              <w:rPr>
                <w:sz w:val="20"/>
                <w:szCs w:val="20"/>
                <w:color w:val="auto"/>
              </w:rPr>
            </w:pPr>
            <w:r>
              <w:rPr>
                <w:rFonts w:ascii="Arial" w:cs="Arial" w:eastAsia="Arial" w:hAnsi="Arial"/>
                <w:sz w:val="14"/>
                <w:szCs w:val="14"/>
                <w:color w:val="auto"/>
              </w:rPr>
              <w:t>96.5 %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-1097280</wp:posOffset>
            </wp:positionV>
            <wp:extent cx="702945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-1073785</wp:posOffset>
            </wp:positionH>
            <wp:positionV relativeFrom="paragraph">
              <wp:posOffset>-746125</wp:posOffset>
            </wp:positionV>
            <wp:extent cx="7029450" cy="2146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29450" cy="214630"/>
                    </a:xfrm>
                    <a:prstGeom prst="rect">
                      <a:avLst/>
                    </a:prstGeom>
                    <a:noFill/>
                  </pic:spPr>
                </pic:pic>
              </a:graphicData>
            </a:graphic>
          </wp:anchor>
        </w:drawing>
        <w:drawing>
          <wp:anchor simplePos="0" relativeHeight="251657728" behindDoc="1" locked="0" layoutInCell="0" allowOverlap="1">
            <wp:simplePos x="0" y="0"/>
            <wp:positionH relativeFrom="column">
              <wp:posOffset>-1073785</wp:posOffset>
            </wp:positionH>
            <wp:positionV relativeFrom="paragraph">
              <wp:posOffset>-403225</wp:posOffset>
            </wp:positionV>
            <wp:extent cx="702945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-1073785</wp:posOffset>
            </wp:positionH>
            <wp:positionV relativeFrom="paragraph">
              <wp:posOffset>-197485</wp:posOffset>
            </wp:positionV>
            <wp:extent cx="7029450" cy="214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29450" cy="214630"/>
                    </a:xfrm>
                    <a:prstGeom prst="rect">
                      <a:avLst/>
                    </a:prstGeom>
                    <a:noFill/>
                  </pic:spPr>
                </pic:pic>
              </a:graphicData>
            </a:graphic>
          </wp:anchor>
        </w:drawing>
      </w:r>
    </w:p>
    <w:p>
      <w:pPr>
        <w:spacing w:after="0" w:line="114" w:lineRule="exact"/>
        <w:rPr>
          <w:sz w:val="20"/>
          <w:szCs w:val="20"/>
          <w:color w:val="auto"/>
        </w:rPr>
      </w:pPr>
    </w:p>
    <w:p>
      <w:pPr>
        <w:sectPr>
          <w:pgSz w:w="11900" w:h="16838" w:orient="portrait"/>
          <w:cols w:equalWidth="0" w:num="2">
            <w:col w:w="1580" w:space="120"/>
            <w:col w:w="9540"/>
          </w:cols>
          <w:pgMar w:left="320" w:top="121" w:right="339" w:bottom="1440" w:gutter="0" w:footer="0" w:header="0"/>
          <w:type w:val="continuous"/>
        </w:sectPr>
      </w:pPr>
    </w:p>
    <w:p>
      <w:pPr>
        <w:spacing w:after="0"/>
        <w:rPr>
          <w:sz w:val="20"/>
          <w:szCs w:val="20"/>
          <w:color w:val="auto"/>
        </w:rPr>
      </w:pPr>
      <w:r>
        <w:rPr>
          <w:rFonts w:ascii="Arial" w:cs="Arial" w:eastAsia="Arial" w:hAnsi="Arial"/>
          <w:sz w:val="14"/>
          <w:szCs w:val="14"/>
          <w:color w:val="auto"/>
        </w:rPr>
        <w:t>N/M = Not meaningful. N/A = Not applicable.</w:t>
      </w:r>
    </w:p>
    <w:p>
      <w:pPr>
        <w:spacing w:after="0" w:line="67"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16"/>
          <w:szCs w:val="16"/>
          <w:color w:val="auto"/>
          <w:vertAlign w:val="superscript"/>
        </w:rPr>
      </w:pPr>
      <w:r>
        <w:rPr>
          <w:rFonts w:ascii="Arial" w:cs="Arial" w:eastAsia="Arial" w:hAnsi="Arial"/>
          <w:sz w:val="12"/>
          <w:szCs w:val="12"/>
          <w:color w:val="auto"/>
        </w:rPr>
        <w:t>UK amounts for the nine months ended September 30, 2022 cover April 8, 2022 (date of acquisition) to September 30, 2022.</w:t>
      </w:r>
    </w:p>
    <w:p>
      <w:pPr>
        <w:spacing w:after="0" w:line="57" w:lineRule="exact"/>
        <w:rPr>
          <w:rFonts w:ascii="Arial" w:cs="Arial" w:eastAsia="Arial" w:hAnsi="Arial"/>
          <w:sz w:val="16"/>
          <w:szCs w:val="16"/>
          <w:color w:val="auto"/>
          <w:vertAlign w:val="superscript"/>
        </w:rPr>
      </w:pPr>
    </w:p>
    <w:p>
      <w:pPr>
        <w:ind w:left="180" w:right="20" w:hanging="172"/>
        <w:spacing w:after="0" w:line="211" w:lineRule="auto"/>
        <w:tabs>
          <w:tab w:leader="none" w:pos="180"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MH annual sites included 9,834 and 9,126 rental homes in the Company's Rental Program during the three months ended September 30, 2023 and 2022, respectively. Our investment in occupied rental homes at September 30, 2023 was $655.8 million, an increase of 20.6% from $543.8 million at September 30, 2022.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Total Portfolio (Continued)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2023, the $22.4 million, or 6.0% increase in Real Property NOI as compared to the same period in 2022, consists of $11.4 million from Same Property MH and $4.7 million from Same Property RV from the North America operations, $5.7 million from Same Property Marina, and $0.6 million, net from the UK operations and other recently acquired or developed properties.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2023, the $57.1 million, or 6.3% increase in Real Property NOI as compared to the same period in 2022, consists of $26.7 million from Same Property MH and $9.0 million from Same Property RV from the North America operations, $18.4 million from Same Property Marina, and $3.0 million, net from the UK operations and other recently acquired or developed properties.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Same Property Portfolio</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Same Property refers to properties that we have owned for at least the preceding year, exclusive of properties recently completed or under construction, and other properties as determined by management. The Same Property data may change from time-to-time depending on acquisitions, dispositions, management discretion, significant transactions or unique situations. In order to evaluate the growth of the Same Property portfolio, management has classified certain items differently than our GAAP statement. The reclassification difference between our GAAP statements and our Same Property portfolio is the reclassification of utility revenues from real property revenue to operating expenses. Additionally, prior period Canadian currency figures have been translated at 2022 average exchange rates for constant currency comparability.</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reflect certain financial and other information for our Same Property MH, RV and Marina portfolios as of and for the three and nine months ended September 30, 2023 and 2022 (in millions, except for statistical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40" w:hanging="107"/>
        <w:spacing w:after="0" w:line="328" w:lineRule="auto"/>
        <w:rPr>
          <w:sz w:val="20"/>
          <w:szCs w:val="20"/>
          <w:color w:val="auto"/>
        </w:rPr>
      </w:pPr>
      <w:r>
        <w:rPr>
          <w:rFonts w:ascii="Arial" w:cs="Arial" w:eastAsia="Arial" w:hAnsi="Arial"/>
          <w:sz w:val="13"/>
          <w:szCs w:val="13"/>
          <w:b w:val="1"/>
          <w:bCs w:val="1"/>
          <w:color w:val="auto"/>
        </w:rPr>
        <w:t>Financial information Same Property Revenues</w:t>
      </w:r>
    </w:p>
    <w:p>
      <w:pPr>
        <w:ind w:left="240"/>
        <w:spacing w:after="0" w:line="238" w:lineRule="auto"/>
        <w:rPr>
          <w:sz w:val="20"/>
          <w:szCs w:val="20"/>
          <w:color w:val="auto"/>
        </w:rPr>
      </w:pPr>
      <w:r>
        <w:rPr>
          <w:rFonts w:ascii="Arial" w:cs="Arial" w:eastAsia="Arial" w:hAnsi="Arial"/>
          <w:sz w:val="15"/>
          <w:szCs w:val="15"/>
          <w:color w:val="auto"/>
        </w:rPr>
        <w:t>Real property (excluding transient)</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Real property - transient</w:t>
      </w:r>
    </w:p>
    <w:p>
      <w:pPr>
        <w:spacing w:after="0" w:line="42" w:lineRule="exact"/>
        <w:rPr>
          <w:sz w:val="20"/>
          <w:szCs w:val="20"/>
          <w:color w:val="auto"/>
        </w:rPr>
      </w:pPr>
    </w:p>
    <w:p>
      <w:pPr>
        <w:ind w:left="240" w:right="280"/>
        <w:spacing w:after="0" w:line="289" w:lineRule="auto"/>
        <w:rPr>
          <w:sz w:val="20"/>
          <w:szCs w:val="20"/>
          <w:color w:val="auto"/>
        </w:rPr>
      </w:pPr>
      <w:r>
        <w:rPr>
          <w:rFonts w:ascii="Arial" w:cs="Arial" w:eastAsia="Arial" w:hAnsi="Arial"/>
          <w:sz w:val="13"/>
          <w:szCs w:val="13"/>
          <w:color w:val="auto"/>
        </w:rPr>
        <w:t>Total Same Property operating revenues</w:t>
      </w:r>
    </w:p>
    <w:p>
      <w:pPr>
        <w:ind w:left="140"/>
        <w:spacing w:after="0"/>
        <w:rPr>
          <w:sz w:val="20"/>
          <w:szCs w:val="20"/>
          <w:color w:val="auto"/>
        </w:rPr>
      </w:pPr>
      <w:r>
        <w:rPr>
          <w:rFonts w:ascii="Arial" w:cs="Arial" w:eastAsia="Arial" w:hAnsi="Arial"/>
          <w:sz w:val="13"/>
          <w:szCs w:val="13"/>
          <w:b w:val="1"/>
          <w:bCs w:val="1"/>
          <w:color w:val="auto"/>
        </w:rPr>
        <w:t>Same Property Expenses</w:t>
      </w:r>
    </w:p>
    <w:p>
      <w:pPr>
        <w:spacing w:after="0" w:line="57" w:lineRule="exact"/>
        <w:rPr>
          <w:sz w:val="20"/>
          <w:szCs w:val="20"/>
          <w:color w:val="auto"/>
        </w:rPr>
      </w:pPr>
    </w:p>
    <w:p>
      <w:pPr>
        <w:ind w:left="240" w:right="20"/>
        <w:spacing w:after="0" w:line="273" w:lineRule="auto"/>
        <w:rPr>
          <w:sz w:val="20"/>
          <w:szCs w:val="20"/>
          <w:color w:val="auto"/>
        </w:rPr>
      </w:pPr>
      <w:r>
        <w:rPr>
          <w:rFonts w:ascii="Arial" w:cs="Arial" w:eastAsia="Arial" w:hAnsi="Arial"/>
          <w:sz w:val="14"/>
          <w:szCs w:val="14"/>
          <w:color w:val="auto"/>
        </w:rPr>
        <w:t>Same Property operating expenses</w:t>
      </w:r>
      <w:r>
        <w:rPr>
          <w:rFonts w:ascii="Arial" w:cs="Arial" w:eastAsia="Arial" w:hAnsi="Arial"/>
          <w:sz w:val="17"/>
          <w:szCs w:val="17"/>
          <w:color w:val="auto"/>
          <w:vertAlign w:val="superscript"/>
        </w:rPr>
        <w:t>(b)(d)</w:t>
      </w:r>
    </w:p>
    <w:p>
      <w:pPr>
        <w:ind w:left="140"/>
        <w:spacing w:after="0"/>
        <w:rPr>
          <w:sz w:val="20"/>
          <w:szCs w:val="20"/>
          <w:color w:val="auto"/>
        </w:rPr>
      </w:pPr>
      <w:r>
        <w:rPr>
          <w:rFonts w:ascii="Arial" w:cs="Arial" w:eastAsia="Arial" w:hAnsi="Arial"/>
          <w:sz w:val="15"/>
          <w:szCs w:val="15"/>
          <w:b w:val="1"/>
          <w:bCs w:val="1"/>
          <w:color w:val="auto"/>
        </w:rPr>
        <w:t>Real Property NOI</w:t>
      </w:r>
      <w:r>
        <w:rPr>
          <w:rFonts w:ascii="Arial" w:cs="Arial" w:eastAsia="Arial" w:hAnsi="Arial"/>
          <w:sz w:val="19"/>
          <w:szCs w:val="19"/>
          <w:b w:val="1"/>
          <w:bCs w:val="1"/>
          <w:color w:val="auto"/>
          <w:vertAlign w:val="superscript"/>
        </w:rPr>
        <w: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40" w:hanging="107"/>
        <w:spacing w:after="0" w:line="328" w:lineRule="auto"/>
        <w:rPr>
          <w:sz w:val="20"/>
          <w:szCs w:val="20"/>
          <w:color w:val="auto"/>
        </w:rPr>
      </w:pPr>
      <w:r>
        <w:rPr>
          <w:rFonts w:ascii="Arial" w:cs="Arial" w:eastAsia="Arial" w:hAnsi="Arial"/>
          <w:sz w:val="13"/>
          <w:szCs w:val="13"/>
          <w:b w:val="1"/>
          <w:bCs w:val="1"/>
          <w:color w:val="auto"/>
        </w:rPr>
        <w:t>Financial information Same Property Revenues</w:t>
      </w:r>
    </w:p>
    <w:p>
      <w:pPr>
        <w:ind w:left="240"/>
        <w:spacing w:after="0" w:line="253" w:lineRule="auto"/>
        <w:rPr>
          <w:sz w:val="20"/>
          <w:szCs w:val="20"/>
          <w:color w:val="auto"/>
        </w:rPr>
      </w:pPr>
      <w:r>
        <w:rPr>
          <w:rFonts w:ascii="Arial" w:cs="Arial" w:eastAsia="Arial" w:hAnsi="Arial"/>
          <w:sz w:val="15"/>
          <w:szCs w:val="15"/>
          <w:color w:val="auto"/>
        </w:rPr>
        <w:t>Real property (excluding transient)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Real property - transient</w:t>
      </w:r>
    </w:p>
    <w:p>
      <w:pPr>
        <w:spacing w:after="0" w:line="42" w:lineRule="exact"/>
        <w:rPr>
          <w:sz w:val="20"/>
          <w:szCs w:val="20"/>
          <w:color w:val="auto"/>
        </w:rPr>
      </w:pPr>
    </w:p>
    <w:p>
      <w:pPr>
        <w:ind w:left="240" w:right="280"/>
        <w:spacing w:after="0" w:line="289" w:lineRule="auto"/>
        <w:rPr>
          <w:sz w:val="20"/>
          <w:szCs w:val="20"/>
          <w:color w:val="auto"/>
        </w:rPr>
      </w:pPr>
      <w:r>
        <w:rPr>
          <w:rFonts w:ascii="Arial" w:cs="Arial" w:eastAsia="Arial" w:hAnsi="Arial"/>
          <w:sz w:val="13"/>
          <w:szCs w:val="13"/>
          <w:color w:val="auto"/>
        </w:rPr>
        <w:t>Total Same Property operating revenues</w:t>
      </w:r>
    </w:p>
    <w:p>
      <w:pPr>
        <w:ind w:left="140"/>
        <w:spacing w:after="0"/>
        <w:rPr>
          <w:sz w:val="20"/>
          <w:szCs w:val="20"/>
          <w:color w:val="auto"/>
        </w:rPr>
      </w:pPr>
      <w:r>
        <w:rPr>
          <w:rFonts w:ascii="Arial" w:cs="Arial" w:eastAsia="Arial" w:hAnsi="Arial"/>
          <w:sz w:val="13"/>
          <w:szCs w:val="13"/>
          <w:b w:val="1"/>
          <w:bCs w:val="1"/>
          <w:color w:val="auto"/>
        </w:rPr>
        <w:t>Same Property Expenses</w:t>
      </w:r>
    </w:p>
    <w:p>
      <w:pPr>
        <w:spacing w:after="0" w:line="57" w:lineRule="exact"/>
        <w:rPr>
          <w:sz w:val="20"/>
          <w:szCs w:val="20"/>
          <w:color w:val="auto"/>
        </w:rPr>
      </w:pPr>
    </w:p>
    <w:p>
      <w:pPr>
        <w:ind w:left="240" w:right="20"/>
        <w:spacing w:after="0" w:line="276" w:lineRule="auto"/>
        <w:rPr>
          <w:sz w:val="20"/>
          <w:szCs w:val="20"/>
          <w:color w:val="auto"/>
        </w:rPr>
      </w:pPr>
      <w:r>
        <w:rPr>
          <w:rFonts w:ascii="Arial" w:cs="Arial" w:eastAsia="Arial" w:hAnsi="Arial"/>
          <w:sz w:val="14"/>
          <w:szCs w:val="14"/>
          <w:color w:val="auto"/>
        </w:rPr>
        <w:t>Same Property operating expenses</w:t>
      </w:r>
      <w:r>
        <w:rPr>
          <w:rFonts w:ascii="Arial" w:cs="Arial" w:eastAsia="Arial" w:hAnsi="Arial"/>
          <w:sz w:val="17"/>
          <w:szCs w:val="17"/>
          <w:color w:val="auto"/>
          <w:vertAlign w:val="superscript"/>
        </w:rPr>
        <w:t>(b)(d)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Real Property NOI</w:t>
      </w:r>
      <w:r>
        <w:rPr>
          <w:rFonts w:ascii="Arial" w:cs="Arial" w:eastAsia="Arial" w:hAnsi="Arial"/>
          <w:sz w:val="19"/>
          <w:szCs w:val="19"/>
          <w:b w:val="1"/>
          <w:bCs w:val="1"/>
          <w:color w:val="auto"/>
          <w:vertAlign w:val="superscript"/>
        </w:rPr>
        <w:t>(d)</w:t>
      </w:r>
    </w:p>
    <w:p>
      <w:pPr>
        <w:spacing w:after="0" w:line="82" w:lineRule="exact"/>
        <w:rPr>
          <w:sz w:val="20"/>
          <w:szCs w:val="20"/>
          <w:color w:val="auto"/>
        </w:rPr>
      </w:pPr>
    </w:p>
    <w:p>
      <w:pPr>
        <w:ind w:left="240" w:right="220" w:hanging="215"/>
        <w:spacing w:after="0" w:line="304" w:lineRule="auto"/>
        <w:rPr>
          <w:sz w:val="20"/>
          <w:szCs w:val="20"/>
          <w:color w:val="auto"/>
        </w:rPr>
      </w:pPr>
      <w:r>
        <w:rPr>
          <w:rFonts w:ascii="Arial" w:cs="Arial" w:eastAsia="Arial" w:hAnsi="Arial"/>
          <w:sz w:val="14"/>
          <w:szCs w:val="14"/>
          <w:b w:val="1"/>
          <w:bCs w:val="1"/>
          <w:color w:val="auto"/>
        </w:rPr>
        <w:t xml:space="preserve">Other information </w:t>
      </w:r>
      <w:r>
        <w:rPr>
          <w:rFonts w:ascii="Arial" w:cs="Arial" w:eastAsia="Arial" w:hAnsi="Arial"/>
          <w:sz w:val="14"/>
          <w:szCs w:val="14"/>
          <w:color w:val="auto"/>
        </w:rPr>
        <w:t>Number of properties</w:t>
      </w:r>
    </w:p>
    <w:p>
      <w:pPr>
        <w:spacing w:after="0" w:line="1" w:lineRule="exact"/>
        <w:rPr>
          <w:sz w:val="20"/>
          <w:szCs w:val="20"/>
          <w:color w:val="auto"/>
        </w:rPr>
      </w:pPr>
    </w:p>
    <w:p>
      <w:pPr>
        <w:ind w:left="240" w:right="120"/>
        <w:spacing w:after="0" w:line="255" w:lineRule="auto"/>
        <w:rPr>
          <w:sz w:val="20"/>
          <w:szCs w:val="20"/>
          <w:color w:val="auto"/>
        </w:rPr>
      </w:pPr>
      <w:r>
        <w:rPr>
          <w:rFonts w:ascii="Arial" w:cs="Arial" w:eastAsia="Arial" w:hAnsi="Arial"/>
          <w:sz w:val="15"/>
          <w:szCs w:val="15"/>
          <w:color w:val="auto"/>
        </w:rPr>
        <w:t>Sites, wet slips and dry storage spaces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gridSpan w:val="8"/>
          </w:tcPr>
          <w:p>
            <w:pPr>
              <w:ind w:left="40"/>
              <w:spacing w:after="0"/>
              <w:rPr>
                <w:sz w:val="20"/>
                <w:szCs w:val="20"/>
                <w:color w:val="auto"/>
              </w:rPr>
            </w:pPr>
            <w:r>
              <w:rPr>
                <w:rFonts w:ascii="Arial" w:cs="Arial" w:eastAsia="Arial" w:hAnsi="Arial"/>
                <w:sz w:val="15"/>
                <w:szCs w:val="15"/>
                <w:b w:val="1"/>
                <w:bCs w:val="1"/>
                <w:color w:val="auto"/>
                <w:w w:val="91"/>
              </w:rPr>
              <w:t>September 30, 2023</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6"/>
          </w:tcPr>
          <w:p>
            <w:pPr>
              <w:ind w:left="40"/>
              <w:spacing w:after="0"/>
              <w:rPr>
                <w:sz w:val="20"/>
                <w:szCs w:val="20"/>
                <w:color w:val="auto"/>
              </w:rPr>
            </w:pPr>
            <w:r>
              <w:rPr>
                <w:rFonts w:ascii="Arial" w:cs="Arial" w:eastAsia="Arial" w:hAnsi="Arial"/>
                <w:sz w:val="15"/>
                <w:szCs w:val="15"/>
                <w:b w:val="1"/>
                <w:bCs w:val="1"/>
                <w:color w:val="auto"/>
                <w:w w:val="97"/>
              </w:rPr>
              <w:t>September 30, 2022</w:t>
            </w: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3"/>
          </w:tcPr>
          <w:p>
            <w:pPr>
              <w:jc w:val="center"/>
              <w:ind w:right="220"/>
              <w:spacing w:after="0"/>
              <w:rPr>
                <w:sz w:val="20"/>
                <w:szCs w:val="20"/>
                <w:color w:val="auto"/>
              </w:rPr>
            </w:pPr>
            <w:r>
              <w:rPr>
                <w:rFonts w:ascii="Arial" w:cs="Arial" w:eastAsia="Arial" w:hAnsi="Arial"/>
                <w:sz w:val="15"/>
                <w:szCs w:val="15"/>
                <w:b w:val="1"/>
                <w:bCs w:val="1"/>
                <w:color w:val="auto"/>
                <w:w w:val="94"/>
              </w:rPr>
              <w:t>Total</w:t>
            </w:r>
          </w:p>
        </w:tc>
        <w:tc>
          <w:tcPr>
            <w:tcW w:w="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4"/>
          </w:tcPr>
          <w:p>
            <w:pPr>
              <w:ind w:left="300"/>
              <w:spacing w:after="0" w:line="204" w:lineRule="exact"/>
              <w:rPr>
                <w:sz w:val="20"/>
                <w:szCs w:val="20"/>
                <w:color w:val="auto"/>
              </w:rPr>
            </w:pPr>
            <w:r>
              <w:rPr>
                <w:rFonts w:ascii="Arial" w:cs="Arial" w:eastAsia="Arial" w:hAnsi="Arial"/>
                <w:sz w:val="15"/>
                <w:szCs w:val="15"/>
                <w:b w:val="1"/>
                <w:bCs w:val="1"/>
                <w:color w:val="auto"/>
              </w:rPr>
              <w:t>% Change</w:t>
            </w:r>
            <w:r>
              <w:rPr>
                <w:rFonts w:ascii="Arial" w:cs="Arial" w:eastAsia="Arial" w:hAnsi="Arial"/>
                <w:sz w:val="19"/>
                <w:szCs w:val="19"/>
                <w:b w:val="1"/>
                <w:bCs w:val="1"/>
                <w:color w:val="auto"/>
                <w:vertAlign w:val="superscript"/>
              </w:rPr>
              <w:t>(c)</w:t>
            </w:r>
          </w:p>
        </w:tc>
        <w:tc>
          <w:tcPr>
            <w:tcW w:w="680" w:type="dxa"/>
            <w:vAlign w:val="bottom"/>
            <w:tcBorders>
              <w:top w:val="single" w:sz="8" w:color="auto"/>
              <w:bottom w:val="single" w:sz="8" w:color="auto"/>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ind w:left="20"/>
              <w:spacing w:after="0" w:line="195" w:lineRule="exact"/>
              <w:rPr>
                <w:sz w:val="20"/>
                <w:szCs w:val="20"/>
                <w:color w:val="auto"/>
              </w:rPr>
            </w:pPr>
            <w:r>
              <w:rPr>
                <w:rFonts w:ascii="Arial" w:cs="Arial" w:eastAsia="Arial" w:hAnsi="Arial"/>
                <w:sz w:val="22"/>
                <w:szCs w:val="22"/>
                <w:b w:val="1"/>
                <w:bCs w:val="1"/>
                <w:color w:val="auto"/>
                <w:vertAlign w:val="subscript"/>
              </w:rPr>
              <w:t>MH</w:t>
            </w:r>
            <w:r>
              <w:rPr>
                <w:rFonts w:ascii="Arial" w:cs="Arial" w:eastAsia="Arial" w:hAnsi="Arial"/>
                <w:sz w:val="8"/>
                <w:szCs w:val="8"/>
                <w:b w:val="1"/>
                <w:bCs w:val="1"/>
                <w:color w:val="auto"/>
              </w:rPr>
              <w:t>(a)</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ind w:left="40"/>
              <w:spacing w:after="0" w:line="195" w:lineRule="exact"/>
              <w:rPr>
                <w:sz w:val="20"/>
                <w:szCs w:val="20"/>
                <w:color w:val="auto"/>
              </w:rPr>
            </w:pPr>
            <w:r>
              <w:rPr>
                <w:rFonts w:ascii="Arial" w:cs="Arial" w:eastAsia="Arial" w:hAnsi="Arial"/>
                <w:sz w:val="22"/>
                <w:szCs w:val="22"/>
                <w:b w:val="1"/>
                <w:bCs w:val="1"/>
                <w:color w:val="auto"/>
                <w:vertAlign w:val="subscript"/>
              </w:rPr>
              <w:t>RV</w:t>
            </w:r>
            <w:r>
              <w:rPr>
                <w:rFonts w:ascii="Arial" w:cs="Arial" w:eastAsia="Arial" w:hAnsi="Arial"/>
                <w:sz w:val="8"/>
                <w:szCs w:val="8"/>
                <w:b w:val="1"/>
                <w:bCs w:val="1"/>
                <w:color w:val="auto"/>
              </w:rPr>
              <w:t>(a)</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Marina</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49"/>
              <w:spacing w:after="0" w:line="195" w:lineRule="exact"/>
              <w:rPr>
                <w:sz w:val="20"/>
                <w:szCs w:val="20"/>
                <w:color w:val="auto"/>
              </w:rPr>
            </w:pPr>
            <w:r>
              <w:rPr>
                <w:rFonts w:ascii="Arial" w:cs="Arial" w:eastAsia="Arial" w:hAnsi="Arial"/>
                <w:sz w:val="22"/>
                <w:szCs w:val="22"/>
                <w:b w:val="1"/>
                <w:bCs w:val="1"/>
                <w:color w:val="auto"/>
                <w:vertAlign w:val="subscript"/>
              </w:rPr>
              <w:t>MH</w:t>
            </w:r>
            <w:r>
              <w:rPr>
                <w:rFonts w:ascii="Arial" w:cs="Arial" w:eastAsia="Arial" w:hAnsi="Arial"/>
                <w:sz w:val="8"/>
                <w:szCs w:val="8"/>
                <w:b w:val="1"/>
                <w:bCs w:val="1"/>
                <w:color w:val="auto"/>
              </w:rPr>
              <w:t>(a)</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8"/>
              <w:spacing w:after="0" w:line="195" w:lineRule="exact"/>
              <w:rPr>
                <w:sz w:val="20"/>
                <w:szCs w:val="20"/>
                <w:color w:val="auto"/>
              </w:rPr>
            </w:pPr>
            <w:r>
              <w:rPr>
                <w:rFonts w:ascii="Arial" w:cs="Arial" w:eastAsia="Arial" w:hAnsi="Arial"/>
                <w:sz w:val="22"/>
                <w:szCs w:val="22"/>
                <w:b w:val="1"/>
                <w:bCs w:val="1"/>
                <w:color w:val="auto"/>
                <w:vertAlign w:val="subscript"/>
              </w:rPr>
              <w:t>RV</w:t>
            </w:r>
            <w:r>
              <w:rPr>
                <w:rFonts w:ascii="Arial" w:cs="Arial" w:eastAsia="Arial" w:hAnsi="Arial"/>
                <w:sz w:val="8"/>
                <w:szCs w:val="8"/>
                <w:b w:val="1"/>
                <w:bCs w:val="1"/>
                <w:color w:val="auto"/>
              </w:rPr>
              <w:t>(a)</w:t>
            </w:r>
          </w:p>
        </w:tc>
        <w:tc>
          <w:tcPr>
            <w:tcW w:w="80" w:type="dxa"/>
            <w:vAlign w:val="bottom"/>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Marina</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Total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0"/>
              </w:rPr>
              <w:t>Change</w:t>
            </w:r>
          </w:p>
        </w:tc>
        <w:tc>
          <w:tcPr>
            <w:tcW w:w="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MH</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RV</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Marina</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5"/>
                <w:szCs w:val="15"/>
                <w:b w:val="1"/>
                <w:bCs w:val="1"/>
                <w:color w:val="auto"/>
              </w:rPr>
              <w:t>Total</w:t>
            </w:r>
            <w:r>
              <w:rPr>
                <w:rFonts w:ascii="Arial" w:cs="Arial" w:eastAsia="Arial" w:hAnsi="Arial"/>
                <w:sz w:val="19"/>
                <w:szCs w:val="19"/>
                <w:b w:val="1"/>
                <w:bCs w:val="1"/>
                <w:color w:val="auto"/>
                <w:vertAlign w:val="superscript"/>
              </w:rPr>
              <w:t>(d)</w:t>
            </w:r>
          </w:p>
        </w:tc>
      </w:tr>
      <w:tr>
        <w:trPr>
          <w:trHeight w:val="742"/>
        </w:trPr>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209.2</w:t>
            </w:r>
          </w:p>
        </w:tc>
        <w:tc>
          <w:tcPr>
            <w:tcW w:w="40" w:type="dxa"/>
            <w:vAlign w:val="bottom"/>
          </w:tcPr>
          <w:p>
            <w:pPr>
              <w:spacing w:after="0"/>
              <w:rPr>
                <w:sz w:val="24"/>
                <w:szCs w:val="24"/>
                <w:color w:val="auto"/>
              </w:rPr>
            </w:pP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74.4</w:t>
            </w:r>
          </w:p>
        </w:tc>
        <w:tc>
          <w:tcPr>
            <w:tcW w:w="40" w:type="dxa"/>
            <w:vAlign w:val="bottom"/>
          </w:tcPr>
          <w:p>
            <w:pPr>
              <w:spacing w:after="0"/>
              <w:rPr>
                <w:sz w:val="24"/>
                <w:szCs w:val="24"/>
                <w:color w:val="auto"/>
              </w:rPr>
            </w:pP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91.0</w:t>
            </w:r>
          </w:p>
        </w:tc>
        <w:tc>
          <w:tcPr>
            <w:tcW w:w="4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374.6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195.0</w:t>
            </w:r>
          </w:p>
        </w:tc>
        <w:tc>
          <w:tcPr>
            <w:tcW w:w="8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ind w:right="8"/>
              <w:spacing w:after="0"/>
              <w:rPr>
                <w:sz w:val="20"/>
                <w:szCs w:val="20"/>
                <w:color w:val="auto"/>
              </w:rPr>
            </w:pPr>
            <w:r>
              <w:rPr>
                <w:rFonts w:ascii="Arial" w:cs="Arial" w:eastAsia="Arial" w:hAnsi="Arial"/>
                <w:sz w:val="15"/>
                <w:szCs w:val="15"/>
                <w:color w:val="auto"/>
              </w:rPr>
              <w:t>64.7</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85.8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345.5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29.1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7.3 %</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15.0 %</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6.0 %</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8.4 %</w:t>
            </w:r>
          </w:p>
        </w:tc>
      </w:tr>
      <w:tr>
        <w:trPr>
          <w:trHeight w:val="207"/>
        </w:trPr>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0.4</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118.4</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123.9</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w w:val="97"/>
              </w:rPr>
              <w:t>(2.8)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72.6 %</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47.1 %</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r>
      <w:tr>
        <w:trPr>
          <w:trHeight w:val="340"/>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209.6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192.8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98.9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501.3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195.2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8"/>
              <w:spacing w:after="0"/>
              <w:rPr>
                <w:sz w:val="20"/>
                <w:szCs w:val="20"/>
                <w:color w:val="auto"/>
              </w:rPr>
            </w:pPr>
            <w:r>
              <w:rPr>
                <w:rFonts w:ascii="Arial" w:cs="Arial" w:eastAsia="Arial" w:hAnsi="Arial"/>
                <w:sz w:val="15"/>
                <w:szCs w:val="15"/>
                <w:color w:val="auto"/>
              </w:rPr>
              <w:t>188.6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475.0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26.3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7.4 %</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2.2 %</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8.4 %</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5.5 %</w:t>
            </w:r>
          </w:p>
        </w:tc>
      </w:tr>
      <w:tr>
        <w:trPr>
          <w:trHeight w:val="571"/>
        </w:trPr>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57.1</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69.3</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54.1</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69.8</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5.7 %</w:t>
            </w:r>
          </w:p>
        </w:tc>
        <w:tc>
          <w:tcPr>
            <w:tcW w:w="8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w:t>
            </w:r>
          </w:p>
        </w:tc>
        <w:tc>
          <w:tcPr>
            <w:tcW w:w="8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7.4 %</w:t>
            </w:r>
          </w:p>
        </w:tc>
        <w:tc>
          <w:tcPr>
            <w:tcW w:w="8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3.0 %</w:t>
            </w:r>
          </w:p>
        </w:tc>
      </w:tr>
      <w:tr>
        <w:trPr>
          <w:trHeight w:val="196"/>
        </w:trPr>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152.5</w:t>
            </w:r>
          </w:p>
        </w:tc>
        <w:tc>
          <w:tcPr>
            <w:tcW w:w="40" w:type="dxa"/>
            <w:vAlign w:val="bottom"/>
            <w:tcBorders>
              <w:bottom w:val="single" w:sz="8" w:color="auto"/>
            </w:tcBorders>
          </w:tcPr>
          <w:p>
            <w:pPr>
              <w:spacing w:after="0"/>
              <w:rPr>
                <w:sz w:val="17"/>
                <w:szCs w:val="17"/>
                <w:color w:val="auto"/>
              </w:rPr>
            </w:pPr>
          </w:p>
        </w:tc>
        <w:tc>
          <w:tcPr>
            <w:tcW w:w="80" w:type="dxa"/>
            <w:vAlign w:val="bottom"/>
            <w:gridSpan w:val="2"/>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123.5</w:t>
            </w:r>
          </w:p>
        </w:tc>
        <w:tc>
          <w:tcPr>
            <w:tcW w:w="40" w:type="dxa"/>
            <w:vAlign w:val="bottom"/>
            <w:tcBorders>
              <w:bottom w:val="single" w:sz="8" w:color="auto"/>
            </w:tcBorders>
          </w:tcPr>
          <w:p>
            <w:pPr>
              <w:spacing w:after="0"/>
              <w:rPr>
                <w:sz w:val="17"/>
                <w:szCs w:val="17"/>
                <w:color w:val="auto"/>
              </w:rPr>
            </w:pPr>
          </w:p>
        </w:tc>
        <w:tc>
          <w:tcPr>
            <w:tcW w:w="80" w:type="dxa"/>
            <w:vAlign w:val="bottom"/>
            <w:gridSpan w:val="2"/>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w:t>
            </w:r>
          </w:p>
        </w:tc>
        <w:tc>
          <w:tcPr>
            <w:tcW w:w="40" w:type="dxa"/>
            <w:vAlign w:val="bottom"/>
            <w:tcBorders>
              <w:bottom w:val="single" w:sz="8" w:color="auto"/>
            </w:tcBorders>
          </w:tcPr>
          <w:p>
            <w:pPr>
              <w:spacing w:after="0"/>
              <w:rPr>
                <w:sz w:val="17"/>
                <w:szCs w:val="17"/>
                <w:color w:val="auto"/>
              </w:rPr>
            </w:pPr>
          </w:p>
        </w:tc>
        <w:tc>
          <w:tcPr>
            <w:tcW w:w="8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345.2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141.1</w:t>
            </w:r>
          </w:p>
        </w:tc>
        <w:tc>
          <w:tcPr>
            <w:tcW w:w="8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118.8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323.4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4.1 %</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8.9 %</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6.7 %</w:t>
            </w:r>
          </w:p>
        </w:tc>
      </w:tr>
      <w:tr>
        <w:trPr>
          <w:trHeight w:val="24"/>
        </w:trPr>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664"/>
        </w:trPr>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9"/>
          </w:tcPr>
          <w:p>
            <w:pPr>
              <w:ind w:left="300"/>
              <w:spacing w:after="0"/>
              <w:rPr>
                <w:sz w:val="20"/>
                <w:szCs w:val="20"/>
                <w:color w:val="auto"/>
              </w:rPr>
            </w:pPr>
            <w:r>
              <w:rPr>
                <w:rFonts w:ascii="Arial" w:cs="Arial" w:eastAsia="Arial" w:hAnsi="Arial"/>
                <w:sz w:val="15"/>
                <w:szCs w:val="15"/>
                <w:b w:val="1"/>
                <w:bCs w:val="1"/>
                <w:color w:val="auto"/>
              </w:rPr>
              <w:t>Nine Months Ended</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14"/>
        </w:trPr>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8"/>
          </w:tcPr>
          <w:p>
            <w:pPr>
              <w:spacing w:after="0"/>
              <w:rPr>
                <w:sz w:val="20"/>
                <w:szCs w:val="20"/>
                <w:color w:val="auto"/>
              </w:rPr>
            </w:pPr>
            <w:r>
              <w:rPr>
                <w:rFonts w:ascii="Arial" w:cs="Arial" w:eastAsia="Arial" w:hAnsi="Arial"/>
                <w:sz w:val="15"/>
                <w:szCs w:val="15"/>
                <w:b w:val="1"/>
                <w:bCs w:val="1"/>
                <w:color w:val="auto"/>
                <w:w w:val="94"/>
              </w:rPr>
              <w:t>September 30, 2023</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ind w:left="60"/>
              <w:spacing w:after="0"/>
              <w:rPr>
                <w:sz w:val="20"/>
                <w:szCs w:val="20"/>
                <w:color w:val="auto"/>
              </w:rPr>
            </w:pPr>
            <w:r>
              <w:rPr>
                <w:rFonts w:ascii="Arial" w:cs="Arial" w:eastAsia="Arial" w:hAnsi="Arial"/>
                <w:sz w:val="15"/>
                <w:szCs w:val="15"/>
                <w:b w:val="1"/>
                <w:bCs w:val="1"/>
                <w:color w:val="auto"/>
                <w:w w:val="95"/>
              </w:rPr>
              <w:t>September 30, 2022</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4"/>
              </w:rPr>
              <w:t>Total</w:t>
            </w:r>
          </w:p>
        </w:tc>
        <w:tc>
          <w:tcPr>
            <w:tcW w:w="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ind w:left="320"/>
              <w:spacing w:after="0" w:line="203" w:lineRule="exact"/>
              <w:rPr>
                <w:sz w:val="20"/>
                <w:szCs w:val="20"/>
                <w:color w:val="auto"/>
              </w:rPr>
            </w:pPr>
            <w:r>
              <w:rPr>
                <w:rFonts w:ascii="Arial" w:cs="Arial" w:eastAsia="Arial" w:hAnsi="Arial"/>
                <w:sz w:val="15"/>
                <w:szCs w:val="15"/>
                <w:b w:val="1"/>
                <w:bCs w:val="1"/>
                <w:color w:val="auto"/>
              </w:rPr>
              <w:t>% Change</w:t>
            </w:r>
            <w:r>
              <w:rPr>
                <w:rFonts w:ascii="Arial" w:cs="Arial" w:eastAsia="Arial" w:hAnsi="Arial"/>
                <w:sz w:val="19"/>
                <w:szCs w:val="19"/>
                <w:b w:val="1"/>
                <w:bCs w:val="1"/>
                <w:color w:val="auto"/>
                <w:vertAlign w:val="superscript"/>
              </w:rPr>
              <w:t>(c)</w:t>
            </w:r>
          </w:p>
        </w:tc>
        <w:tc>
          <w:tcPr>
            <w:tcW w:w="680" w:type="dxa"/>
            <w:vAlign w:val="bottom"/>
            <w:tcBorders>
              <w:bottom w:val="single" w:sz="8" w:color="auto"/>
            </w:tcBorders>
          </w:tcPr>
          <w:p>
            <w:pPr>
              <w:spacing w:after="0"/>
              <w:rPr>
                <w:sz w:val="18"/>
                <w:szCs w:val="18"/>
                <w:color w:val="auto"/>
              </w:rPr>
            </w:pPr>
          </w:p>
        </w:tc>
      </w:tr>
      <w:tr>
        <w:trPr>
          <w:trHeight w:val="183"/>
        </w:trPr>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46"/>
              <w:spacing w:after="0" w:line="183" w:lineRule="exact"/>
              <w:rPr>
                <w:sz w:val="20"/>
                <w:szCs w:val="20"/>
                <w:color w:val="auto"/>
              </w:rPr>
            </w:pPr>
            <w:r>
              <w:rPr>
                <w:rFonts w:ascii="Arial" w:cs="Arial" w:eastAsia="Arial" w:hAnsi="Arial"/>
                <w:sz w:val="21"/>
                <w:szCs w:val="21"/>
                <w:b w:val="1"/>
                <w:bCs w:val="1"/>
                <w:color w:val="auto"/>
                <w:vertAlign w:val="subscript"/>
              </w:rPr>
              <w:t>MH</w:t>
            </w:r>
            <w:r>
              <w:rPr>
                <w:rFonts w:ascii="Arial" w:cs="Arial" w:eastAsia="Arial" w:hAnsi="Arial"/>
                <w:sz w:val="8"/>
                <w:szCs w:val="8"/>
                <w:b w:val="1"/>
                <w:bCs w:val="1"/>
                <w:color w:val="auto"/>
              </w:rPr>
              <w:t>(a)</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9"/>
              <w:spacing w:after="0" w:line="183" w:lineRule="exact"/>
              <w:rPr>
                <w:sz w:val="20"/>
                <w:szCs w:val="20"/>
                <w:color w:val="auto"/>
              </w:rPr>
            </w:pPr>
            <w:r>
              <w:rPr>
                <w:rFonts w:ascii="Arial" w:cs="Arial" w:eastAsia="Arial" w:hAnsi="Arial"/>
                <w:sz w:val="21"/>
                <w:szCs w:val="21"/>
                <w:b w:val="1"/>
                <w:bCs w:val="1"/>
                <w:color w:val="auto"/>
                <w:vertAlign w:val="subscript"/>
              </w:rPr>
              <w:t>RV</w:t>
            </w:r>
            <w:r>
              <w:rPr>
                <w:rFonts w:ascii="Arial" w:cs="Arial" w:eastAsia="Arial" w:hAnsi="Arial"/>
                <w:sz w:val="8"/>
                <w:szCs w:val="8"/>
                <w:b w:val="1"/>
                <w:bCs w:val="1"/>
                <w:color w:val="auto"/>
              </w:rPr>
              <w:t>(a)</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Marina</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4"/>
              </w:rPr>
              <w:t>Total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49"/>
              <w:spacing w:after="0" w:line="183" w:lineRule="exact"/>
              <w:rPr>
                <w:sz w:val="20"/>
                <w:szCs w:val="20"/>
                <w:color w:val="auto"/>
              </w:rPr>
            </w:pPr>
            <w:r>
              <w:rPr>
                <w:rFonts w:ascii="Arial" w:cs="Arial" w:eastAsia="Arial" w:hAnsi="Arial"/>
                <w:sz w:val="21"/>
                <w:szCs w:val="21"/>
                <w:b w:val="1"/>
                <w:bCs w:val="1"/>
                <w:color w:val="auto"/>
                <w:vertAlign w:val="subscript"/>
              </w:rPr>
              <w:t>MH</w:t>
            </w:r>
            <w:r>
              <w:rPr>
                <w:rFonts w:ascii="Arial" w:cs="Arial" w:eastAsia="Arial" w:hAnsi="Arial"/>
                <w:sz w:val="8"/>
                <w:szCs w:val="8"/>
                <w:b w:val="1"/>
                <w:bCs w:val="1"/>
                <w:color w:val="auto"/>
              </w:rPr>
              <w:t>(a)</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8"/>
              <w:spacing w:after="0" w:line="183" w:lineRule="exact"/>
              <w:rPr>
                <w:sz w:val="20"/>
                <w:szCs w:val="20"/>
                <w:color w:val="auto"/>
              </w:rPr>
            </w:pPr>
            <w:r>
              <w:rPr>
                <w:rFonts w:ascii="Arial" w:cs="Arial" w:eastAsia="Arial" w:hAnsi="Arial"/>
                <w:sz w:val="21"/>
                <w:szCs w:val="21"/>
                <w:b w:val="1"/>
                <w:bCs w:val="1"/>
                <w:color w:val="auto"/>
                <w:vertAlign w:val="subscript"/>
              </w:rPr>
              <w:t>RV</w:t>
            </w:r>
            <w:r>
              <w:rPr>
                <w:rFonts w:ascii="Arial" w:cs="Arial" w:eastAsia="Arial" w:hAnsi="Arial"/>
                <w:sz w:val="8"/>
                <w:szCs w:val="8"/>
                <w:b w:val="1"/>
                <w:bCs w:val="1"/>
                <w:color w:val="auto"/>
              </w:rPr>
              <w:t>(a)</w:t>
            </w:r>
          </w:p>
        </w:tc>
        <w:tc>
          <w:tcPr>
            <w:tcW w:w="80" w:type="dxa"/>
            <w:vAlign w:val="bottom"/>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Marina</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b w:val="1"/>
                <w:bCs w:val="1"/>
                <w:color w:val="auto"/>
              </w:rPr>
              <w:t>Total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0"/>
              </w:rPr>
              <w:t>Change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MH</w:t>
            </w:r>
          </w:p>
        </w:tc>
        <w:tc>
          <w:tcPr>
            <w:tcW w:w="80" w:type="dxa"/>
            <w:vAlign w:val="bottom"/>
          </w:tcPr>
          <w:p>
            <w:pPr>
              <w:spacing w:after="0"/>
              <w:rPr>
                <w:sz w:val="15"/>
                <w:szCs w:val="15"/>
                <w:color w:val="auto"/>
              </w:rPr>
            </w:pPr>
          </w:p>
        </w:tc>
        <w:tc>
          <w:tcPr>
            <w:tcW w:w="6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RV</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Marina</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5"/>
                <w:szCs w:val="15"/>
                <w:b w:val="1"/>
                <w:bCs w:val="1"/>
                <w:color w:val="auto"/>
              </w:rPr>
              <w:t>Total</w:t>
            </w:r>
            <w:r>
              <w:rPr>
                <w:rFonts w:ascii="Arial" w:cs="Arial" w:eastAsia="Arial" w:hAnsi="Arial"/>
                <w:sz w:val="19"/>
                <w:szCs w:val="19"/>
                <w:b w:val="1"/>
                <w:bCs w:val="1"/>
                <w:color w:val="auto"/>
                <w:vertAlign w:val="superscript"/>
              </w:rPr>
              <w:t>(d)</w:t>
            </w:r>
          </w:p>
        </w:tc>
      </w:tr>
      <w:tr>
        <w:trPr>
          <w:trHeight w:val="741"/>
        </w:trPr>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619.5</w:t>
            </w:r>
          </w:p>
        </w:tc>
        <w:tc>
          <w:tcPr>
            <w:tcW w:w="4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198.7</w:t>
            </w:r>
          </w:p>
        </w:tc>
        <w:tc>
          <w:tcPr>
            <w:tcW w:w="4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244.5</w:t>
            </w:r>
          </w:p>
        </w:tc>
        <w:tc>
          <w:tcPr>
            <w:tcW w:w="4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87"/>
              </w:rPr>
              <w:t>1,062.7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579.9</w:t>
            </w:r>
          </w:p>
        </w:tc>
        <w:tc>
          <w:tcPr>
            <w:tcW w:w="8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ind w:right="8"/>
              <w:spacing w:after="0"/>
              <w:rPr>
                <w:sz w:val="20"/>
                <w:szCs w:val="20"/>
                <w:color w:val="auto"/>
              </w:rPr>
            </w:pPr>
            <w:r>
              <w:rPr>
                <w:rFonts w:ascii="Arial" w:cs="Arial" w:eastAsia="Arial" w:hAnsi="Arial"/>
                <w:sz w:val="15"/>
                <w:szCs w:val="15"/>
                <w:color w:val="auto"/>
              </w:rPr>
              <w:t>171.9</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227.1</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978.9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ind w:left="160"/>
              <w:spacing w:after="0"/>
              <w:rPr>
                <w:sz w:val="20"/>
                <w:szCs w:val="20"/>
                <w:color w:val="auto"/>
              </w:rPr>
            </w:pPr>
            <w:r>
              <w:rPr>
                <w:rFonts w:ascii="Arial" w:cs="Arial" w:eastAsia="Arial" w:hAnsi="Arial"/>
                <w:sz w:val="15"/>
                <w:szCs w:val="15"/>
                <w:color w:val="auto"/>
              </w:rPr>
              <w:t>83.8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6.8 %</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15.6 %</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7.7 %</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8.6 %</w:t>
            </w:r>
          </w:p>
        </w:tc>
      </w:tr>
      <w:tr>
        <w:trPr>
          <w:trHeight w:val="207"/>
        </w:trPr>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236.7</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11.8 %</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39.5 %</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r>
      <w:tr>
        <w:trPr>
          <w:trHeight w:val="340"/>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620.5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423.1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262.0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87"/>
              </w:rPr>
              <w:t>1,305.6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580.8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8"/>
              <w:spacing w:after="0"/>
              <w:rPr>
                <w:sz w:val="20"/>
                <w:szCs w:val="20"/>
                <w:color w:val="auto"/>
              </w:rPr>
            </w:pPr>
            <w:r>
              <w:rPr>
                <w:rFonts w:ascii="Arial" w:cs="Arial" w:eastAsia="Arial" w:hAnsi="Arial"/>
                <w:sz w:val="15"/>
                <w:szCs w:val="15"/>
                <w:color w:val="auto"/>
              </w:rPr>
              <w:t>408.6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239.6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87"/>
              </w:rPr>
              <w:t>1,229.0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15"/>
                <w:szCs w:val="15"/>
                <w:color w:val="auto"/>
              </w:rPr>
              <w:t>76.6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6.8 %</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3.6 %</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9.4 %</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6.2 %</w:t>
            </w:r>
          </w:p>
        </w:tc>
      </w:tr>
      <w:tr>
        <w:trPr>
          <w:trHeight w:val="571"/>
        </w:trPr>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154.0</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172.9</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80.1</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407.0</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22.5</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8.5 %</w:t>
            </w:r>
          </w:p>
        </w:tc>
        <w:tc>
          <w:tcPr>
            <w:tcW w:w="8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3.1 %</w:t>
            </w:r>
          </w:p>
        </w:tc>
        <w:tc>
          <w:tcPr>
            <w:tcW w:w="8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5.1 %</w:t>
            </w:r>
          </w:p>
        </w:tc>
        <w:tc>
          <w:tcPr>
            <w:tcW w:w="8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5.5 %</w:t>
            </w:r>
          </w:p>
        </w:tc>
      </w:tr>
      <w:tr>
        <w:trPr>
          <w:trHeight w:val="196"/>
        </w:trPr>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453.5</w:t>
            </w:r>
          </w:p>
        </w:tc>
        <w:tc>
          <w:tcPr>
            <w:tcW w:w="4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244.7</w:t>
            </w:r>
          </w:p>
        </w:tc>
        <w:tc>
          <w:tcPr>
            <w:tcW w:w="4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177.9</w:t>
            </w:r>
          </w:p>
        </w:tc>
        <w:tc>
          <w:tcPr>
            <w:tcW w:w="4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876.1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426.8</w:t>
            </w: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ind w:right="8"/>
              <w:spacing w:after="0"/>
              <w:rPr>
                <w:sz w:val="20"/>
                <w:szCs w:val="20"/>
                <w:color w:val="auto"/>
              </w:rPr>
            </w:pPr>
            <w:r>
              <w:rPr>
                <w:rFonts w:ascii="Arial" w:cs="Arial" w:eastAsia="Arial" w:hAnsi="Arial"/>
                <w:sz w:val="15"/>
                <w:szCs w:val="15"/>
                <w:color w:val="auto"/>
              </w:rPr>
              <w:t>235.7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159.5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822.0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ind w:left="160"/>
              <w:spacing w:after="0"/>
              <w:rPr>
                <w:sz w:val="20"/>
                <w:szCs w:val="20"/>
                <w:color w:val="auto"/>
              </w:rPr>
            </w:pPr>
            <w:r>
              <w:rPr>
                <w:rFonts w:ascii="Arial" w:cs="Arial" w:eastAsia="Arial" w:hAnsi="Arial"/>
                <w:sz w:val="15"/>
                <w:szCs w:val="15"/>
                <w:color w:val="auto"/>
              </w:rPr>
              <w:t>54.1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6.2 %</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3.9 %</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11.5 %</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6.6 %</w:t>
            </w:r>
          </w:p>
        </w:tc>
      </w:tr>
      <w:tr>
        <w:trPr>
          <w:trHeight w:val="25"/>
        </w:trPr>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r>
      <w:tr>
        <w:trPr>
          <w:trHeight w:val="471"/>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161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288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8"/>
              <w:spacing w:after="0"/>
              <w:rPr>
                <w:sz w:val="20"/>
                <w:szCs w:val="20"/>
                <w:color w:val="auto"/>
              </w:rPr>
            </w:pPr>
            <w:r>
              <w:rPr>
                <w:rFonts w:ascii="Arial" w:cs="Arial" w:eastAsia="Arial" w:hAnsi="Arial"/>
                <w:sz w:val="15"/>
                <w:szCs w:val="15"/>
                <w:color w:val="auto"/>
              </w:rPr>
              <w:t>161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568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7"/>
              </w:rPr>
              <w:t>98,590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7"/>
              </w:rPr>
              <w:t>54,630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1"/>
              </w:rPr>
              <w:t>40,890</w:t>
            </w:r>
          </w:p>
        </w:tc>
        <w:tc>
          <w:tcPr>
            <w:tcW w:w="40" w:type="dxa"/>
            <w:vAlign w:val="bottom"/>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Arial" w:cs="Arial" w:eastAsia="Arial" w:hAnsi="Arial"/>
                <w:sz w:val="15"/>
                <w:szCs w:val="15"/>
                <w:color w:val="auto"/>
              </w:rPr>
              <w:t>194,110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1"/>
              </w:rPr>
              <w:t>97,830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8"/>
              <w:spacing w:after="0"/>
              <w:rPr>
                <w:sz w:val="20"/>
                <w:szCs w:val="20"/>
                <w:color w:val="auto"/>
              </w:rPr>
            </w:pPr>
            <w:r>
              <w:rPr>
                <w:rFonts w:ascii="Arial" w:cs="Arial" w:eastAsia="Arial" w:hAnsi="Arial"/>
                <w:sz w:val="15"/>
                <w:szCs w:val="15"/>
                <w:color w:val="auto"/>
                <w:w w:val="91"/>
              </w:rPr>
              <w:t>54,340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1"/>
              </w:rPr>
              <w:t>40,690</w:t>
            </w:r>
          </w:p>
        </w:tc>
        <w:tc>
          <w:tcPr>
            <w:tcW w:w="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192,860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-3997325</wp:posOffset>
            </wp:positionV>
            <wp:extent cx="713232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-3740150</wp:posOffset>
            </wp:positionV>
            <wp:extent cx="7132320" cy="231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-3380105</wp:posOffset>
            </wp:positionV>
            <wp:extent cx="7132320" cy="231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-3020060</wp:posOffset>
            </wp:positionV>
            <wp:extent cx="7132320" cy="2311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-2634615</wp:posOffset>
            </wp:positionV>
            <wp:extent cx="7132320"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6858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-1914525</wp:posOffset>
            </wp:positionV>
            <wp:extent cx="713232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-1657350</wp:posOffset>
            </wp:positionV>
            <wp:extent cx="7132320" cy="2317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-1297305</wp:posOffset>
            </wp:positionV>
            <wp:extent cx="7132320" cy="2311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-937260</wp:posOffset>
            </wp:positionV>
            <wp:extent cx="7132320" cy="2317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-551180</wp:posOffset>
            </wp:positionV>
            <wp:extent cx="713232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6858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-354330</wp:posOffset>
            </wp:positionV>
            <wp:extent cx="713232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1780" w:space="160"/>
            <w:col w:w="9300"/>
          </w:cols>
          <w:pgMar w:left="320" w:top="121" w:right="339" w:bottom="1440" w:gutter="0" w:footer="0" w:header="0"/>
          <w:type w:val="continuous"/>
        </w:sectPr>
      </w:pPr>
    </w:p>
    <w:p>
      <w:pPr>
        <w:ind w:left="180" w:hanging="172"/>
        <w:spacing w:after="0" w:line="293" w:lineRule="auto"/>
        <w:tabs>
          <w:tab w:leader="none" w:pos="162" w:val="left"/>
        </w:tabs>
        <w:numPr>
          <w:ilvl w:val="0"/>
          <w:numId w:val="29"/>
        </w:numPr>
        <w:rPr>
          <w:rFonts w:ascii="Arial" w:cs="Arial" w:eastAsia="Arial" w:hAnsi="Arial"/>
          <w:sz w:val="9"/>
          <w:szCs w:val="9"/>
          <w:color w:val="auto"/>
        </w:rPr>
      </w:pPr>
      <w:r>
        <w:rPr>
          <w:rFonts w:ascii="Arial" w:cs="Arial" w:eastAsia="Arial" w:hAnsi="Arial"/>
          <w:sz w:val="14"/>
          <w:szCs w:val="14"/>
          <w:color w:val="auto"/>
        </w:rPr>
        <w:t>Same property results for our MH and RV properties reflect constant currency for comparative purposes. Canadian currency figures in the prior comparative period have been translated at the average exchange rate during the three and nine months ended September 30, 2023 of $0.7453 and $0.7431 USD per Canadian dollar,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Same Property Portfolio (Continued)</w:t>
      </w:r>
    </w:p>
    <w:p>
      <w:pPr>
        <w:spacing w:after="0" w:line="86" w:lineRule="exact"/>
        <w:rPr>
          <w:sz w:val="20"/>
          <w:szCs w:val="20"/>
          <w:color w:val="auto"/>
        </w:rPr>
      </w:pPr>
    </w:p>
    <w:p>
      <w:pPr>
        <w:ind w:left="160" w:hanging="152"/>
        <w:spacing w:after="0"/>
        <w:tabs>
          <w:tab w:leader="none" w:pos="160" w:val="left"/>
        </w:tabs>
        <w:numPr>
          <w:ilvl w:val="0"/>
          <w:numId w:val="30"/>
        </w:numPr>
        <w:rPr>
          <w:rFonts w:ascii="Arial" w:cs="Arial" w:eastAsia="Arial" w:hAnsi="Arial"/>
          <w:sz w:val="17"/>
          <w:szCs w:val="17"/>
          <w:color w:val="auto"/>
          <w:vertAlign w:val="superscript"/>
        </w:rPr>
      </w:pPr>
      <w:r>
        <w:rPr>
          <w:rFonts w:ascii="Arial" w:cs="Arial" w:eastAsia="Arial" w:hAnsi="Arial"/>
          <w:sz w:val="13"/>
          <w:szCs w:val="13"/>
          <w:color w:val="auto"/>
        </w:rPr>
        <w:t>We net certain utilities revenues (which include utility reimbursement revenues from residents) against related utility expenses in property operating expenses as follows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40" w:type="dxa"/>
            <w:vAlign w:val="bottom"/>
            <w:gridSpan w:val="11"/>
          </w:tcPr>
          <w:p>
            <w:pPr>
              <w:ind w:left="400"/>
              <w:spacing w:after="0"/>
              <w:rPr>
                <w:sz w:val="20"/>
                <w:szCs w:val="20"/>
                <w:color w:val="auto"/>
              </w:rPr>
            </w:pPr>
            <w:r>
              <w:rPr>
                <w:rFonts w:ascii="Arial" w:cs="Arial" w:eastAsia="Arial" w:hAnsi="Arial"/>
                <w:sz w:val="15"/>
                <w:szCs w:val="15"/>
                <w:b w:val="1"/>
                <w:bCs w:val="1"/>
                <w:color w:val="auto"/>
              </w:rPr>
              <w:t>Three Months Ended September 30, 2023</w:t>
            </w:r>
          </w:p>
        </w:tc>
        <w:tc>
          <w:tcPr>
            <w:tcW w:w="200" w:type="dxa"/>
            <w:vAlign w:val="bottom"/>
          </w:tcPr>
          <w:p>
            <w:pPr>
              <w:spacing w:after="0"/>
              <w:rPr>
                <w:sz w:val="17"/>
                <w:szCs w:val="17"/>
                <w:color w:val="auto"/>
              </w:rPr>
            </w:pPr>
          </w:p>
        </w:tc>
        <w:tc>
          <w:tcPr>
            <w:tcW w:w="3700" w:type="dxa"/>
            <w:vAlign w:val="bottom"/>
            <w:gridSpan w:val="10"/>
          </w:tcPr>
          <w:p>
            <w:pPr>
              <w:ind w:left="400"/>
              <w:spacing w:after="0"/>
              <w:rPr>
                <w:sz w:val="20"/>
                <w:szCs w:val="20"/>
                <w:color w:val="auto"/>
              </w:rPr>
            </w:pPr>
            <w:r>
              <w:rPr>
                <w:rFonts w:ascii="Arial" w:cs="Arial" w:eastAsia="Arial" w:hAnsi="Arial"/>
                <w:sz w:val="15"/>
                <w:szCs w:val="15"/>
                <w:b w:val="1"/>
                <w:bCs w:val="1"/>
                <w:color w:val="auto"/>
              </w:rPr>
              <w:t>Three Months Ended September 30, 2022</w:t>
            </w: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MH</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RV</w:t>
            </w: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Marina</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Total</w:t>
            </w: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MH</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RV</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Marina</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4"/>
        </w:trPr>
        <w:tc>
          <w:tcPr>
            <w:tcW w:w="3140" w:type="dxa"/>
            <w:vAlign w:val="bottom"/>
            <w:tcBorders>
              <w:top w:val="single" w:sz="8" w:color="CCEEFF"/>
            </w:tcBorders>
            <w:shd w:val="clear" w:color="auto" w:fill="CCEEFF"/>
          </w:tcPr>
          <w:p>
            <w:pPr>
              <w:ind w:left="20"/>
              <w:spacing w:after="0" w:line="144" w:lineRule="exact"/>
              <w:rPr>
                <w:sz w:val="20"/>
                <w:szCs w:val="20"/>
                <w:color w:val="auto"/>
              </w:rPr>
            </w:pPr>
            <w:r>
              <w:rPr>
                <w:rFonts w:ascii="Arial" w:cs="Arial" w:eastAsia="Arial" w:hAnsi="Arial"/>
                <w:sz w:val="15"/>
                <w:szCs w:val="15"/>
                <w:color w:val="auto"/>
              </w:rPr>
              <w:t>Utility  revenue  netted  against  related  utility</w:t>
            </w: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5"/>
                <w:szCs w:val="15"/>
                <w:color w:val="auto"/>
              </w:rPr>
              <w:t>expense</w:t>
            </w:r>
          </w:p>
        </w:tc>
        <w:tc>
          <w:tcPr>
            <w:tcW w:w="700" w:type="dxa"/>
            <w:vAlign w:val="bottom"/>
            <w:vMerge w:val="restart"/>
            <w:shd w:val="clear" w:color="auto" w:fill="CCEEFF"/>
          </w:tcPr>
          <w:p>
            <w:pPr>
              <w:ind w:left="380"/>
              <w:spacing w:after="0"/>
              <w:rPr>
                <w:sz w:val="20"/>
                <w:szCs w:val="20"/>
                <w:color w:val="auto"/>
              </w:rPr>
            </w:pPr>
            <w:r>
              <w:rPr>
                <w:rFonts w:ascii="Arial" w:cs="Arial" w:eastAsia="Arial" w:hAnsi="Arial"/>
                <w:sz w:val="15"/>
                <w:szCs w:val="15"/>
                <w:color w:val="auto"/>
              </w:rPr>
              <w:t>18.2</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30.4</w:t>
            </w:r>
          </w:p>
        </w:tc>
        <w:tc>
          <w:tcPr>
            <w:tcW w:w="16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ind w:left="380"/>
              <w:spacing w:after="0"/>
              <w:rPr>
                <w:sz w:val="20"/>
                <w:szCs w:val="20"/>
                <w:color w:val="auto"/>
              </w:rPr>
            </w:pPr>
            <w:r>
              <w:rPr>
                <w:rFonts w:ascii="Arial" w:cs="Arial" w:eastAsia="Arial" w:hAnsi="Arial"/>
                <w:sz w:val="15"/>
                <w:szCs w:val="15"/>
                <w:color w:val="auto"/>
              </w:rPr>
              <w:t>17.2</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9"/>
          </w:tcPr>
          <w:p>
            <w:pPr>
              <w:jc w:val="right"/>
              <w:spacing w:after="0"/>
              <w:rPr>
                <w:sz w:val="20"/>
                <w:szCs w:val="20"/>
                <w:color w:val="auto"/>
              </w:rPr>
            </w:pPr>
            <w:r>
              <w:rPr>
                <w:rFonts w:ascii="Arial" w:cs="Arial" w:eastAsia="Arial" w:hAnsi="Arial"/>
                <w:sz w:val="15"/>
                <w:szCs w:val="15"/>
                <w:b w:val="1"/>
                <w:bCs w:val="1"/>
                <w:color w:val="auto"/>
              </w:rPr>
              <w:t>Nine Months Ended September 30, 2023</w:t>
            </w:r>
          </w:p>
        </w:tc>
        <w:tc>
          <w:tcPr>
            <w:tcW w:w="6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9"/>
          </w:tcPr>
          <w:p>
            <w:pPr>
              <w:jc w:val="right"/>
              <w:spacing w:after="0"/>
              <w:rPr>
                <w:sz w:val="20"/>
                <w:szCs w:val="20"/>
                <w:color w:val="auto"/>
              </w:rPr>
            </w:pPr>
            <w:r>
              <w:rPr>
                <w:rFonts w:ascii="Arial" w:cs="Arial" w:eastAsia="Arial" w:hAnsi="Arial"/>
                <w:sz w:val="15"/>
                <w:szCs w:val="15"/>
                <w:b w:val="1"/>
                <w:bCs w:val="1"/>
                <w:color w:val="auto"/>
              </w:rPr>
              <w:t>Nine Months Ended September 30, 2022</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Arial" w:cs="Arial" w:eastAsia="Arial" w:hAnsi="Arial"/>
                <w:sz w:val="15"/>
                <w:szCs w:val="15"/>
                <w:b w:val="1"/>
                <w:bCs w:val="1"/>
                <w:color w:val="auto"/>
              </w:rPr>
              <w:t>MH</w:t>
            </w:r>
          </w:p>
        </w:tc>
        <w:tc>
          <w:tcPr>
            <w:tcW w:w="220" w:type="dxa"/>
            <w:vAlign w:val="bottom"/>
          </w:tcPr>
          <w:p>
            <w:pPr>
              <w:spacing w:after="0"/>
              <w:rPr>
                <w:sz w:val="17"/>
                <w:szCs w:val="17"/>
                <w:color w:val="auto"/>
              </w:rPr>
            </w:pPr>
          </w:p>
        </w:tc>
        <w:tc>
          <w:tcPr>
            <w:tcW w:w="780" w:type="dxa"/>
            <w:vAlign w:val="bottom"/>
            <w:gridSpan w:val="2"/>
          </w:tcPr>
          <w:p>
            <w:pPr>
              <w:ind w:left="140"/>
              <w:spacing w:after="0"/>
              <w:rPr>
                <w:sz w:val="20"/>
                <w:szCs w:val="20"/>
                <w:color w:val="auto"/>
              </w:rPr>
            </w:pPr>
            <w:r>
              <w:rPr>
                <w:rFonts w:ascii="Arial" w:cs="Arial" w:eastAsia="Arial" w:hAnsi="Arial"/>
                <w:sz w:val="15"/>
                <w:szCs w:val="15"/>
                <w:b w:val="1"/>
                <w:bCs w:val="1"/>
                <w:color w:val="auto"/>
              </w:rPr>
              <w:t>RV</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5"/>
                <w:szCs w:val="15"/>
                <w:b w:val="1"/>
                <w:bCs w:val="1"/>
                <w:color w:val="auto"/>
              </w:rPr>
              <w:t>Marina</w:t>
            </w:r>
          </w:p>
        </w:tc>
        <w:tc>
          <w:tcPr>
            <w:tcW w:w="300" w:type="dxa"/>
            <w:vAlign w:val="bottom"/>
          </w:tcPr>
          <w:p>
            <w:pPr>
              <w:spacing w:after="0"/>
              <w:rPr>
                <w:sz w:val="17"/>
                <w:szCs w:val="17"/>
                <w:color w:val="auto"/>
              </w:rPr>
            </w:pPr>
          </w:p>
        </w:tc>
        <w:tc>
          <w:tcPr>
            <w:tcW w:w="620" w:type="dxa"/>
            <w:vAlign w:val="bottom"/>
          </w:tcPr>
          <w:p>
            <w:pPr>
              <w:jc w:val="right"/>
              <w:ind w:right="224"/>
              <w:spacing w:after="0"/>
              <w:rPr>
                <w:sz w:val="20"/>
                <w:szCs w:val="20"/>
                <w:color w:val="auto"/>
              </w:rPr>
            </w:pPr>
            <w:r>
              <w:rPr>
                <w:rFonts w:ascii="Arial" w:cs="Arial" w:eastAsia="Arial" w:hAnsi="Arial"/>
                <w:sz w:val="15"/>
                <w:szCs w:val="15"/>
                <w:b w:val="1"/>
                <w:bCs w:val="1"/>
                <w:color w:val="auto"/>
                <w:w w:val="83"/>
              </w:rPr>
              <w:t>Total</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Arial" w:cs="Arial" w:eastAsia="Arial" w:hAnsi="Arial"/>
                <w:sz w:val="15"/>
                <w:szCs w:val="15"/>
                <w:b w:val="1"/>
                <w:bCs w:val="1"/>
                <w:color w:val="auto"/>
              </w:rPr>
              <w:t>MH</w:t>
            </w:r>
          </w:p>
        </w:tc>
        <w:tc>
          <w:tcPr>
            <w:tcW w:w="220" w:type="dxa"/>
            <w:vAlign w:val="bottom"/>
          </w:tcPr>
          <w:p>
            <w:pPr>
              <w:spacing w:after="0"/>
              <w:rPr>
                <w:sz w:val="17"/>
                <w:szCs w:val="17"/>
                <w:color w:val="auto"/>
              </w:rPr>
            </w:pPr>
          </w:p>
        </w:tc>
        <w:tc>
          <w:tcPr>
            <w:tcW w:w="780" w:type="dxa"/>
            <w:vAlign w:val="bottom"/>
            <w:gridSpan w:val="2"/>
          </w:tcPr>
          <w:p>
            <w:pPr>
              <w:ind w:left="140"/>
              <w:spacing w:after="0"/>
              <w:rPr>
                <w:sz w:val="20"/>
                <w:szCs w:val="20"/>
                <w:color w:val="auto"/>
              </w:rPr>
            </w:pPr>
            <w:r>
              <w:rPr>
                <w:rFonts w:ascii="Arial" w:cs="Arial" w:eastAsia="Arial" w:hAnsi="Arial"/>
                <w:sz w:val="15"/>
                <w:szCs w:val="15"/>
                <w:b w:val="1"/>
                <w:bCs w:val="1"/>
                <w:color w:val="auto"/>
              </w:rPr>
              <w:t>RV</w:t>
            </w: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5"/>
                <w:szCs w:val="15"/>
                <w:b w:val="1"/>
                <w:bCs w:val="1"/>
                <w:color w:val="auto"/>
              </w:rPr>
              <w:t>Marina</w:t>
            </w:r>
          </w:p>
        </w:tc>
        <w:tc>
          <w:tcPr>
            <w:tcW w:w="280" w:type="dxa"/>
            <w:vAlign w:val="bottom"/>
          </w:tcPr>
          <w:p>
            <w:pPr>
              <w:spacing w:after="0"/>
              <w:rPr>
                <w:sz w:val="17"/>
                <w:szCs w:val="17"/>
                <w:color w:val="auto"/>
              </w:rPr>
            </w:pPr>
          </w:p>
        </w:tc>
        <w:tc>
          <w:tcPr>
            <w:tcW w:w="640" w:type="dxa"/>
            <w:vAlign w:val="bottom"/>
          </w:tcPr>
          <w:p>
            <w:pPr>
              <w:jc w:val="right"/>
              <w:ind w:right="224"/>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31"/>
        </w:trPr>
        <w:tc>
          <w:tcPr>
            <w:tcW w:w="314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5"/>
                <w:szCs w:val="15"/>
                <w:color w:val="auto"/>
              </w:rPr>
              <w:t>Utility  revenue  netted  against  related  utility</w:t>
            </w: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5"/>
                <w:szCs w:val="15"/>
                <w:color w:val="auto"/>
              </w:rPr>
              <w:t>expense</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52.1</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6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84.1</w:t>
            </w:r>
          </w:p>
        </w:tc>
        <w:tc>
          <w:tcPr>
            <w:tcW w:w="14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48.2</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76.6</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16"/>
          <w:szCs w:val="16"/>
          <w:color w:val="auto"/>
          <w:vertAlign w:val="superscript"/>
        </w:rPr>
      </w:pPr>
      <w:r>
        <w:rPr>
          <w:rFonts w:ascii="Arial" w:cs="Arial" w:eastAsia="Arial" w:hAnsi="Arial"/>
          <w:sz w:val="12"/>
          <w:szCs w:val="12"/>
          <w:color w:val="auto"/>
        </w:rPr>
        <w:t>Percentages are calculated based on unrounded numbers.</w:t>
      </w:r>
    </w:p>
    <w:p>
      <w:pPr>
        <w:spacing w:after="0" w:line="57" w:lineRule="exact"/>
        <w:rPr>
          <w:rFonts w:ascii="Arial" w:cs="Arial" w:eastAsia="Arial" w:hAnsi="Arial"/>
          <w:sz w:val="16"/>
          <w:szCs w:val="16"/>
          <w:color w:val="auto"/>
          <w:vertAlign w:val="superscript"/>
        </w:rPr>
      </w:pPr>
    </w:p>
    <w:p>
      <w:pPr>
        <w:ind w:left="180" w:hanging="172"/>
        <w:spacing w:after="0" w:line="220" w:lineRule="auto"/>
        <w:tabs>
          <w:tab w:leader="none" w:pos="166"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Total Same Property operating expenses consist of the following components for the periods shown (in millions), and exclude amounts invested into recently acquired properties to bring them up to the Company's standards.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ind w:left="220"/>
              <w:spacing w:after="0"/>
              <w:rPr>
                <w:sz w:val="20"/>
                <w:szCs w:val="20"/>
                <w:color w:val="auto"/>
              </w:rPr>
            </w:pPr>
            <w:r>
              <w:rPr>
                <w:rFonts w:ascii="Arial" w:cs="Arial" w:eastAsia="Arial" w:hAnsi="Arial"/>
                <w:sz w:val="15"/>
                <w:szCs w:val="15"/>
                <w:b w:val="1"/>
                <w:bCs w:val="1"/>
                <w:color w:val="auto"/>
              </w:rPr>
              <w:t>Three Months Ended</w:t>
            </w:r>
          </w:p>
        </w:tc>
        <w:tc>
          <w:tcPr>
            <w:tcW w:w="10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ind w:left="260"/>
              <w:spacing w:after="0"/>
              <w:rPr>
                <w:sz w:val="20"/>
                <w:szCs w:val="20"/>
                <w:color w:val="auto"/>
              </w:rPr>
            </w:pPr>
            <w:r>
              <w:rPr>
                <w:rFonts w:ascii="Arial" w:cs="Arial" w:eastAsia="Arial" w:hAnsi="Arial"/>
                <w:sz w:val="15"/>
                <w:szCs w:val="15"/>
                <w:b w:val="1"/>
                <w:bCs w:val="1"/>
                <w:color w:val="auto"/>
              </w:rPr>
              <w:t>Nine Months Ended</w:t>
            </w:r>
          </w:p>
        </w:tc>
        <w:tc>
          <w:tcPr>
            <w:tcW w:w="1040" w:type="dxa"/>
            <w:vAlign w:val="bottom"/>
            <w:tcBorders>
              <w:bottom w:val="single" w:sz="8" w:color="auto"/>
            </w:tcBorders>
          </w:tcPr>
          <w:p>
            <w:pPr>
              <w:spacing w:after="0"/>
              <w:rPr>
                <w:sz w:val="17"/>
                <w:szCs w:val="17"/>
                <w:color w:val="auto"/>
              </w:rPr>
            </w:pPr>
          </w:p>
        </w:tc>
      </w:tr>
      <w:tr>
        <w:trPr>
          <w:trHeight w:val="146"/>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spacing w:after="0" w:line="146" w:lineRule="exact"/>
              <w:rPr>
                <w:sz w:val="20"/>
                <w:szCs w:val="20"/>
                <w:color w:val="auto"/>
              </w:rPr>
            </w:pPr>
            <w:r>
              <w:rPr>
                <w:rFonts w:ascii="Arial" w:cs="Arial" w:eastAsia="Arial" w:hAnsi="Arial"/>
                <w:sz w:val="15"/>
                <w:szCs w:val="15"/>
                <w:b w:val="1"/>
                <w:bCs w:val="1"/>
                <w:color w:val="auto"/>
              </w:rPr>
              <w:t>September</w:t>
            </w:r>
          </w:p>
        </w:tc>
        <w:tc>
          <w:tcPr>
            <w:tcW w:w="100" w:type="dxa"/>
            <w:vAlign w:val="bottom"/>
          </w:tcPr>
          <w:p>
            <w:pPr>
              <w:spacing w:after="0"/>
              <w:rPr>
                <w:sz w:val="12"/>
                <w:szCs w:val="12"/>
                <w:color w:val="auto"/>
              </w:rPr>
            </w:pPr>
          </w:p>
        </w:tc>
        <w:tc>
          <w:tcPr>
            <w:tcW w:w="92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spacing w:after="0" w:line="146" w:lineRule="exact"/>
              <w:rPr>
                <w:sz w:val="20"/>
                <w:szCs w:val="20"/>
                <w:color w:val="auto"/>
              </w:rPr>
            </w:pPr>
            <w:r>
              <w:rPr>
                <w:rFonts w:ascii="Arial" w:cs="Arial" w:eastAsia="Arial" w:hAnsi="Arial"/>
                <w:sz w:val="15"/>
                <w:szCs w:val="15"/>
                <w:b w:val="1"/>
                <w:bCs w:val="1"/>
                <w:color w:val="auto"/>
              </w:rPr>
              <w:t>September</w:t>
            </w:r>
          </w:p>
        </w:tc>
        <w:tc>
          <w:tcPr>
            <w:tcW w:w="120" w:type="dxa"/>
            <w:vAlign w:val="bottom"/>
          </w:tcPr>
          <w:p>
            <w:pPr>
              <w:spacing w:after="0"/>
              <w:rPr>
                <w:sz w:val="12"/>
                <w:szCs w:val="12"/>
                <w:color w:val="auto"/>
              </w:rPr>
            </w:pPr>
          </w:p>
        </w:tc>
        <w:tc>
          <w:tcPr>
            <w:tcW w:w="900" w:type="dxa"/>
            <w:vAlign w:val="bottom"/>
            <w:gridSpan w:val="2"/>
          </w:tcPr>
          <w:p>
            <w:pPr>
              <w:spacing w:after="0" w:line="146" w:lineRule="exact"/>
              <w:rPr>
                <w:sz w:val="20"/>
                <w:szCs w:val="20"/>
                <w:color w:val="auto"/>
              </w:rPr>
            </w:pPr>
            <w:r>
              <w:rPr>
                <w:rFonts w:ascii="Arial" w:cs="Arial" w:eastAsia="Arial" w:hAnsi="Arial"/>
                <w:sz w:val="15"/>
                <w:szCs w:val="15"/>
                <w:b w:val="1"/>
                <w:bCs w:val="1"/>
                <w:color w:val="auto"/>
              </w:rPr>
              <w:t>September</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2"/>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24"/>
              <w:spacing w:after="0"/>
              <w:rPr>
                <w:sz w:val="20"/>
                <w:szCs w:val="20"/>
                <w:color w:val="auto"/>
              </w:rPr>
            </w:pPr>
            <w:r>
              <w:rPr>
                <w:rFonts w:ascii="Arial" w:cs="Arial" w:eastAsia="Arial" w:hAnsi="Arial"/>
                <w:sz w:val="15"/>
                <w:szCs w:val="15"/>
                <w:b w:val="1"/>
                <w:bCs w:val="1"/>
                <w:color w:val="auto"/>
              </w:rPr>
              <w:t>30, 2023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24"/>
              <w:spacing w:after="0"/>
              <w:rPr>
                <w:sz w:val="20"/>
                <w:szCs w:val="20"/>
                <w:color w:val="auto"/>
              </w:rPr>
            </w:pPr>
            <w:r>
              <w:rPr>
                <w:rFonts w:ascii="Arial" w:cs="Arial" w:eastAsia="Arial" w:hAnsi="Arial"/>
                <w:sz w:val="15"/>
                <w:szCs w:val="15"/>
                <w:b w:val="1"/>
                <w:bCs w:val="1"/>
                <w:color w:val="auto"/>
              </w:rPr>
              <w:t>30, 2022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5"/>
                <w:szCs w:val="15"/>
                <w:b w:val="1"/>
                <w:bCs w:val="1"/>
                <w:color w:val="auto"/>
              </w:rPr>
              <w:t>Change</w:t>
            </w:r>
          </w:p>
        </w:tc>
        <w:tc>
          <w:tcPr>
            <w:tcW w:w="118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00" w:type="dxa"/>
            <w:vAlign w:val="bottom"/>
          </w:tcPr>
          <w:p>
            <w:pPr>
              <w:spacing w:after="0"/>
              <w:rPr>
                <w:sz w:val="18"/>
                <w:szCs w:val="18"/>
                <w:color w:val="auto"/>
              </w:rPr>
            </w:pPr>
          </w:p>
        </w:tc>
        <w:tc>
          <w:tcPr>
            <w:tcW w:w="820" w:type="dxa"/>
            <w:vAlign w:val="bottom"/>
          </w:tcPr>
          <w:p>
            <w:pPr>
              <w:jc w:val="right"/>
              <w:ind w:right="124"/>
              <w:spacing w:after="0"/>
              <w:rPr>
                <w:sz w:val="20"/>
                <w:szCs w:val="20"/>
                <w:color w:val="auto"/>
              </w:rPr>
            </w:pPr>
            <w:r>
              <w:rPr>
                <w:rFonts w:ascii="Arial" w:cs="Arial" w:eastAsia="Arial" w:hAnsi="Arial"/>
                <w:sz w:val="15"/>
                <w:szCs w:val="15"/>
                <w:b w:val="1"/>
                <w:bCs w:val="1"/>
                <w:color w:val="auto"/>
              </w:rPr>
              <w:t>30, 2023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24"/>
              <w:spacing w:after="0"/>
              <w:rPr>
                <w:sz w:val="20"/>
                <w:szCs w:val="20"/>
                <w:color w:val="auto"/>
              </w:rPr>
            </w:pPr>
            <w:r>
              <w:rPr>
                <w:rFonts w:ascii="Arial" w:cs="Arial" w:eastAsia="Arial" w:hAnsi="Arial"/>
                <w:sz w:val="15"/>
                <w:szCs w:val="15"/>
                <w:b w:val="1"/>
                <w:bCs w:val="1"/>
                <w:color w:val="auto"/>
              </w:rPr>
              <w:t>30, 2022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5"/>
                <w:szCs w:val="15"/>
                <w:b w:val="1"/>
                <w:bCs w:val="1"/>
                <w:color w:val="auto"/>
              </w:rPr>
              <w:t>Change</w:t>
            </w:r>
          </w:p>
        </w:tc>
        <w:tc>
          <w:tcPr>
            <w:tcW w:w="1040" w:type="dxa"/>
            <w:vAlign w:val="bottom"/>
          </w:tcPr>
          <w:p>
            <w:pPr>
              <w:jc w:val="right"/>
              <w:ind w:right="104"/>
              <w:spacing w:after="0"/>
              <w:rPr>
                <w:sz w:val="20"/>
                <w:szCs w:val="20"/>
                <w:color w:val="auto"/>
              </w:rPr>
            </w:pPr>
            <w:r>
              <w:rPr>
                <w:rFonts w:ascii="Arial" w:cs="Arial" w:eastAsia="Arial" w:hAnsi="Arial"/>
                <w:sz w:val="15"/>
                <w:szCs w:val="15"/>
                <w:b w:val="1"/>
                <w:bCs w:val="1"/>
                <w:color w:val="auto"/>
              </w:rPr>
              <w:t>% Change</w:t>
            </w:r>
          </w:p>
        </w:tc>
      </w:tr>
      <w:tr>
        <w:trPr>
          <w:trHeight w:val="20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Payroll and benefits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center"/>
              <w:ind w:left="364"/>
              <w:spacing w:after="0"/>
              <w:rPr>
                <w:sz w:val="20"/>
                <w:szCs w:val="20"/>
                <w:color w:val="auto"/>
              </w:rPr>
            </w:pPr>
            <w:r>
              <w:rPr>
                <w:rFonts w:ascii="Arial" w:cs="Arial" w:eastAsia="Arial" w:hAnsi="Arial"/>
                <w:sz w:val="15"/>
                <w:szCs w:val="15"/>
                <w:color w:val="auto"/>
                <w:w w:val="95"/>
              </w:rPr>
              <w:t>3.2</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6.2 %</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4.8 %</w:t>
            </w:r>
          </w:p>
        </w:tc>
      </w:tr>
      <w:tr>
        <w:trPr>
          <w:trHeight w:val="199"/>
        </w:trPr>
        <w:tc>
          <w:tcPr>
            <w:tcW w:w="3000" w:type="dxa"/>
            <w:vAlign w:val="bottom"/>
          </w:tcPr>
          <w:p>
            <w:pPr>
              <w:ind w:left="20"/>
              <w:spacing w:after="0"/>
              <w:rPr>
                <w:sz w:val="20"/>
                <w:szCs w:val="20"/>
                <w:color w:val="auto"/>
              </w:rPr>
            </w:pPr>
            <w:r>
              <w:rPr>
                <w:rFonts w:ascii="Arial" w:cs="Arial" w:eastAsia="Arial" w:hAnsi="Arial"/>
                <w:sz w:val="15"/>
                <w:szCs w:val="15"/>
                <w:color w:val="auto"/>
              </w:rPr>
              <w:t>Real estate taxes</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left="364"/>
              <w:spacing w:after="0"/>
              <w:rPr>
                <w:sz w:val="20"/>
                <w:szCs w:val="20"/>
                <w:color w:val="auto"/>
              </w:rPr>
            </w:pPr>
            <w:r>
              <w:rPr>
                <w:rFonts w:ascii="Arial" w:cs="Arial" w:eastAsia="Arial" w:hAnsi="Arial"/>
                <w:sz w:val="15"/>
                <w:szCs w:val="15"/>
                <w:color w:val="auto"/>
                <w:w w:val="95"/>
              </w:rPr>
              <w:t>0.5</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2.1 %</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3.5</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4.6 %</w:t>
            </w:r>
          </w:p>
        </w:tc>
      </w:tr>
      <w:tr>
        <w:trPr>
          <w:trHeight w:val="206"/>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Supplies and repairs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left="344"/>
              <w:spacing w:after="0"/>
              <w:rPr>
                <w:sz w:val="20"/>
                <w:szCs w:val="20"/>
                <w:color w:val="auto"/>
              </w:rPr>
            </w:pPr>
            <w:r>
              <w:rPr>
                <w:rFonts w:ascii="Arial" w:cs="Arial" w:eastAsia="Arial" w:hAnsi="Arial"/>
                <w:sz w:val="15"/>
                <w:szCs w:val="15"/>
                <w:color w:val="auto"/>
                <w:w w:val="97"/>
              </w:rPr>
              <w:t>(1.5)</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Utilities</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left="344"/>
              <w:spacing w:after="0"/>
              <w:rPr>
                <w:sz w:val="20"/>
                <w:szCs w:val="20"/>
                <w:color w:val="auto"/>
              </w:rPr>
            </w:pPr>
            <w:r>
              <w:rPr>
                <w:rFonts w:ascii="Arial" w:cs="Arial" w:eastAsia="Arial" w:hAnsi="Arial"/>
                <w:sz w:val="15"/>
                <w:szCs w:val="15"/>
                <w:color w:val="auto"/>
                <w:w w:val="97"/>
              </w:rPr>
              <w:t>(0.9)</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(0.8)</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Legal, state / local taxes, and insurance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left="364"/>
              <w:spacing w:after="0"/>
              <w:rPr>
                <w:sz w:val="20"/>
                <w:szCs w:val="20"/>
                <w:color w:val="auto"/>
              </w:rPr>
            </w:pPr>
            <w:r>
              <w:rPr>
                <w:rFonts w:ascii="Arial" w:cs="Arial" w:eastAsia="Arial" w:hAnsi="Arial"/>
                <w:sz w:val="15"/>
                <w:szCs w:val="15"/>
                <w:color w:val="auto"/>
                <w:w w:val="95"/>
              </w:rPr>
              <w:t>4.5</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47.7 %</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48.2 %</w:t>
            </w:r>
          </w:p>
        </w:tc>
      </w:tr>
      <w:tr>
        <w:trPr>
          <w:trHeight w:val="198"/>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left="344"/>
              <w:spacing w:after="0"/>
              <w:rPr>
                <w:sz w:val="20"/>
                <w:szCs w:val="20"/>
                <w:color w:val="auto"/>
              </w:rPr>
            </w:pPr>
            <w:r>
              <w:rPr>
                <w:rFonts w:ascii="Arial" w:cs="Arial" w:eastAsia="Arial" w:hAnsi="Arial"/>
                <w:sz w:val="15"/>
                <w:szCs w:val="15"/>
                <w:color w:val="auto"/>
                <w:w w:val="97"/>
              </w:rPr>
              <w:t>(1.3)</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(0.4)%</w:t>
            </w:r>
          </w:p>
        </w:tc>
      </w:tr>
      <w:tr>
        <w:trPr>
          <w:trHeight w:val="225"/>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Same Property Operating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center"/>
              <w:ind w:left="364"/>
              <w:spacing w:after="0"/>
              <w:rPr>
                <w:sz w:val="20"/>
                <w:szCs w:val="20"/>
                <w:color w:val="auto"/>
              </w:rPr>
            </w:pPr>
            <w:r>
              <w:rPr>
                <w:rFonts w:ascii="Arial" w:cs="Arial" w:eastAsia="Arial" w:hAnsi="Arial"/>
                <w:sz w:val="15"/>
                <w:szCs w:val="15"/>
                <w:color w:val="auto"/>
                <w:w w:val="95"/>
              </w:rPr>
              <w:t>4.5</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3.0 %</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429.5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407.0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Same Property Summary (in whole units)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As of</w:t>
            </w: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98"/>
        </w:trPr>
        <w:tc>
          <w:tcPr>
            <w:tcW w:w="6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5"/>
          </w:tcPr>
          <w:p>
            <w:pPr>
              <w:ind w:left="200"/>
              <w:spacing w:after="0"/>
              <w:rPr>
                <w:sz w:val="20"/>
                <w:szCs w:val="20"/>
                <w:color w:val="auto"/>
              </w:rPr>
            </w:pPr>
            <w:r>
              <w:rPr>
                <w:rFonts w:ascii="Arial" w:cs="Arial" w:eastAsia="Arial" w:hAnsi="Arial"/>
                <w:sz w:val="15"/>
                <w:szCs w:val="15"/>
                <w:b w:val="1"/>
                <w:bCs w:val="1"/>
                <w:color w:val="auto"/>
              </w:rPr>
              <w:t>September 30, 2023</w:t>
            </w:r>
          </w:p>
        </w:tc>
        <w:tc>
          <w:tcPr>
            <w:tcW w:w="240" w:type="dxa"/>
            <w:vAlign w:val="bottom"/>
          </w:tcPr>
          <w:p>
            <w:pPr>
              <w:spacing w:after="0"/>
              <w:rPr>
                <w:sz w:val="17"/>
                <w:szCs w:val="17"/>
                <w:color w:val="auto"/>
              </w:rPr>
            </w:pPr>
          </w:p>
        </w:tc>
        <w:tc>
          <w:tcPr>
            <w:tcW w:w="1920" w:type="dxa"/>
            <w:vAlign w:val="bottom"/>
            <w:gridSpan w:val="4"/>
          </w:tcPr>
          <w:p>
            <w:pPr>
              <w:jc w:val="right"/>
              <w:ind w:right="364"/>
              <w:spacing w:after="0"/>
              <w:rPr>
                <w:sz w:val="20"/>
                <w:szCs w:val="20"/>
                <w:color w:val="auto"/>
              </w:rPr>
            </w:pPr>
            <w:r>
              <w:rPr>
                <w:rFonts w:ascii="Arial" w:cs="Arial" w:eastAsia="Arial" w:hAnsi="Arial"/>
                <w:sz w:val="15"/>
                <w:szCs w:val="15"/>
                <w:b w:val="1"/>
                <w:bCs w:val="1"/>
                <w:color w:val="auto"/>
              </w:rPr>
              <w:t>September 30, 2022</w:t>
            </w:r>
          </w:p>
        </w:tc>
      </w:tr>
      <w:tr>
        <w:trPr>
          <w:trHeight w:val="196"/>
        </w:trPr>
        <w:tc>
          <w:tcPr>
            <w:tcW w:w="67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MH</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RV</w:t>
            </w: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MH</w:t>
            </w: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RV</w:t>
            </w:r>
          </w:p>
        </w:tc>
      </w:tr>
      <w:tr>
        <w:trPr>
          <w:trHeight w:val="185"/>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Other information</w:t>
            </w: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200"/>
        </w:trPr>
        <w:tc>
          <w:tcPr>
            <w:tcW w:w="6780" w:type="dxa"/>
            <w:vAlign w:val="bottom"/>
          </w:tcPr>
          <w:p>
            <w:pPr>
              <w:ind w:left="20"/>
              <w:spacing w:after="0"/>
              <w:rPr>
                <w:sz w:val="20"/>
                <w:szCs w:val="20"/>
                <w:color w:val="auto"/>
              </w:rPr>
            </w:pPr>
            <w:r>
              <w:rPr>
                <w:rFonts w:ascii="Arial" w:cs="Arial" w:eastAsia="Arial" w:hAnsi="Arial"/>
                <w:sz w:val="15"/>
                <w:szCs w:val="15"/>
                <w:b w:val="1"/>
                <w:bCs w:val="1"/>
                <w:color w:val="auto"/>
              </w:rPr>
              <w:t>Number of properties</w:t>
            </w:r>
          </w:p>
        </w:tc>
        <w:tc>
          <w:tcPr>
            <w:tcW w:w="240" w:type="dxa"/>
            <w:vAlign w:val="bottom"/>
          </w:tcPr>
          <w:p>
            <w:pPr>
              <w:spacing w:after="0"/>
              <w:rPr>
                <w:sz w:val="17"/>
                <w:szCs w:val="17"/>
                <w:color w:val="auto"/>
              </w:rPr>
            </w:pPr>
          </w:p>
        </w:tc>
        <w:tc>
          <w:tcPr>
            <w:tcW w:w="800" w:type="dxa"/>
            <w:vAlign w:val="bottom"/>
          </w:tcPr>
          <w:p>
            <w:pPr>
              <w:jc w:val="right"/>
              <w:ind w:right="124"/>
              <w:spacing w:after="0"/>
              <w:rPr>
                <w:sz w:val="20"/>
                <w:szCs w:val="20"/>
                <w:color w:val="auto"/>
              </w:rPr>
            </w:pPr>
            <w:r>
              <w:rPr>
                <w:rFonts w:ascii="Arial" w:cs="Arial" w:eastAsia="Arial" w:hAnsi="Arial"/>
                <w:sz w:val="15"/>
                <w:szCs w:val="15"/>
                <w:color w:val="auto"/>
              </w:rPr>
              <w:t>288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24"/>
              <w:spacing w:after="0"/>
              <w:rPr>
                <w:sz w:val="20"/>
                <w:szCs w:val="20"/>
                <w:color w:val="auto"/>
              </w:rPr>
            </w:pPr>
            <w:r>
              <w:rPr>
                <w:rFonts w:ascii="Arial" w:cs="Arial" w:eastAsia="Arial" w:hAnsi="Arial"/>
                <w:sz w:val="15"/>
                <w:szCs w:val="15"/>
                <w:color w:val="auto"/>
              </w:rPr>
              <w:t>161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04"/>
              <w:spacing w:after="0"/>
              <w:rPr>
                <w:sz w:val="20"/>
                <w:szCs w:val="20"/>
                <w:color w:val="auto"/>
              </w:rPr>
            </w:pPr>
            <w:r>
              <w:rPr>
                <w:rFonts w:ascii="Arial" w:cs="Arial" w:eastAsia="Arial" w:hAnsi="Arial"/>
                <w:sz w:val="15"/>
                <w:szCs w:val="15"/>
                <w:color w:val="auto"/>
              </w:rPr>
              <w:t>288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161</w:t>
            </w:r>
          </w:p>
        </w:tc>
      </w:tr>
      <w:tr>
        <w:trPr>
          <w:trHeight w:val="218"/>
        </w:trPr>
        <w:tc>
          <w:tcPr>
            <w:tcW w:w="6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0"/>
        </w:trPr>
        <w:tc>
          <w:tcPr>
            <w:tcW w:w="6780" w:type="dxa"/>
            <w:vAlign w:val="bottom"/>
          </w:tcPr>
          <w:p>
            <w:pPr>
              <w:ind w:left="20"/>
              <w:spacing w:after="0"/>
              <w:rPr>
                <w:sz w:val="20"/>
                <w:szCs w:val="20"/>
                <w:color w:val="auto"/>
              </w:rPr>
            </w:pPr>
            <w:r>
              <w:rPr>
                <w:rFonts w:ascii="Arial" w:cs="Arial" w:eastAsia="Arial" w:hAnsi="Arial"/>
                <w:sz w:val="15"/>
                <w:szCs w:val="15"/>
                <w:b w:val="1"/>
                <w:bCs w:val="1"/>
                <w:color w:val="auto"/>
              </w:rPr>
              <w:t>Sites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5"/>
        </w:trPr>
        <w:tc>
          <w:tcPr>
            <w:tcW w:w="67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MH and Annual RV sites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98,590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31,850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97,830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29,790</w:t>
            </w:r>
          </w:p>
        </w:tc>
      </w:tr>
      <w:tr>
        <w:trPr>
          <w:trHeight w:val="198"/>
        </w:trPr>
        <w:tc>
          <w:tcPr>
            <w:tcW w:w="6780" w:type="dxa"/>
            <w:vAlign w:val="bottom"/>
          </w:tcPr>
          <w:p>
            <w:pPr>
              <w:ind w:left="180"/>
              <w:spacing w:after="0"/>
              <w:rPr>
                <w:sz w:val="20"/>
                <w:szCs w:val="20"/>
                <w:color w:val="auto"/>
              </w:rPr>
            </w:pPr>
            <w:r>
              <w:rPr>
                <w:rFonts w:ascii="Arial" w:cs="Arial" w:eastAsia="Arial" w:hAnsi="Arial"/>
                <w:sz w:val="15"/>
                <w:szCs w:val="15"/>
                <w:color w:val="auto"/>
              </w:rPr>
              <w:t>Transient RV sites</w:t>
            </w:r>
          </w:p>
        </w:tc>
        <w:tc>
          <w:tcPr>
            <w:tcW w:w="240" w:type="dxa"/>
            <w:vAlign w:val="bottom"/>
          </w:tcPr>
          <w:p>
            <w:pPr>
              <w:spacing w:after="0"/>
              <w:rPr>
                <w:sz w:val="17"/>
                <w:szCs w:val="17"/>
                <w:color w:val="auto"/>
              </w:rPr>
            </w:pPr>
          </w:p>
        </w:tc>
        <w:tc>
          <w:tcPr>
            <w:tcW w:w="880" w:type="dxa"/>
            <w:vAlign w:val="bottom"/>
            <w:gridSpan w:val="2"/>
          </w:tcPr>
          <w:p>
            <w:pPr>
              <w:ind w:left="380"/>
              <w:spacing w:after="0"/>
              <w:rPr>
                <w:sz w:val="20"/>
                <w:szCs w:val="20"/>
                <w:color w:val="auto"/>
              </w:rPr>
            </w:pPr>
            <w:r>
              <w:rPr>
                <w:rFonts w:ascii="Arial" w:cs="Arial" w:eastAsia="Arial" w:hAnsi="Arial"/>
                <w:sz w:val="15"/>
                <w:szCs w:val="15"/>
                <w:color w:val="auto"/>
              </w:rPr>
              <w:t>N/M</w:t>
            </w:r>
          </w:p>
        </w:tc>
        <w:tc>
          <w:tcPr>
            <w:tcW w:w="240" w:type="dxa"/>
            <w:vAlign w:val="bottom"/>
          </w:tcPr>
          <w:p>
            <w:pPr>
              <w:spacing w:after="0"/>
              <w:rPr>
                <w:sz w:val="17"/>
                <w:szCs w:val="17"/>
                <w:color w:val="auto"/>
              </w:rPr>
            </w:pPr>
          </w:p>
        </w:tc>
        <w:tc>
          <w:tcPr>
            <w:tcW w:w="800" w:type="dxa"/>
            <w:vAlign w:val="bottom"/>
          </w:tcPr>
          <w:p>
            <w:pPr>
              <w:jc w:val="right"/>
              <w:ind w:right="124"/>
              <w:spacing w:after="0"/>
              <w:rPr>
                <w:sz w:val="20"/>
                <w:szCs w:val="20"/>
                <w:color w:val="auto"/>
              </w:rPr>
            </w:pPr>
            <w:r>
              <w:rPr>
                <w:rFonts w:ascii="Arial" w:cs="Arial" w:eastAsia="Arial" w:hAnsi="Arial"/>
                <w:sz w:val="15"/>
                <w:szCs w:val="15"/>
                <w:color w:val="auto"/>
              </w:rPr>
              <w:t>22,780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N/M</w:t>
            </w:r>
          </w:p>
        </w:tc>
        <w:tc>
          <w:tcPr>
            <w:tcW w:w="260" w:type="dxa"/>
            <w:vAlign w:val="bottom"/>
          </w:tcPr>
          <w:p>
            <w:pPr>
              <w:spacing w:after="0"/>
              <w:rPr>
                <w:sz w:val="17"/>
                <w:szCs w:val="17"/>
                <w:color w:val="auto"/>
              </w:rPr>
            </w:pP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24,550</w:t>
            </w:r>
          </w:p>
        </w:tc>
      </w:tr>
      <w:tr>
        <w:trPr>
          <w:trHeight w:val="200"/>
        </w:trPr>
        <w:tc>
          <w:tcPr>
            <w:tcW w:w="67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98,590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54,630</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97,830</w:t>
            </w: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54,340</w:t>
            </w:r>
          </w:p>
        </w:tc>
      </w:tr>
      <w:tr>
        <w:trPr>
          <w:trHeight w:val="216"/>
        </w:trPr>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3"/>
        </w:trPr>
        <w:tc>
          <w:tcPr>
            <w:tcW w:w="67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MH and Annual RV Occupancy</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780" w:type="dxa"/>
            <w:vAlign w:val="bottom"/>
          </w:tcPr>
          <w:p>
            <w:pPr>
              <w:ind w:left="180"/>
              <w:spacing w:after="0" w:line="203" w:lineRule="exact"/>
              <w:rPr>
                <w:sz w:val="20"/>
                <w:szCs w:val="20"/>
                <w:color w:val="auto"/>
              </w:rPr>
            </w:pPr>
            <w:r>
              <w:rPr>
                <w:rFonts w:ascii="Arial" w:cs="Arial" w:eastAsia="Arial" w:hAnsi="Arial"/>
                <w:sz w:val="15"/>
                <w:szCs w:val="15"/>
                <w:color w:val="auto"/>
              </w:rPr>
              <w:t>Occupancy</w:t>
            </w:r>
            <w:r>
              <w:rPr>
                <w:rFonts w:ascii="Arial" w:cs="Arial" w:eastAsia="Arial" w:hAnsi="Arial"/>
                <w:sz w:val="19"/>
                <w:szCs w:val="19"/>
                <w:color w:val="auto"/>
                <w:vertAlign w:val="superscript"/>
              </w:rPr>
              <w:t>(a)</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97.0 %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100.0 %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96.8 %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100.0 %</w:t>
            </w:r>
          </w:p>
        </w:tc>
      </w:tr>
      <w:tr>
        <w:trPr>
          <w:trHeight w:val="203"/>
        </w:trPr>
        <w:tc>
          <w:tcPr>
            <w:tcW w:w="67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Monthly base rent per site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661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580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623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533</w:t>
            </w:r>
          </w:p>
        </w:tc>
      </w:tr>
      <w:tr>
        <w:trPr>
          <w:trHeight w:val="203"/>
        </w:trPr>
        <w:tc>
          <w:tcPr>
            <w:tcW w:w="6780" w:type="dxa"/>
            <w:vAlign w:val="bottom"/>
          </w:tcPr>
          <w:p>
            <w:pPr>
              <w:ind w:left="180"/>
              <w:spacing w:after="0" w:line="203" w:lineRule="exact"/>
              <w:rPr>
                <w:sz w:val="20"/>
                <w:szCs w:val="20"/>
                <w:color w:val="auto"/>
              </w:rPr>
            </w:pPr>
            <w:r>
              <w:rPr>
                <w:rFonts w:ascii="Arial" w:cs="Arial" w:eastAsia="Arial" w:hAnsi="Arial"/>
                <w:sz w:val="15"/>
                <w:szCs w:val="15"/>
                <w:color w:val="auto"/>
              </w:rPr>
              <w:t>% change in monthly base rent</w:t>
            </w:r>
            <w:r>
              <w:rPr>
                <w:rFonts w:ascii="Arial" w:cs="Arial" w:eastAsia="Arial" w:hAnsi="Arial"/>
                <w:sz w:val="19"/>
                <w:szCs w:val="19"/>
                <w:color w:val="auto"/>
                <w:vertAlign w:val="superscript"/>
              </w:rPr>
              <w:t>(b)</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6.1 %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8.8 %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N/A</w:t>
            </w:r>
          </w:p>
        </w:tc>
        <w:tc>
          <w:tcPr>
            <w:tcW w:w="26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N/A</w:t>
            </w:r>
          </w:p>
        </w:tc>
      </w:tr>
      <w:tr>
        <w:trPr>
          <w:trHeight w:val="216"/>
        </w:trPr>
        <w:tc>
          <w:tcPr>
            <w:tcW w:w="6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0"/>
        </w:trPr>
        <w:tc>
          <w:tcPr>
            <w:tcW w:w="6780" w:type="dxa"/>
            <w:vAlign w:val="bottom"/>
          </w:tcPr>
          <w:p>
            <w:pPr>
              <w:ind w:left="20"/>
              <w:spacing w:after="0"/>
              <w:rPr>
                <w:sz w:val="20"/>
                <w:szCs w:val="20"/>
                <w:color w:val="auto"/>
              </w:rPr>
            </w:pPr>
            <w:r>
              <w:rPr>
                <w:rFonts w:ascii="Arial" w:cs="Arial" w:eastAsia="Arial" w:hAnsi="Arial"/>
                <w:sz w:val="15"/>
                <w:szCs w:val="15"/>
                <w:b w:val="1"/>
                <w:bCs w:val="1"/>
                <w:color w:val="auto"/>
              </w:rPr>
              <w:t>Rental Program Statistics included in MH:</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5"/>
        </w:trPr>
        <w:tc>
          <w:tcPr>
            <w:tcW w:w="6780" w:type="dxa"/>
            <w:vAlign w:val="bottom"/>
            <w:shd w:val="clear" w:color="auto" w:fill="CCEEFF"/>
          </w:tcPr>
          <w:p>
            <w:pPr>
              <w:ind w:left="180"/>
              <w:spacing w:after="0" w:line="204" w:lineRule="exact"/>
              <w:rPr>
                <w:sz w:val="20"/>
                <w:szCs w:val="20"/>
                <w:color w:val="auto"/>
              </w:rPr>
            </w:pPr>
            <w:r>
              <w:rPr>
                <w:rFonts w:ascii="Arial" w:cs="Arial" w:eastAsia="Arial" w:hAnsi="Arial"/>
                <w:sz w:val="15"/>
                <w:szCs w:val="15"/>
                <w:color w:val="auto"/>
              </w:rPr>
              <w:t>Number of occupied sites, end of period</w:t>
            </w:r>
            <w:r>
              <w:rPr>
                <w:rFonts w:ascii="Arial" w:cs="Arial" w:eastAsia="Arial" w:hAnsi="Arial"/>
                <w:sz w:val="19"/>
                <w:szCs w:val="19"/>
                <w:color w:val="auto"/>
                <w:vertAlign w:val="superscript"/>
              </w:rPr>
              <w:t>(c)</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9,680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N/A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9,110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N/A</w:t>
            </w:r>
          </w:p>
        </w:tc>
      </w:tr>
      <w:tr>
        <w:trPr>
          <w:trHeight w:val="198"/>
        </w:trPr>
        <w:tc>
          <w:tcPr>
            <w:tcW w:w="6780" w:type="dxa"/>
            <w:vAlign w:val="bottom"/>
          </w:tcPr>
          <w:p>
            <w:pPr>
              <w:ind w:left="180"/>
              <w:spacing w:after="0"/>
              <w:rPr>
                <w:sz w:val="20"/>
                <w:szCs w:val="20"/>
                <w:color w:val="auto"/>
              </w:rPr>
            </w:pPr>
            <w:r>
              <w:rPr>
                <w:rFonts w:ascii="Arial" w:cs="Arial" w:eastAsia="Arial" w:hAnsi="Arial"/>
                <w:sz w:val="15"/>
                <w:szCs w:val="15"/>
                <w:color w:val="auto"/>
              </w:rPr>
              <w:t>Monthly rent per site - MH Rental Program</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24"/>
              <w:spacing w:after="0"/>
              <w:rPr>
                <w:sz w:val="20"/>
                <w:szCs w:val="20"/>
                <w:color w:val="auto"/>
              </w:rPr>
            </w:pPr>
            <w:r>
              <w:rPr>
                <w:rFonts w:ascii="Arial" w:cs="Arial" w:eastAsia="Arial" w:hAnsi="Arial"/>
                <w:sz w:val="15"/>
                <w:szCs w:val="15"/>
                <w:color w:val="auto"/>
              </w:rPr>
              <w:t>1,282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ind w:left="400"/>
              <w:spacing w:after="0"/>
              <w:rPr>
                <w:sz w:val="20"/>
                <w:szCs w:val="20"/>
                <w:color w:val="auto"/>
              </w:rPr>
            </w:pPr>
            <w:r>
              <w:rPr>
                <w:rFonts w:ascii="Arial" w:cs="Arial" w:eastAsia="Arial" w:hAnsi="Arial"/>
                <w:sz w:val="15"/>
                <w:szCs w:val="15"/>
                <w:color w:val="auto"/>
              </w:rPr>
              <w:t>N/A</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04"/>
              <w:spacing w:after="0"/>
              <w:rPr>
                <w:sz w:val="20"/>
                <w:szCs w:val="20"/>
                <w:color w:val="auto"/>
              </w:rPr>
            </w:pPr>
            <w:r>
              <w:rPr>
                <w:rFonts w:ascii="Arial" w:cs="Arial" w:eastAsia="Arial" w:hAnsi="Arial"/>
                <w:sz w:val="15"/>
                <w:szCs w:val="15"/>
                <w:color w:val="auto"/>
              </w:rPr>
              <w:t>1,193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N/A</w:t>
            </w:r>
          </w:p>
        </w:tc>
      </w:tr>
      <w:tr>
        <w:trPr>
          <w:trHeight w:val="207"/>
        </w:trPr>
        <w:tc>
          <w:tcPr>
            <w:tcW w:w="6780" w:type="dxa"/>
            <w:vAlign w:val="bottom"/>
            <w:shd w:val="clear" w:color="auto" w:fill="CCEEFF"/>
          </w:tcPr>
          <w:p>
            <w:pPr>
              <w:ind w:left="180"/>
              <w:spacing w:after="0" w:line="206" w:lineRule="exact"/>
              <w:rPr>
                <w:sz w:val="20"/>
                <w:szCs w:val="20"/>
                <w:color w:val="auto"/>
              </w:rPr>
            </w:pPr>
            <w:r>
              <w:rPr>
                <w:rFonts w:ascii="Arial" w:cs="Arial" w:eastAsia="Arial" w:hAnsi="Arial"/>
                <w:sz w:val="15"/>
                <w:szCs w:val="15"/>
                <w:color w:val="auto"/>
              </w:rPr>
              <w:t>% change</w:t>
            </w:r>
            <w:r>
              <w:rPr>
                <w:rFonts w:ascii="Arial" w:cs="Arial" w:eastAsia="Arial" w:hAnsi="Arial"/>
                <w:sz w:val="19"/>
                <w:szCs w:val="19"/>
                <w:color w:val="auto"/>
                <w:vertAlign w:val="superscript"/>
              </w:rPr>
              <w:t>(c)</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N/A</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N/A</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N/A</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 N/A = Not applicable.</w:t>
      </w:r>
    </w:p>
    <w:p>
      <w:pPr>
        <w:spacing w:after="0" w:line="55" w:lineRule="exact"/>
        <w:rPr>
          <w:sz w:val="20"/>
          <w:szCs w:val="20"/>
          <w:color w:val="auto"/>
        </w:rPr>
      </w:pPr>
    </w:p>
    <w:p>
      <w:pPr>
        <w:ind w:left="180" w:hanging="172"/>
        <w:spacing w:after="0" w:line="293" w:lineRule="auto"/>
        <w:tabs>
          <w:tab w:leader="none" w:pos="161" w:val="left"/>
        </w:tabs>
        <w:numPr>
          <w:ilvl w:val="0"/>
          <w:numId w:val="32"/>
        </w:numPr>
        <w:rPr>
          <w:rFonts w:ascii="Arial" w:cs="Arial" w:eastAsia="Arial" w:hAnsi="Arial"/>
          <w:sz w:val="9"/>
          <w:szCs w:val="9"/>
          <w:color w:val="auto"/>
        </w:rPr>
      </w:pPr>
      <w:r>
        <w:rPr>
          <w:rFonts w:ascii="Arial" w:cs="Arial" w:eastAsia="Arial" w:hAnsi="Arial"/>
          <w:sz w:val="14"/>
          <w:szCs w:val="14"/>
          <w:color w:val="auto"/>
        </w:rPr>
        <w:t>Same Property adjusted blended occupancy for MH and RV combined increased to 98.8% at September 30, 2023, from 97.1% at September 30, 2022. The 170 basis point increase was driven by MH expansion fills and the conversion of transient RV sites to annual sites.</w:t>
      </w:r>
    </w:p>
    <w:p>
      <w:pPr>
        <w:ind w:left="160" w:hanging="152"/>
        <w:spacing w:after="0"/>
        <w:tabs>
          <w:tab w:leader="none" w:pos="16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Calculated using actual results without rounding.</w:t>
      </w:r>
    </w:p>
    <w:p>
      <w:pPr>
        <w:spacing w:after="0" w:line="57" w:lineRule="exact"/>
        <w:rPr>
          <w:rFonts w:ascii="Arial" w:cs="Arial" w:eastAsia="Arial" w:hAnsi="Arial"/>
          <w:sz w:val="18"/>
          <w:szCs w:val="18"/>
          <w:color w:val="auto"/>
          <w:vertAlign w:val="superscript"/>
        </w:rPr>
      </w:pPr>
    </w:p>
    <w:p>
      <w:pPr>
        <w:ind w:left="140" w:hanging="132"/>
        <w:spacing w:after="0" w:line="224" w:lineRule="auto"/>
        <w:tabs>
          <w:tab w:leader="none" w:pos="140"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Occupied rental program sites in Same Property are included in total sites.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2023 and 2022:</w:t>
      </w:r>
    </w:p>
    <w:p>
      <w:pPr>
        <w:spacing w:after="0" w:line="252" w:lineRule="exact"/>
        <w:rPr>
          <w:sz w:val="20"/>
          <w:szCs w:val="20"/>
          <w:color w:val="auto"/>
        </w:rPr>
      </w:pPr>
    </w:p>
    <w:p>
      <w:pPr>
        <w:jc w:val="both"/>
        <w:ind w:left="660" w:hanging="328"/>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MH segment increase in NOI of $11.4 million, or 8.0%, when compared to the same period in 2022 is primarily due to an increase in Real property (excluding transient) revenue of $14.2 million, or 7.3%. Real property (excluding transient) revenue increased primarily due to a 6.1% increase in monthly base rent.</w:t>
      </w:r>
    </w:p>
    <w:p>
      <w:pPr>
        <w:spacing w:after="0" w:line="21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RV segment increase in NOI of $4.7 million, or 4.1%, when compared to the same period in 2022 is primarily due to an increase in Real property (excluding transient) revenue of $9.7 million, or 15.0%, partially offset by a decrease in Real property-transient revenue of $5.5 million, or 4.4%. The increase in Real property - (excluding transient) revenue was primarily due to an 8.8% increase in monthly base rent and conversions of transient RV sites to annual RV sites.</w:t>
      </w:r>
    </w:p>
    <w:p>
      <w:pPr>
        <w:spacing w:after="0" w:line="21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Marina segment increase in NOI of $5.7 million, or 8.9%, when compared to the same period in 2022 is primarily due to the $5.2 million, or 6.0%, increase in Real property (excluding transient) revenue.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2023 and 2022:</w:t>
      </w:r>
    </w:p>
    <w:p>
      <w:pPr>
        <w:spacing w:after="0" w:line="252" w:lineRule="exact"/>
        <w:rPr>
          <w:sz w:val="20"/>
          <w:szCs w:val="20"/>
          <w:color w:val="auto"/>
        </w:rPr>
      </w:pPr>
    </w:p>
    <w:p>
      <w:pPr>
        <w:jc w:val="both"/>
        <w:ind w:left="66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MH segment increase in NOI of $26.7 million, or 6.2%, when compared to the same period in 2022 is primarily due to an increase in Real property (excluding transient) revenue of $39.6 million, or 6.8%. Real property (excluding transient) revenue increased primarily due to a 6.1% increase in monthly base rent.</w:t>
      </w:r>
    </w:p>
    <w:p>
      <w:pPr>
        <w:spacing w:after="0" w:line="210"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RV segment increase in NOI of $9.0 million, or 3.9%, when compared to the same period in 2022 is primarily due to an increase in Real property (excluding transient) revenue of $26.8 million, or 15.6%, partially offset by a decrease in Real property-transient revenue of $12.3 million, or 5.2%, and an increase in property operating expenses by $5.5 million, or 3.1%. The increase in Real property - (excluding transient) revenue was primarily due to an 8.8% increase in monthly base rent and conversions of transient RV sites to annual RV sites.</w:t>
      </w:r>
    </w:p>
    <w:p>
      <w:pPr>
        <w:spacing w:after="0" w:line="198"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Marina segment increase in NOI of $18.4 million, or 11.5% when compared to the same period in 2022 is primarily due to a $17.4 million, or 7.7% increase in Real property (excluding transient) revenue.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Sales Summary</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sell new and pre-owned homes to current and prospective residents and customers in our communities. This inventory is purchased from manufacturers, lenders, dealers, former residents or customers.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certain financial and statistical information for our Home Sales Program for the three and nine months ended September 30, 2023 and 2022 (in millions, except for average selling price and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ind w:left="140"/>
              <w:spacing w:after="0"/>
              <w:rPr>
                <w:sz w:val="20"/>
                <w:szCs w:val="20"/>
                <w:color w:val="auto"/>
              </w:rPr>
            </w:pPr>
            <w:r>
              <w:rPr>
                <w:rFonts w:ascii="Arial" w:cs="Arial" w:eastAsia="Arial" w:hAnsi="Arial"/>
                <w:sz w:val="15"/>
                <w:szCs w:val="15"/>
                <w:b w:val="1"/>
                <w:bCs w:val="1"/>
                <w:color w:val="auto"/>
              </w:rPr>
              <w:t>Three Months Ended</w:t>
            </w:r>
          </w:p>
        </w:tc>
        <w:tc>
          <w:tcPr>
            <w:tcW w:w="8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ind w:left="180"/>
              <w:spacing w:after="0"/>
              <w:rPr>
                <w:sz w:val="20"/>
                <w:szCs w:val="20"/>
                <w:color w:val="auto"/>
              </w:rPr>
            </w:pPr>
            <w:r>
              <w:rPr>
                <w:rFonts w:ascii="Arial" w:cs="Arial" w:eastAsia="Arial" w:hAnsi="Arial"/>
                <w:sz w:val="15"/>
                <w:szCs w:val="15"/>
                <w:b w:val="1"/>
                <w:bCs w:val="1"/>
                <w:color w:val="auto"/>
              </w:rPr>
              <w:t>Nine Months Ended</w:t>
            </w:r>
          </w:p>
        </w:tc>
        <w:tc>
          <w:tcPr>
            <w:tcW w:w="840" w:type="dxa"/>
            <w:vAlign w:val="bottom"/>
            <w:tcBorders>
              <w:bottom w:val="single" w:sz="8" w:color="auto"/>
            </w:tcBorders>
          </w:tcPr>
          <w:p>
            <w:pPr>
              <w:spacing w:after="0"/>
              <w:rPr>
                <w:sz w:val="17"/>
                <w:szCs w:val="17"/>
                <w:color w:val="auto"/>
              </w:rPr>
            </w:pPr>
          </w:p>
        </w:tc>
      </w:tr>
      <w:tr>
        <w:trPr>
          <w:trHeight w:val="146"/>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2"/>
                <w:szCs w:val="12"/>
                <w:color w:val="auto"/>
              </w:rPr>
            </w:pPr>
          </w:p>
        </w:tc>
        <w:tc>
          <w:tcPr>
            <w:tcW w:w="118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2"/>
                <w:szCs w:val="12"/>
                <w:color w:val="auto"/>
              </w:rPr>
            </w:pPr>
          </w:p>
        </w:tc>
        <w:tc>
          <w:tcPr>
            <w:tcW w:w="118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2"/>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84"/>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84"/>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Change</w:t>
            </w:r>
          </w:p>
        </w:tc>
        <w:tc>
          <w:tcPr>
            <w:tcW w:w="1000" w:type="dxa"/>
            <w:vAlign w:val="bottom"/>
            <w:gridSpan w:val="2"/>
          </w:tcPr>
          <w:p>
            <w:pPr>
              <w:ind w:left="80"/>
              <w:spacing w:after="0"/>
              <w:rPr>
                <w:sz w:val="20"/>
                <w:szCs w:val="20"/>
                <w:color w:val="auto"/>
              </w:rPr>
            </w:pPr>
            <w:r>
              <w:rPr>
                <w:rFonts w:ascii="Arial" w:cs="Arial" w:eastAsia="Arial" w:hAnsi="Arial"/>
                <w:sz w:val="15"/>
                <w:szCs w:val="15"/>
                <w:b w:val="1"/>
                <w:bCs w:val="1"/>
                <w:color w:val="auto"/>
              </w:rPr>
              <w:t>% Change</w:t>
            </w:r>
          </w:p>
        </w:tc>
        <w:tc>
          <w:tcPr>
            <w:tcW w:w="120" w:type="dxa"/>
            <w:vAlign w:val="bottom"/>
          </w:tcPr>
          <w:p>
            <w:pPr>
              <w:spacing w:after="0"/>
              <w:rPr>
                <w:sz w:val="18"/>
                <w:szCs w:val="18"/>
                <w:color w:val="auto"/>
              </w:rPr>
            </w:pPr>
          </w:p>
        </w:tc>
        <w:tc>
          <w:tcPr>
            <w:tcW w:w="1100" w:type="dxa"/>
            <w:vAlign w:val="bottom"/>
          </w:tcPr>
          <w:p>
            <w:pPr>
              <w:jc w:val="right"/>
              <w:ind w:right="384"/>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84"/>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Change</w:t>
            </w: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 Change</w:t>
            </w:r>
          </w:p>
        </w:tc>
      </w:tr>
      <w:tr>
        <w:trPr>
          <w:trHeight w:val="187"/>
        </w:trPr>
        <w:tc>
          <w:tcPr>
            <w:tcW w:w="20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North America</w:t>
            </w: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r>
      <w:tr>
        <w:trPr>
          <w:trHeight w:val="198"/>
        </w:trPr>
        <w:tc>
          <w:tcPr>
            <w:tcW w:w="2080" w:type="dxa"/>
            <w:vAlign w:val="bottom"/>
          </w:tcPr>
          <w:p>
            <w:pPr>
              <w:ind w:left="220"/>
              <w:spacing w:after="0"/>
              <w:rPr>
                <w:sz w:val="20"/>
                <w:szCs w:val="20"/>
                <w:color w:val="auto"/>
              </w:rPr>
            </w:pPr>
            <w:r>
              <w:rPr>
                <w:rFonts w:ascii="Arial" w:cs="Arial" w:eastAsia="Arial" w:hAnsi="Arial"/>
                <w:sz w:val="15"/>
                <w:szCs w:val="15"/>
                <w:color w:val="auto"/>
              </w:rPr>
              <w:t>Home sales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62.4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66.6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(6.3)%</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171.9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213.4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(41.5)</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(19.4)%</w:t>
            </w:r>
          </w:p>
        </w:tc>
      </w:tr>
      <w:tr>
        <w:trPr>
          <w:trHeight w:val="153"/>
        </w:trPr>
        <w:tc>
          <w:tcPr>
            <w:tcW w:w="208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rPr>
              <w:t>Home cost and selling</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12"/>
        </w:trPr>
        <w:tc>
          <w:tcPr>
            <w:tcW w:w="2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expenses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48.0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51.5</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(3.5)</w:t>
            </w: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130.2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155.9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(25.7)</w:t>
            </w: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w:t>
            </w:r>
          </w:p>
        </w:tc>
      </w:tr>
      <w:tr>
        <w:trPr>
          <w:trHeight w:val="200"/>
        </w:trPr>
        <w:tc>
          <w:tcPr>
            <w:tcW w:w="2080" w:type="dxa"/>
            <w:vAlign w:val="bottom"/>
          </w:tcPr>
          <w:p>
            <w:pPr>
              <w:ind w:left="220"/>
              <w:spacing w:after="0"/>
              <w:rPr>
                <w:sz w:val="20"/>
                <w:szCs w:val="20"/>
                <w:color w:val="auto"/>
              </w:rPr>
            </w:pPr>
            <w:r>
              <w:rPr>
                <w:rFonts w:ascii="Arial" w:cs="Arial" w:eastAsia="Arial" w:hAnsi="Arial"/>
                <w:sz w:val="15"/>
                <w:szCs w:val="15"/>
                <w:color w:val="auto"/>
              </w:rPr>
              <w:t>NOI</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14.4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15.1</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41.7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57.5</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(15.8)</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7"/>
        </w:trPr>
        <w:tc>
          <w:tcPr>
            <w:tcW w:w="2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NOI margin %</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0.4 %</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3"/>
        </w:trPr>
        <w:tc>
          <w:tcPr>
            <w:tcW w:w="2080" w:type="dxa"/>
            <w:vAlign w:val="bottom"/>
            <w:shd w:val="clear" w:color="auto" w:fill="CCEEFF"/>
          </w:tcPr>
          <w:p>
            <w:pPr>
              <w:ind w:left="140"/>
              <w:spacing w:after="0" w:line="202" w:lineRule="exact"/>
              <w:rPr>
                <w:sz w:val="20"/>
                <w:szCs w:val="20"/>
                <w:color w:val="auto"/>
              </w:rPr>
            </w:pPr>
            <w:r>
              <w:rPr>
                <w:rFonts w:ascii="Arial" w:cs="Arial" w:eastAsia="Arial" w:hAnsi="Arial"/>
                <w:sz w:val="23"/>
                <w:szCs w:val="23"/>
                <w:b w:val="1"/>
                <w:bCs w:val="1"/>
                <w:color w:val="auto"/>
                <w:vertAlign w:val="subscript"/>
              </w:rPr>
              <w:t>UK</w:t>
            </w:r>
            <w:r>
              <w:rPr>
                <w:rFonts w:ascii="Arial" w:cs="Arial" w:eastAsia="Arial" w:hAnsi="Arial"/>
                <w:sz w:val="9"/>
                <w:szCs w:val="9"/>
                <w:b w:val="1"/>
                <w:bCs w:val="1"/>
                <w:color w:val="auto"/>
              </w:rPr>
              <w:t>(a)</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8"/>
        </w:trPr>
        <w:tc>
          <w:tcPr>
            <w:tcW w:w="2080" w:type="dxa"/>
            <w:vAlign w:val="bottom"/>
          </w:tcPr>
          <w:p>
            <w:pPr>
              <w:ind w:left="220"/>
              <w:spacing w:after="0"/>
              <w:rPr>
                <w:sz w:val="20"/>
                <w:szCs w:val="20"/>
                <w:color w:val="auto"/>
              </w:rPr>
            </w:pPr>
            <w:r>
              <w:rPr>
                <w:rFonts w:ascii="Arial" w:cs="Arial" w:eastAsia="Arial" w:hAnsi="Arial"/>
                <w:sz w:val="15"/>
                <w:szCs w:val="15"/>
                <w:color w:val="auto"/>
              </w:rPr>
              <w:t>Home sales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55.4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84.1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(28.7)</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(34.1)%</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154.8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144.7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10.1</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7.0 %</w:t>
            </w:r>
          </w:p>
        </w:tc>
      </w:tr>
      <w:tr>
        <w:trPr>
          <w:trHeight w:val="153"/>
        </w:trPr>
        <w:tc>
          <w:tcPr>
            <w:tcW w:w="208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rPr>
              <w:t>Home cost and selling</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12"/>
        </w:trPr>
        <w:tc>
          <w:tcPr>
            <w:tcW w:w="2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expenses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32.5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44.9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(12.4)</w:t>
            </w: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94.7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79.3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15.4</w:t>
            </w: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19.4 %</w:t>
            </w:r>
          </w:p>
        </w:tc>
      </w:tr>
      <w:tr>
        <w:trPr>
          <w:trHeight w:val="200"/>
        </w:trPr>
        <w:tc>
          <w:tcPr>
            <w:tcW w:w="2080" w:type="dxa"/>
            <w:vAlign w:val="bottom"/>
          </w:tcPr>
          <w:p>
            <w:pPr>
              <w:ind w:left="220"/>
              <w:spacing w:after="0"/>
              <w:rPr>
                <w:sz w:val="20"/>
                <w:szCs w:val="20"/>
                <w:color w:val="auto"/>
              </w:rPr>
            </w:pPr>
            <w:r>
              <w:rPr>
                <w:rFonts w:ascii="Arial" w:cs="Arial" w:eastAsia="Arial" w:hAnsi="Arial"/>
                <w:sz w:val="15"/>
                <w:szCs w:val="15"/>
                <w:color w:val="auto"/>
              </w:rPr>
              <w:t>NOI</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22.9</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39.2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(16.3)</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60.1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65.4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7"/>
        </w:trPr>
        <w:tc>
          <w:tcPr>
            <w:tcW w:w="2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NOI margin %</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3"/>
        </w:trPr>
        <w:tc>
          <w:tcPr>
            <w:tcW w:w="208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8"/>
        </w:trPr>
        <w:tc>
          <w:tcPr>
            <w:tcW w:w="2080" w:type="dxa"/>
            <w:vAlign w:val="bottom"/>
          </w:tcPr>
          <w:p>
            <w:pPr>
              <w:ind w:left="240"/>
              <w:spacing w:after="0"/>
              <w:rPr>
                <w:sz w:val="20"/>
                <w:szCs w:val="20"/>
                <w:color w:val="auto"/>
              </w:rPr>
            </w:pPr>
            <w:r>
              <w:rPr>
                <w:rFonts w:ascii="Arial" w:cs="Arial" w:eastAsia="Arial" w:hAnsi="Arial"/>
                <w:sz w:val="15"/>
                <w:szCs w:val="15"/>
                <w:color w:val="auto"/>
              </w:rPr>
              <w:t>Home sales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117.8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150.7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(32.9)</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(21.8)%</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326.7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358.1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(31.4)</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(8.8)%</w:t>
            </w:r>
          </w:p>
        </w:tc>
      </w:tr>
      <w:tr>
        <w:trPr>
          <w:trHeight w:val="153"/>
        </w:trPr>
        <w:tc>
          <w:tcPr>
            <w:tcW w:w="208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rPr>
              <w:t>Home cost and selling</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12"/>
        </w:trPr>
        <w:tc>
          <w:tcPr>
            <w:tcW w:w="2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expenses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80.5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96.4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(15.9)</w:t>
            </w: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224.9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235.2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(10.3)</w:t>
            </w: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w:t>
            </w:r>
          </w:p>
        </w:tc>
      </w:tr>
      <w:tr>
        <w:trPr>
          <w:trHeight w:val="200"/>
        </w:trPr>
        <w:tc>
          <w:tcPr>
            <w:tcW w:w="2080" w:type="dxa"/>
            <w:vAlign w:val="bottom"/>
          </w:tcPr>
          <w:p>
            <w:pPr>
              <w:ind w:left="220"/>
              <w:spacing w:after="0"/>
              <w:rPr>
                <w:sz w:val="20"/>
                <w:szCs w:val="20"/>
                <w:color w:val="auto"/>
              </w:rPr>
            </w:pPr>
            <w:r>
              <w:rPr>
                <w:rFonts w:ascii="Arial" w:cs="Arial" w:eastAsia="Arial" w:hAnsi="Arial"/>
                <w:sz w:val="15"/>
                <w:szCs w:val="15"/>
                <w:color w:val="auto"/>
              </w:rPr>
              <w:t>NOI</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37.3</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54.3</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(17.0)</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101.8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122.9</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(21.1)</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6"/>
        </w:trPr>
        <w:tc>
          <w:tcPr>
            <w:tcW w:w="2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NOI margin %</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3"/>
        </w:trPr>
        <w:tc>
          <w:tcPr>
            <w:tcW w:w="208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Units Sold:*</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8"/>
        </w:trPr>
        <w:tc>
          <w:tcPr>
            <w:tcW w:w="2080" w:type="dxa"/>
            <w:vAlign w:val="bottom"/>
          </w:tcPr>
          <w:p>
            <w:pPr>
              <w:ind w:left="220"/>
              <w:spacing w:after="0"/>
              <w:rPr>
                <w:sz w:val="20"/>
                <w:szCs w:val="20"/>
                <w:color w:val="auto"/>
              </w:rPr>
            </w:pPr>
            <w:r>
              <w:rPr>
                <w:rFonts w:ascii="Arial" w:cs="Arial" w:eastAsia="Arial" w:hAnsi="Arial"/>
                <w:sz w:val="15"/>
                <w:szCs w:val="15"/>
                <w:color w:val="auto"/>
              </w:rPr>
              <w:t>North America</w:t>
            </w:r>
          </w:p>
        </w:tc>
        <w:tc>
          <w:tcPr>
            <w:tcW w:w="120" w:type="dxa"/>
            <w:vAlign w:val="bottom"/>
          </w:tcPr>
          <w:p>
            <w:pPr>
              <w:spacing w:after="0"/>
              <w:rPr>
                <w:sz w:val="17"/>
                <w:szCs w:val="17"/>
                <w:color w:val="auto"/>
              </w:rPr>
            </w:pP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636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724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(88)</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1,909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2,538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(629)</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(24.8)%</w:t>
            </w:r>
          </w:p>
        </w:tc>
      </w:tr>
      <w:tr>
        <w:trPr>
          <w:trHeight w:val="207"/>
        </w:trPr>
        <w:tc>
          <w:tcPr>
            <w:tcW w:w="2080" w:type="dxa"/>
            <w:vAlign w:val="bottom"/>
            <w:shd w:val="clear" w:color="auto" w:fill="CCEEFF"/>
          </w:tcPr>
          <w:p>
            <w:pPr>
              <w:ind w:left="220"/>
              <w:spacing w:after="0" w:line="207" w:lineRule="exact"/>
              <w:rPr>
                <w:sz w:val="20"/>
                <w:szCs w:val="20"/>
                <w:color w:val="auto"/>
              </w:rPr>
            </w:pPr>
            <w:r>
              <w:rPr>
                <w:rFonts w:ascii="Arial" w:cs="Arial" w:eastAsia="Arial" w:hAnsi="Arial"/>
                <w:sz w:val="23"/>
                <w:szCs w:val="23"/>
                <w:color w:val="auto"/>
                <w:vertAlign w:val="subscript"/>
              </w:rPr>
              <w:t>UK</w:t>
            </w:r>
            <w:r>
              <w:rPr>
                <w:rFonts w:ascii="Arial" w:cs="Arial" w:eastAsia="Arial" w:hAnsi="Arial"/>
                <w:sz w:val="9"/>
                <w:szCs w:val="9"/>
                <w:color w:val="auto"/>
              </w:rPr>
              <w:t>(a)</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884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1,016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(132)</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2,310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1,778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532</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29.9 %</w:t>
            </w:r>
          </w:p>
        </w:tc>
      </w:tr>
      <w:tr>
        <w:trPr>
          <w:trHeight w:val="196"/>
        </w:trPr>
        <w:tc>
          <w:tcPr>
            <w:tcW w:w="2080" w:type="dxa"/>
            <w:vAlign w:val="bottom"/>
          </w:tcPr>
          <w:p>
            <w:pPr>
              <w:ind w:left="220"/>
              <w:spacing w:after="0"/>
              <w:rPr>
                <w:sz w:val="20"/>
                <w:szCs w:val="20"/>
                <w:color w:val="auto"/>
              </w:rPr>
            </w:pPr>
            <w:r>
              <w:rPr>
                <w:rFonts w:ascii="Arial" w:cs="Arial" w:eastAsia="Arial" w:hAnsi="Arial"/>
                <w:sz w:val="15"/>
                <w:szCs w:val="15"/>
                <w:color w:val="auto"/>
              </w:rPr>
              <w:t>Total home sales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1,520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1,740</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(220)</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4,219</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4,316</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(97)</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0"/>
        </w:trPr>
        <w:tc>
          <w:tcPr>
            <w:tcW w:w="2080" w:type="dxa"/>
            <w:vAlign w:val="bottom"/>
          </w:tcPr>
          <w:p>
            <w:pPr>
              <w:ind w:left="120"/>
              <w:spacing w:after="0"/>
              <w:rPr>
                <w:sz w:val="20"/>
                <w:szCs w:val="20"/>
                <w:color w:val="auto"/>
              </w:rPr>
            </w:pPr>
            <w:r>
              <w:rPr>
                <w:rFonts w:ascii="Arial" w:cs="Arial" w:eastAsia="Arial" w:hAnsi="Arial"/>
                <w:sz w:val="15"/>
                <w:szCs w:val="15"/>
                <w:b w:val="1"/>
                <w:bCs w:val="1"/>
                <w:color w:val="auto"/>
              </w:rPr>
              <w:t>Average Selling Price:*</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5"/>
        </w:trPr>
        <w:tc>
          <w:tcPr>
            <w:tcW w:w="2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North America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98,113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91,989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6,124</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90,047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84,082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5,965</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7.1 %</w:t>
            </w:r>
          </w:p>
        </w:tc>
      </w:tr>
      <w:tr>
        <w:trPr>
          <w:trHeight w:val="295"/>
        </w:trPr>
        <w:tc>
          <w:tcPr>
            <w:tcW w:w="2080" w:type="dxa"/>
            <w:vAlign w:val="bottom"/>
          </w:tcPr>
          <w:p>
            <w:pPr>
              <w:ind w:left="220"/>
              <w:spacing w:after="0" w:line="294" w:lineRule="exact"/>
              <w:rPr>
                <w:sz w:val="20"/>
                <w:szCs w:val="20"/>
                <w:color w:val="auto"/>
              </w:rPr>
            </w:pPr>
            <w:r>
              <w:rPr>
                <w:rFonts w:ascii="Arial" w:cs="Arial" w:eastAsia="Arial" w:hAnsi="Arial"/>
                <w:sz w:val="30"/>
                <w:szCs w:val="30"/>
                <w:color w:val="auto"/>
                <w:vertAlign w:val="subscript"/>
              </w:rPr>
              <w:t>UK</w:t>
            </w:r>
            <w:r>
              <w:rPr>
                <w:rFonts w:ascii="Arial" w:cs="Arial" w:eastAsia="Arial" w:hAnsi="Arial"/>
                <w:sz w:val="10"/>
                <w:szCs w:val="10"/>
                <w:color w:val="auto"/>
              </w:rPr>
              <w:t>(a)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62,670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82,776</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(20,106)</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(24.3)%</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67,013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81,384</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(14,371)</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(17.7)%</w:t>
            </w:r>
          </w:p>
        </w:tc>
      </w:tr>
    </w:tbl>
    <w:p>
      <w:pPr>
        <w:ind w:left="140" w:hanging="132"/>
        <w:spacing w:after="0" w:line="233" w:lineRule="auto"/>
        <w:tabs>
          <w:tab w:leader="none" w:pos="140"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color w:val="auto"/>
        </w:rPr>
        <w:t>UK amounts for the nine months ended September 30, 2022 cover the period from April 8, 2022 (date of acquisition) through September 30, 2022.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NOI - North America</w:t>
      </w:r>
    </w:p>
    <w:p>
      <w:pPr>
        <w:spacing w:after="0" w:line="23" w:lineRule="exact"/>
        <w:rPr>
          <w:sz w:val="20"/>
          <w:szCs w:val="20"/>
          <w:color w:val="auto"/>
        </w:rPr>
      </w:pPr>
    </w:p>
    <w:p>
      <w:pPr>
        <w:jc w:val="both"/>
        <w:ind w:left="180" w:right="20"/>
        <w:spacing w:after="0" w:line="260" w:lineRule="auto"/>
        <w:rPr>
          <w:sz w:val="20"/>
          <w:szCs w:val="20"/>
          <w:color w:val="auto"/>
        </w:rPr>
      </w:pPr>
      <w:r>
        <w:rPr>
          <w:rFonts w:ascii="Arial" w:cs="Arial" w:eastAsia="Arial" w:hAnsi="Arial"/>
          <w:sz w:val="18"/>
          <w:szCs w:val="18"/>
          <w:color w:val="auto"/>
        </w:rPr>
        <w:t>For the three months ended September 30, 2023, the 4.6% decrease in NOI is primarily driven by a 12.2% decrease in total home sales volume as compared to the same period in 2022, partially offset by a 6.7% increase in average selling price.</w:t>
      </w:r>
    </w:p>
    <w:p>
      <w:pPr>
        <w:spacing w:after="0" w:line="212" w:lineRule="exact"/>
        <w:rPr>
          <w:sz w:val="20"/>
          <w:szCs w:val="20"/>
          <w:color w:val="auto"/>
        </w:rPr>
      </w:pPr>
    </w:p>
    <w:p>
      <w:pPr>
        <w:jc w:val="both"/>
        <w:ind w:left="180" w:right="20"/>
        <w:spacing w:after="0" w:line="277" w:lineRule="auto"/>
        <w:rPr>
          <w:sz w:val="20"/>
          <w:szCs w:val="20"/>
          <w:color w:val="auto"/>
        </w:rPr>
      </w:pPr>
      <w:r>
        <w:rPr>
          <w:rFonts w:ascii="Arial" w:cs="Arial" w:eastAsia="Arial" w:hAnsi="Arial"/>
          <w:sz w:val="18"/>
          <w:szCs w:val="18"/>
          <w:color w:val="auto"/>
        </w:rPr>
        <w:t>For the nine months ended September 30, 2023, the 27.5% decrease in NOI is primarily driven by a 24.8% decrease in total home sales volume as compared to the same period in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NOI - UK</w:t>
      </w:r>
    </w:p>
    <w:p>
      <w:pPr>
        <w:spacing w:after="0" w:line="23" w:lineRule="exact"/>
        <w:rPr>
          <w:sz w:val="20"/>
          <w:szCs w:val="20"/>
          <w:color w:val="auto"/>
        </w:rPr>
      </w:pPr>
    </w:p>
    <w:p>
      <w:pPr>
        <w:jc w:val="both"/>
        <w:ind w:left="180" w:right="20"/>
        <w:spacing w:after="0" w:line="260" w:lineRule="auto"/>
        <w:rPr>
          <w:sz w:val="20"/>
          <w:szCs w:val="20"/>
          <w:color w:val="auto"/>
        </w:rPr>
      </w:pPr>
      <w:r>
        <w:rPr>
          <w:rFonts w:ascii="Arial" w:cs="Arial" w:eastAsia="Arial" w:hAnsi="Arial"/>
          <w:sz w:val="18"/>
          <w:szCs w:val="18"/>
          <w:color w:val="auto"/>
        </w:rPr>
        <w:t>For the three months ended September 30, 2023, the 41.6% decrease in NOI is primarily driven by a 24.3% decrease in average selling price and a 13.0% decrease in total home sales volume as compared to the same period in 2022.</w:t>
      </w:r>
    </w:p>
    <w:p>
      <w:pPr>
        <w:spacing w:after="0" w:line="212"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For the nine months ended September 30, 2023, the 8.1% decrease in NOI is primarily driven by a 17.7% decrease in average selling price, partially offset by a full period of activity related to our properties in the UK during the current period as compared to a shorter period of activity from the date of acquisition of Park Holidays on April 8, 2022 through September 30,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Items - Statements of Operations</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income and expenses for the three and nine months ended September 30, 2023 and 2022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ind w:left="60"/>
              <w:spacing w:after="0"/>
              <w:rPr>
                <w:sz w:val="20"/>
                <w:szCs w:val="20"/>
                <w:color w:val="auto"/>
              </w:rPr>
            </w:pPr>
            <w:r>
              <w:rPr>
                <w:rFonts w:ascii="Arial" w:cs="Arial" w:eastAsia="Arial" w:hAnsi="Arial"/>
                <w:sz w:val="15"/>
                <w:szCs w:val="15"/>
                <w:b w:val="1"/>
                <w:bCs w:val="1"/>
                <w:color w:val="auto"/>
              </w:rPr>
              <w:t>Three Months Ended</w:t>
            </w:r>
          </w:p>
        </w:tc>
        <w:tc>
          <w:tcPr>
            <w:tcW w:w="8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ind w:left="100"/>
              <w:spacing w:after="0"/>
              <w:rPr>
                <w:sz w:val="20"/>
                <w:szCs w:val="20"/>
                <w:color w:val="auto"/>
              </w:rPr>
            </w:pPr>
            <w:r>
              <w:rPr>
                <w:rFonts w:ascii="Arial" w:cs="Arial" w:eastAsia="Arial" w:hAnsi="Arial"/>
                <w:sz w:val="15"/>
                <w:szCs w:val="15"/>
                <w:b w:val="1"/>
                <w:bCs w:val="1"/>
                <w:color w:val="auto"/>
              </w:rPr>
              <w:t>Nine Months Ended</w:t>
            </w:r>
          </w:p>
        </w:tc>
        <w:tc>
          <w:tcPr>
            <w:tcW w:w="860" w:type="dxa"/>
            <w:vAlign w:val="bottom"/>
            <w:tcBorders>
              <w:bottom w:val="single" w:sz="8" w:color="auto"/>
            </w:tcBorders>
          </w:tcPr>
          <w:p>
            <w:pPr>
              <w:spacing w:after="0"/>
              <w:rPr>
                <w:sz w:val="17"/>
                <w:szCs w:val="17"/>
                <w:color w:val="auto"/>
              </w:rPr>
            </w:pPr>
          </w:p>
        </w:tc>
      </w:tr>
      <w:tr>
        <w:trPr>
          <w:trHeight w:val="146"/>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line="14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2"/>
                <w:szCs w:val="12"/>
                <w:color w:val="auto"/>
              </w:rPr>
            </w:pPr>
          </w:p>
        </w:tc>
        <w:tc>
          <w:tcPr>
            <w:tcW w:w="1140" w:type="dxa"/>
            <w:vAlign w:val="bottom"/>
            <w:gridSpan w:val="2"/>
          </w:tcPr>
          <w:p>
            <w:pPr>
              <w:spacing w:after="0" w:line="146" w:lineRule="exact"/>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line="14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2"/>
                <w:szCs w:val="12"/>
                <w:color w:val="auto"/>
              </w:rPr>
            </w:pPr>
          </w:p>
        </w:tc>
        <w:tc>
          <w:tcPr>
            <w:tcW w:w="114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44"/>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44"/>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5"/>
                <w:szCs w:val="15"/>
                <w:b w:val="1"/>
                <w:bCs w:val="1"/>
                <w:color w:val="auto"/>
              </w:rPr>
              <w:t>Change</w:t>
            </w: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 Change</w:t>
            </w:r>
          </w:p>
        </w:tc>
        <w:tc>
          <w:tcPr>
            <w:tcW w:w="120" w:type="dxa"/>
            <w:vAlign w:val="bottom"/>
          </w:tcPr>
          <w:p>
            <w:pPr>
              <w:spacing w:after="0"/>
              <w:rPr>
                <w:sz w:val="18"/>
                <w:szCs w:val="18"/>
                <w:color w:val="auto"/>
              </w:rPr>
            </w:pPr>
          </w:p>
        </w:tc>
        <w:tc>
          <w:tcPr>
            <w:tcW w:w="1040" w:type="dxa"/>
            <w:vAlign w:val="bottom"/>
          </w:tcPr>
          <w:p>
            <w:pPr>
              <w:jc w:val="right"/>
              <w:ind w:right="344"/>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44"/>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w:t>
            </w: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 Change</w:t>
            </w:r>
          </w:p>
        </w:tc>
      </w:tr>
      <w:tr>
        <w:trPr>
          <w:trHeight w:val="133"/>
        </w:trPr>
        <w:tc>
          <w:tcPr>
            <w:tcW w:w="262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5"/>
                <w:szCs w:val="15"/>
                <w:color w:val="auto"/>
                <w:w w:val="96"/>
              </w:rPr>
              <w:t>Service, retail, dining and entertainment,</w:t>
            </w: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w:t>
            </w:r>
          </w:p>
        </w:tc>
      </w:tr>
      <w:tr>
        <w:trPr>
          <w:trHeight w:val="198"/>
        </w:trPr>
        <w:tc>
          <w:tcPr>
            <w:tcW w:w="262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15.2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4.0</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35.7 %</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40.6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25.3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15.3</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60.5 %</w:t>
            </w:r>
          </w:p>
        </w:tc>
      </w:tr>
      <w:tr>
        <w:trPr>
          <w:trHeight w:val="207"/>
        </w:trPr>
        <w:tc>
          <w:tcPr>
            <w:tcW w:w="2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Brokerage commissions and other,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140.7 %</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65.3 %</w:t>
            </w:r>
          </w:p>
        </w:tc>
      </w:tr>
      <w:tr>
        <w:trPr>
          <w:trHeight w:val="198"/>
        </w:trPr>
        <w:tc>
          <w:tcPr>
            <w:tcW w:w="2620" w:type="dxa"/>
            <w:vAlign w:val="bottom"/>
          </w:tcPr>
          <w:p>
            <w:pPr>
              <w:ind w:left="20"/>
              <w:spacing w:after="0"/>
              <w:rPr>
                <w:sz w:val="20"/>
                <w:szCs w:val="20"/>
                <w:color w:val="auto"/>
              </w:rPr>
            </w:pPr>
            <w:r>
              <w:rPr>
                <w:rFonts w:ascii="Arial" w:cs="Arial" w:eastAsia="Arial" w:hAnsi="Arial"/>
                <w:sz w:val="15"/>
                <w:szCs w:val="15"/>
                <w:color w:val="auto"/>
              </w:rPr>
              <w:t>General and administrative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66.2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69.1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(4.2)%</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192.4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187.0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2.9 %</w:t>
            </w:r>
          </w:p>
        </w:tc>
      </w:tr>
      <w:tr>
        <w:trPr>
          <w:trHeight w:val="207"/>
        </w:trPr>
        <w:tc>
          <w:tcPr>
            <w:tcW w:w="26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Catastrophic event-related charges,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(117.9)%</w:t>
            </w:r>
          </w:p>
        </w:tc>
      </w:tr>
      <w:tr>
        <w:trPr>
          <w:trHeight w:val="198"/>
        </w:trPr>
        <w:tc>
          <w:tcPr>
            <w:tcW w:w="2620" w:type="dxa"/>
            <w:vAlign w:val="bottom"/>
          </w:tcPr>
          <w:p>
            <w:pPr>
              <w:ind w:left="20"/>
              <w:spacing w:after="0"/>
              <w:rPr>
                <w:sz w:val="20"/>
                <w:szCs w:val="20"/>
                <w:color w:val="auto"/>
              </w:rPr>
            </w:pPr>
            <w:r>
              <w:rPr>
                <w:rFonts w:ascii="Arial" w:cs="Arial" w:eastAsia="Arial" w:hAnsi="Arial"/>
                <w:sz w:val="15"/>
                <w:szCs w:val="15"/>
                <w:color w:val="auto"/>
              </w:rPr>
              <w:t>Business combinations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23.9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(20.9)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(87.4)%</w:t>
            </w:r>
          </w:p>
        </w:tc>
      </w:tr>
      <w:tr>
        <w:trPr>
          <w:trHeight w:val="207"/>
        </w:trPr>
        <w:tc>
          <w:tcPr>
            <w:tcW w:w="2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12.9</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8.6 %</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7.7 %</w:t>
            </w:r>
          </w:p>
        </w:tc>
      </w:tr>
      <w:tr>
        <w:trPr>
          <w:trHeight w:val="198"/>
        </w:trPr>
        <w:tc>
          <w:tcPr>
            <w:tcW w:w="2620" w:type="dxa"/>
            <w:vAlign w:val="bottom"/>
          </w:tcPr>
          <w:p>
            <w:pPr>
              <w:ind w:left="20"/>
              <w:spacing w:after="0"/>
              <w:rPr>
                <w:sz w:val="20"/>
                <w:szCs w:val="20"/>
                <w:color w:val="auto"/>
              </w:rPr>
            </w:pPr>
            <w:r>
              <w:rPr>
                <w:rFonts w:ascii="Arial" w:cs="Arial" w:eastAsia="Arial" w:hAnsi="Arial"/>
                <w:sz w:val="15"/>
                <w:szCs w:val="15"/>
                <w:color w:val="auto"/>
              </w:rPr>
              <w:t>Asset impairments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(0.4)</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7.8</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153"/>
        </w:trPr>
        <w:tc>
          <w:tcPr>
            <w:tcW w:w="262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Loss on extinguishment of debt (see</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Note 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198"/>
        </w:trPr>
        <w:tc>
          <w:tcPr>
            <w:tcW w:w="262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84.1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61.7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22.4</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36.3 %</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239.9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162.2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77.7</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47.9 %</w:t>
            </w:r>
          </w:p>
        </w:tc>
      </w:tr>
      <w:tr>
        <w:trPr>
          <w:trHeight w:val="153"/>
        </w:trPr>
        <w:tc>
          <w:tcPr>
            <w:tcW w:w="262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Interest on mandatorily redeemable</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OP units /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w:t>
            </w:r>
          </w:p>
        </w:tc>
      </w:tr>
      <w:tr>
        <w:trPr>
          <w:trHeight w:val="149"/>
        </w:trPr>
        <w:tc>
          <w:tcPr>
            <w:tcW w:w="2620" w:type="dxa"/>
            <w:vAlign w:val="bottom"/>
          </w:tcPr>
          <w:p>
            <w:pPr>
              <w:ind w:left="20"/>
              <w:spacing w:after="0" w:line="149" w:lineRule="exact"/>
              <w:rPr>
                <w:sz w:val="20"/>
                <w:szCs w:val="20"/>
                <w:color w:val="auto"/>
              </w:rPr>
            </w:pPr>
            <w:r>
              <w:rPr>
                <w:rFonts w:ascii="Arial" w:cs="Arial" w:eastAsia="Arial" w:hAnsi="Arial"/>
                <w:sz w:val="15"/>
                <w:szCs w:val="15"/>
                <w:color w:val="auto"/>
              </w:rPr>
              <w:t>Gain / (loss) on remeasurement of</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2620" w:type="dxa"/>
            <w:vAlign w:val="bottom"/>
          </w:tcPr>
          <w:p>
            <w:pPr>
              <w:ind w:left="20"/>
              <w:spacing w:after="0"/>
              <w:rPr>
                <w:sz w:val="20"/>
                <w:szCs w:val="20"/>
                <w:color w:val="auto"/>
              </w:rPr>
            </w:pPr>
            <w:r>
              <w:rPr>
                <w:rFonts w:ascii="Arial" w:cs="Arial" w:eastAsia="Arial" w:hAnsi="Arial"/>
                <w:sz w:val="15"/>
                <w:szCs w:val="15"/>
                <w:color w:val="auto"/>
              </w:rPr>
              <w:t>marketable securities (see Note 15)</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13.3</w:t>
            </w:r>
          </w:p>
        </w:tc>
        <w:tc>
          <w:tcPr>
            <w:tcW w:w="8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5"/>
                <w:szCs w:val="15"/>
                <w:color w:val="auto"/>
              </w:rPr>
              <w:t>N/M</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(74.0)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66.0</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(89.2)%</w:t>
            </w:r>
          </w:p>
        </w:tc>
      </w:tr>
      <w:tr>
        <w:trPr>
          <w:trHeight w:val="153"/>
        </w:trPr>
        <w:tc>
          <w:tcPr>
            <w:tcW w:w="262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Gain / (loss) on foreign currency</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exchanges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N/M</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198"/>
        </w:trPr>
        <w:tc>
          <w:tcPr>
            <w:tcW w:w="2620" w:type="dxa"/>
            <w:vAlign w:val="bottom"/>
          </w:tcPr>
          <w:p>
            <w:pPr>
              <w:ind w:left="20"/>
              <w:spacing w:after="0"/>
              <w:rPr>
                <w:sz w:val="20"/>
                <w:szCs w:val="20"/>
                <w:color w:val="auto"/>
              </w:rPr>
            </w:pPr>
            <w:r>
              <w:rPr>
                <w:rFonts w:ascii="Arial" w:cs="Arial" w:eastAsia="Arial" w:hAnsi="Arial"/>
                <w:sz w:val="15"/>
                <w:szCs w:val="15"/>
                <w:color w:val="auto"/>
                <w:w w:val="94"/>
              </w:rPr>
              <w:t>Gain / (loss) on dispositions of properties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(12.5)%</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(15.4)</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206"/>
        </w:trPr>
        <w:tc>
          <w:tcPr>
            <w:tcW w:w="2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N/M</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149"/>
        </w:trPr>
        <w:tc>
          <w:tcPr>
            <w:tcW w:w="2620" w:type="dxa"/>
            <w:vAlign w:val="bottom"/>
          </w:tcPr>
          <w:p>
            <w:pPr>
              <w:ind w:left="20"/>
              <w:spacing w:after="0" w:line="149" w:lineRule="exact"/>
              <w:rPr>
                <w:sz w:val="20"/>
                <w:szCs w:val="20"/>
                <w:color w:val="auto"/>
              </w:rPr>
            </w:pPr>
            <w:r>
              <w:rPr>
                <w:rFonts w:ascii="Arial" w:cs="Arial" w:eastAsia="Arial" w:hAnsi="Arial"/>
                <w:sz w:val="15"/>
                <w:szCs w:val="15"/>
                <w:color w:val="auto"/>
                <w:w w:val="96"/>
              </w:rPr>
              <w:t>Gain / (loss) on remeasurement of notes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2620" w:type="dxa"/>
            <w:vAlign w:val="bottom"/>
          </w:tcPr>
          <w:p>
            <w:pPr>
              <w:ind w:left="20"/>
              <w:spacing w:after="0"/>
              <w:rPr>
                <w:sz w:val="20"/>
                <w:szCs w:val="20"/>
                <w:color w:val="auto"/>
              </w:rPr>
            </w:pPr>
            <w:r>
              <w:rPr>
                <w:rFonts w:ascii="Arial" w:cs="Arial" w:eastAsia="Arial" w:hAnsi="Arial"/>
                <w:sz w:val="15"/>
                <w:szCs w:val="15"/>
                <w:color w:val="auto"/>
              </w:rPr>
              <w:t>receivable (see Note 4)</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5"/>
                <w:szCs w:val="15"/>
                <w:color w:val="auto"/>
              </w:rPr>
              <w:t>N/M</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153"/>
        </w:trPr>
        <w:tc>
          <w:tcPr>
            <w:tcW w:w="262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Income from nonconsolidated affiliates</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(see Note 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w:t>
            </w:r>
          </w:p>
        </w:tc>
      </w:tr>
      <w:tr>
        <w:trPr>
          <w:trHeight w:val="149"/>
        </w:trPr>
        <w:tc>
          <w:tcPr>
            <w:tcW w:w="2620" w:type="dxa"/>
            <w:vAlign w:val="bottom"/>
          </w:tcPr>
          <w:p>
            <w:pPr>
              <w:ind w:left="20"/>
              <w:spacing w:after="0" w:line="149" w:lineRule="exact"/>
              <w:rPr>
                <w:sz w:val="20"/>
                <w:szCs w:val="20"/>
                <w:color w:val="auto"/>
              </w:rPr>
            </w:pPr>
            <w:r>
              <w:rPr>
                <w:rFonts w:ascii="Arial" w:cs="Arial" w:eastAsia="Arial" w:hAnsi="Arial"/>
                <w:sz w:val="15"/>
                <w:szCs w:val="15"/>
                <w:color w:val="auto"/>
              </w:rPr>
              <w:t>Gain / (loss) on remeasurement of</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2"/>
        </w:trPr>
        <w:tc>
          <w:tcPr>
            <w:tcW w:w="2620" w:type="dxa"/>
            <w:vAlign w:val="bottom"/>
          </w:tcPr>
          <w:p>
            <w:pPr>
              <w:ind w:left="20"/>
              <w:spacing w:after="0" w:line="162" w:lineRule="exact"/>
              <w:rPr>
                <w:sz w:val="20"/>
                <w:szCs w:val="20"/>
                <w:color w:val="auto"/>
              </w:rPr>
            </w:pPr>
            <w:r>
              <w:rPr>
                <w:rFonts w:ascii="Arial" w:cs="Arial" w:eastAsia="Arial" w:hAnsi="Arial"/>
                <w:sz w:val="15"/>
                <w:szCs w:val="15"/>
                <w:color w:val="auto"/>
                <w:w w:val="98"/>
              </w:rPr>
              <w:t>investment in nonconsolidated affiliates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8"/>
        </w:trPr>
        <w:tc>
          <w:tcPr>
            <w:tcW w:w="2620" w:type="dxa"/>
            <w:vAlign w:val="bottom"/>
          </w:tcPr>
          <w:p>
            <w:pPr>
              <w:ind w:left="20"/>
              <w:spacing w:after="0"/>
              <w:rPr>
                <w:sz w:val="20"/>
                <w:szCs w:val="20"/>
                <w:color w:val="auto"/>
              </w:rPr>
            </w:pPr>
            <w:r>
              <w:rPr>
                <w:rFonts w:ascii="Arial" w:cs="Arial" w:eastAsia="Arial" w:hAnsi="Arial"/>
                <w:sz w:val="15"/>
                <w:szCs w:val="15"/>
                <w:color w:val="auto"/>
              </w:rPr>
              <w:t>(see Note 6)</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0.4</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207"/>
        </w:trPr>
        <w:tc>
          <w:tcPr>
            <w:tcW w:w="2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tax expense (see Note 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11.2 %</w:t>
            </w:r>
          </w:p>
        </w:tc>
      </w:tr>
      <w:tr>
        <w:trPr>
          <w:trHeight w:val="198"/>
        </w:trPr>
        <w:tc>
          <w:tcPr>
            <w:tcW w:w="2620" w:type="dxa"/>
            <w:vAlign w:val="bottom"/>
          </w:tcPr>
          <w:p>
            <w:pPr>
              <w:ind w:left="20"/>
              <w:spacing w:after="0"/>
              <w:rPr>
                <w:sz w:val="20"/>
                <w:szCs w:val="20"/>
                <w:color w:val="auto"/>
              </w:rPr>
            </w:pPr>
            <w:r>
              <w:rPr>
                <w:rFonts w:ascii="Arial" w:cs="Arial" w:eastAsia="Arial" w:hAnsi="Arial"/>
                <w:sz w:val="15"/>
                <w:szCs w:val="15"/>
                <w:color w:val="auto"/>
              </w:rPr>
              <w:t>Deferred tax benefit (see Note 12)</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(36.1)%</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14.6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10.7</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274.4 %</w:t>
            </w:r>
          </w:p>
        </w:tc>
      </w:tr>
      <w:tr>
        <w:trPr>
          <w:trHeight w:val="153"/>
        </w:trPr>
        <w:tc>
          <w:tcPr>
            <w:tcW w:w="262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Preferred return to preferred OP units /</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interests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4.7 %</w:t>
            </w:r>
          </w:p>
        </w:tc>
      </w:tr>
      <w:tr>
        <w:trPr>
          <w:trHeight w:val="149"/>
        </w:trPr>
        <w:tc>
          <w:tcPr>
            <w:tcW w:w="2620" w:type="dxa"/>
            <w:vAlign w:val="bottom"/>
          </w:tcPr>
          <w:p>
            <w:pPr>
              <w:ind w:left="20"/>
              <w:spacing w:after="0" w:line="149" w:lineRule="exact"/>
              <w:rPr>
                <w:sz w:val="20"/>
                <w:szCs w:val="20"/>
                <w:color w:val="auto"/>
              </w:rPr>
            </w:pPr>
            <w:r>
              <w:rPr>
                <w:rFonts w:ascii="Arial" w:cs="Arial" w:eastAsia="Arial" w:hAnsi="Arial"/>
                <w:sz w:val="15"/>
                <w:szCs w:val="15"/>
                <w:color w:val="auto"/>
              </w:rPr>
              <w:t>Income attributable to noncontrolling</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08"/>
        </w:trPr>
        <w:tc>
          <w:tcPr>
            <w:tcW w:w="2620" w:type="dxa"/>
            <w:vAlign w:val="bottom"/>
          </w:tcPr>
          <w:p>
            <w:pPr>
              <w:ind w:left="20"/>
              <w:spacing w:after="0"/>
              <w:rPr>
                <w:sz w:val="20"/>
                <w:szCs w:val="20"/>
                <w:color w:val="auto"/>
              </w:rPr>
            </w:pPr>
            <w:r>
              <w:rPr>
                <w:rFonts w:ascii="Arial" w:cs="Arial" w:eastAsia="Arial" w:hAnsi="Arial"/>
                <w:sz w:val="15"/>
                <w:szCs w:val="15"/>
                <w:color w:val="auto"/>
              </w:rPr>
              <w:t>interests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14.0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17.6 %</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13.2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13.9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(5.0)%</w:t>
            </w:r>
          </w:p>
        </w:tc>
      </w:tr>
    </w:tbl>
    <w:p>
      <w:pPr>
        <w:spacing w:after="0" w:line="97" w:lineRule="exact"/>
        <w:rPr>
          <w:sz w:val="20"/>
          <w:szCs w:val="20"/>
          <w:color w:val="auto"/>
        </w:rPr>
      </w:pPr>
    </w:p>
    <w:p>
      <w:pPr>
        <w:ind w:right="3720" w:firstLine="8"/>
        <w:spacing w:after="0" w:line="347" w:lineRule="auto"/>
        <w:tabs>
          <w:tab w:leader="none" w:pos="149" w:val="left"/>
        </w:tabs>
        <w:numPr>
          <w:ilvl w:val="0"/>
          <w:numId w:val="36"/>
        </w:numPr>
        <w:rPr>
          <w:rFonts w:ascii="Arial" w:cs="Arial" w:eastAsia="Arial" w:hAnsi="Arial"/>
          <w:sz w:val="17"/>
          <w:szCs w:val="17"/>
          <w:color w:val="auto"/>
          <w:vertAlign w:val="superscript"/>
        </w:rPr>
      </w:pPr>
      <w:r>
        <w:rPr>
          <w:rFonts w:ascii="Arial" w:cs="Arial" w:eastAsia="Arial" w:hAnsi="Arial"/>
          <w:sz w:val="13"/>
          <w:szCs w:val="13"/>
          <w:color w:val="auto"/>
        </w:rPr>
        <w:t>Only items determined by management to be material, of interest, or unique to the periods disclosed above are explained below. N/M = Percentage change is not meaningful.</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Service, retail, dining and entertainment, net </w:t>
      </w:r>
      <w:r>
        <w:rPr>
          <w:rFonts w:ascii="Arial" w:cs="Arial" w:eastAsia="Arial" w:hAnsi="Arial"/>
          <w:sz w:val="18"/>
          <w:szCs w:val="18"/>
          <w:color w:val="auto"/>
        </w:rPr>
        <w:t>- for the nine months ended September 30, 2023, decreased due primarily to increased costs of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at our Marina properties.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 for the three and nine months ended September 30, 2023, increased primarily due to a larger loan balance provided to a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operator to fund investing and financing activities in the current period as compared to the same periods in 2022.</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Brokerage commissions and other, net </w:t>
      </w:r>
      <w:r>
        <w:rPr>
          <w:rFonts w:ascii="Arial" w:cs="Arial" w:eastAsia="Arial" w:hAnsi="Arial"/>
          <w:sz w:val="18"/>
          <w:szCs w:val="18"/>
          <w:color w:val="auto"/>
        </w:rPr>
        <w:t>- for the three and nine months ended September 30, 2023, increased primarily due to the receipt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interruption insurance recoveries of $12.9 million, net of deductibles, in connection with Hurricane Ian. Refer to Note 16, "Commitments and Contingencies," in our accompanying Consolidated Financial Statements for additional information.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Catastrophic event-related charges, net </w:t>
      </w:r>
      <w:r>
        <w:rPr>
          <w:rFonts w:ascii="Arial" w:cs="Arial" w:eastAsia="Arial" w:hAnsi="Arial"/>
          <w:sz w:val="18"/>
          <w:szCs w:val="18"/>
          <w:color w:val="auto"/>
        </w:rPr>
        <w:t>- for the three and nine months ended September 30, 2023, were a benefit of $3.1 million and $2.2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compared to an expense of $12.2 million and $12.3 million, respectively, in 2022. The benefit in 2023 was primarily due to the receipt of insurance recoveries for replacement costs in excess of property damaged by Hurricane Irma, compared to net impairment charges in 2022, related to damaged property from Hurricane Ian.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 for the three and nine months ended September 30, 2023, decreased primarily as a result of no new acquisitions accounted for as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combinations during 2023 as compared to the same period in 2022. Refer to Note 3, "Real Estate Acquisitions and Dispositions," in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for the three and nine months ended September 30, 2023, increased due to the higher debt balance and increased interest rates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2022. Refer to Note 8, "Debt and Line of Credit," of our accompanying Consolidated Financial Statements for additional information.</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Gain / (loss) on remeasurement of marketable securities </w:t>
      </w:r>
      <w:r>
        <w:rPr>
          <w:rFonts w:ascii="Arial" w:cs="Arial" w:eastAsia="Arial" w:hAnsi="Arial"/>
          <w:sz w:val="16"/>
          <w:szCs w:val="16"/>
          <w:color w:val="auto"/>
        </w:rPr>
        <w:t>- for the three and nine months ended September 30, 2023 was a gain of $6.1 million and loss of</w:t>
      </w:r>
      <w:r>
        <w:rPr>
          <w:rFonts w:ascii="Arial" w:cs="Arial" w:eastAsia="Arial" w:hAnsi="Arial"/>
          <w:sz w:val="16"/>
          <w:szCs w:val="16"/>
          <w:i w:val="1"/>
          <w:iCs w:val="1"/>
          <w:color w:val="auto"/>
        </w:rPr>
        <w:t xml:space="preserve"> </w:t>
      </w:r>
      <w:r>
        <w:rPr>
          <w:rFonts w:ascii="Arial" w:cs="Arial" w:eastAsia="Arial" w:hAnsi="Arial"/>
          <w:sz w:val="16"/>
          <w:szCs w:val="16"/>
          <w:color w:val="auto"/>
        </w:rPr>
        <w:t>$8.0 million, as compared to a loss of $7.2 million and a loss of $74.0 million during the same periods in 2022 due to the fluctuation in the price of our publicly traded marketable securities. Refer to Note 15, "Fair Value of Financial Instruments," and Note 19, "Subsequent Events," in our accompanying Consolidated Financial Statements, for additional information and activity related to this investment subsequent to September 30, 2023.</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Gain / (loss) on foreign currency exchanges </w:t>
      </w:r>
      <w:r>
        <w:rPr>
          <w:rFonts w:ascii="Arial" w:cs="Arial" w:eastAsia="Arial" w:hAnsi="Arial"/>
          <w:sz w:val="18"/>
          <w:szCs w:val="18"/>
          <w:color w:val="auto"/>
        </w:rPr>
        <w:t>- for each of the three and nine months ended September 30, 2023, was a loss of $6.5 million, as compared to a</w:t>
      </w:r>
      <w:r>
        <w:rPr>
          <w:rFonts w:ascii="Arial" w:cs="Arial" w:eastAsia="Arial" w:hAnsi="Arial"/>
          <w:sz w:val="18"/>
          <w:szCs w:val="18"/>
          <w:i w:val="1"/>
          <w:iCs w:val="1"/>
          <w:color w:val="auto"/>
        </w:rPr>
        <w:t xml:space="preserve"> </w:t>
      </w:r>
      <w:r>
        <w:rPr>
          <w:rFonts w:ascii="Arial" w:cs="Arial" w:eastAsia="Arial" w:hAnsi="Arial"/>
          <w:sz w:val="18"/>
          <w:szCs w:val="18"/>
          <w:color w:val="auto"/>
        </w:rPr>
        <w:t>gain of $14.9 million and $21.7 million, respectively, during the same periods in 2022 primarily due to the U.S. dollar strengthening against the Pound sterling and Australian dollar.</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Gain / (loss) on dispositions of properties </w:t>
      </w:r>
      <w:r>
        <w:rPr>
          <w:rFonts w:ascii="Arial" w:cs="Arial" w:eastAsia="Arial" w:hAnsi="Arial"/>
          <w:sz w:val="18"/>
          <w:szCs w:val="18"/>
          <w:color w:val="auto"/>
        </w:rPr>
        <w:t>- for the nine months ended September 30, 2023 was a loss of $2.9 million due to the loss on sale of three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as compared to a gain of $12.5 million on the sale of three properties during the same period in 2022. Refer to Note 3, "Real Estate Acquisitions and Dispositions," in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income / (expense), net </w:t>
      </w:r>
      <w:r>
        <w:rPr>
          <w:rFonts w:ascii="Arial" w:cs="Arial" w:eastAsia="Arial" w:hAnsi="Arial"/>
          <w:sz w:val="18"/>
          <w:szCs w:val="18"/>
          <w:color w:val="auto"/>
        </w:rPr>
        <w:t>- for the three and nine months ended September 30, 2023, was an expense of $3.7 million and $5.5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income of $2.8 million and $2.6 million, respectively, during the same periods in 2022, primarily due to expenses from long-term lease terminations in 2023 compared with a litigation settlement gain in 2022.</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Current tax expense </w:t>
      </w:r>
      <w:r>
        <w:rPr>
          <w:rFonts w:ascii="Arial" w:cs="Arial" w:eastAsia="Arial" w:hAnsi="Arial"/>
          <w:sz w:val="17"/>
          <w:szCs w:val="17"/>
          <w:color w:val="auto"/>
        </w:rPr>
        <w:t>- for the three months ended September 30, 2023, decreased due to decreased taxable income at our UK operations,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2022. Refer to Note 12, "Income Taxes," in our accompanying Consolidated Financial Statements for additional information.</w:t>
      </w:r>
    </w:p>
    <w:p>
      <w:pPr>
        <w:spacing w:after="0" w:line="17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Deferred tax benefit </w:t>
      </w:r>
      <w:r>
        <w:rPr>
          <w:rFonts w:ascii="Arial" w:cs="Arial" w:eastAsia="Arial" w:hAnsi="Arial"/>
          <w:sz w:val="18"/>
          <w:szCs w:val="18"/>
          <w:color w:val="auto"/>
        </w:rPr>
        <w:t>- for the nine months ended September 30, 2023, increased primarily due to additional deferred interest deductions at our UK</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compared to the same period in 2022. Refer to Note 12, "Income Taxes," in our accompanying Consolidated Financial Statements for additional information.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Income attributable to noncontrolling interests - </w:t>
      </w:r>
      <w:r>
        <w:rPr>
          <w:rFonts w:ascii="Arial" w:cs="Arial" w:eastAsia="Arial" w:hAnsi="Arial"/>
          <w:sz w:val="18"/>
          <w:szCs w:val="18"/>
          <w:color w:val="auto"/>
        </w:rPr>
        <w:t>for the three months ended September 30, 2023, increased due to improved results at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compared to the same period in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ATTRIBUTABLE TO SUI COMMON SHAREHOLDERS TO FFO</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reconciles Net income attributable to SUI common shareholders to FFO for the three and nine months ended September 30, 2023 and 2022 (in millions, except for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5"/>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2480" w:type="dxa"/>
            <w:vAlign w:val="bottom"/>
            <w:gridSpan w:val="4"/>
          </w:tcPr>
          <w:p>
            <w:pPr>
              <w:jc w:val="right"/>
              <w:ind w:right="584"/>
              <w:spacing w:after="0"/>
              <w:rPr>
                <w:sz w:val="20"/>
                <w:szCs w:val="20"/>
                <w:color w:val="auto"/>
              </w:rPr>
            </w:pPr>
            <w:r>
              <w:rPr>
                <w:rFonts w:ascii="Arial" w:cs="Arial" w:eastAsia="Arial" w:hAnsi="Arial"/>
                <w:sz w:val="15"/>
                <w:szCs w:val="15"/>
                <w:b w:val="1"/>
                <w:bCs w:val="1"/>
                <w:color w:val="auto"/>
              </w:rPr>
              <w:t>Nine Months Ended</w:t>
            </w:r>
          </w:p>
        </w:tc>
      </w:tr>
      <w:tr>
        <w:trPr>
          <w:trHeight w:val="146"/>
        </w:trPr>
        <w:tc>
          <w:tcPr>
            <w:tcW w:w="5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30,</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84"/>
              <w:spacing w:after="0" w:line="146" w:lineRule="exact"/>
              <w:rPr>
                <w:sz w:val="20"/>
                <w:szCs w:val="20"/>
                <w:color w:val="auto"/>
              </w:rPr>
            </w:pPr>
            <w:r>
              <w:rPr>
                <w:rFonts w:ascii="Arial" w:cs="Arial" w:eastAsia="Arial" w:hAnsi="Arial"/>
                <w:sz w:val="15"/>
                <w:szCs w:val="15"/>
                <w:b w:val="1"/>
                <w:bCs w:val="1"/>
                <w:color w:val="auto"/>
                <w:w w:val="93"/>
              </w:rPr>
              <w:t>September 30,</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20"/>
              <w:spacing w:after="0" w:line="146"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84"/>
              <w:spacing w:after="0" w:line="146" w:lineRule="exact"/>
              <w:rPr>
                <w:sz w:val="20"/>
                <w:szCs w:val="20"/>
                <w:color w:val="auto"/>
              </w:rPr>
            </w:pPr>
            <w:r>
              <w:rPr>
                <w:rFonts w:ascii="Arial" w:cs="Arial" w:eastAsia="Arial" w:hAnsi="Arial"/>
                <w:sz w:val="15"/>
                <w:szCs w:val="15"/>
                <w:b w:val="1"/>
                <w:bCs w:val="1"/>
                <w:color w:val="auto"/>
                <w:w w:val="93"/>
              </w:rPr>
              <w:t>September 30,</w:t>
            </w:r>
          </w:p>
        </w:tc>
      </w:tr>
      <w:tr>
        <w:trPr>
          <w:trHeight w:val="210"/>
        </w:trPr>
        <w:tc>
          <w:tcPr>
            <w:tcW w:w="5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2022</w:t>
            </w:r>
          </w:p>
        </w:tc>
      </w:tr>
      <w:tr>
        <w:trPr>
          <w:trHeight w:val="203"/>
        </w:trPr>
        <w:tc>
          <w:tcPr>
            <w:tcW w:w="5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Attributable to SUI Common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237.3</w:t>
            </w:r>
          </w:p>
        </w:tc>
      </w:tr>
      <w:tr>
        <w:trPr>
          <w:trHeight w:val="198"/>
        </w:trPr>
        <w:tc>
          <w:tcPr>
            <w:tcW w:w="580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5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446.3</w:t>
            </w:r>
          </w:p>
        </w:tc>
      </w:tr>
      <w:tr>
        <w:trPr>
          <w:trHeight w:val="198"/>
        </w:trPr>
        <w:tc>
          <w:tcPr>
            <w:tcW w:w="5800" w:type="dxa"/>
            <w:vAlign w:val="bottom"/>
          </w:tcPr>
          <w:p>
            <w:pPr>
              <w:ind w:left="220"/>
              <w:spacing w:after="0"/>
              <w:rPr>
                <w:sz w:val="20"/>
                <w:szCs w:val="20"/>
                <w:color w:val="auto"/>
              </w:rPr>
            </w:pPr>
            <w:r>
              <w:rPr>
                <w:rFonts w:ascii="Arial" w:cs="Arial" w:eastAsia="Arial" w:hAnsi="Arial"/>
                <w:sz w:val="15"/>
                <w:szCs w:val="15"/>
                <w:color w:val="auto"/>
              </w:rPr>
              <w:t>Depreciation on nonconsolidated affiliates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0.1</w:t>
            </w:r>
          </w:p>
        </w:tc>
      </w:tr>
      <w:tr>
        <w:trPr>
          <w:trHeight w:val="207"/>
        </w:trPr>
        <w:tc>
          <w:tcPr>
            <w:tcW w:w="5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Asset impairments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198"/>
        </w:trPr>
        <w:tc>
          <w:tcPr>
            <w:tcW w:w="5800" w:type="dxa"/>
            <w:vAlign w:val="bottom"/>
          </w:tcPr>
          <w:p>
            <w:pPr>
              <w:ind w:left="220"/>
              <w:spacing w:after="0"/>
              <w:rPr>
                <w:sz w:val="20"/>
                <w:szCs w:val="20"/>
                <w:color w:val="auto"/>
              </w:rPr>
            </w:pPr>
            <w:r>
              <w:rPr>
                <w:rFonts w:ascii="Arial" w:cs="Arial" w:eastAsia="Arial" w:hAnsi="Arial"/>
                <w:sz w:val="15"/>
                <w:szCs w:val="15"/>
                <w:color w:val="auto"/>
              </w:rPr>
              <w:t>(Gain) / loss on remeasurement of marketable securities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74.0</w:t>
            </w:r>
          </w:p>
        </w:tc>
      </w:tr>
      <w:tr>
        <w:trPr>
          <w:trHeight w:val="207"/>
        </w:trPr>
        <w:tc>
          <w:tcPr>
            <w:tcW w:w="5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investment in nonconsolidated affiliates</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198"/>
        </w:trPr>
        <w:tc>
          <w:tcPr>
            <w:tcW w:w="5800" w:type="dxa"/>
            <w:vAlign w:val="bottom"/>
          </w:tcPr>
          <w:p>
            <w:pPr>
              <w:ind w:left="220"/>
              <w:spacing w:after="0"/>
              <w:rPr>
                <w:sz w:val="20"/>
                <w:szCs w:val="20"/>
                <w:color w:val="auto"/>
              </w:rPr>
            </w:pPr>
            <w:r>
              <w:rPr>
                <w:rFonts w:ascii="Arial" w:cs="Arial" w:eastAsia="Arial" w:hAnsi="Arial"/>
                <w:sz w:val="15"/>
                <w:szCs w:val="15"/>
                <w:color w:val="auto"/>
              </w:rPr>
              <w:t>(Gain) / loss on remeasurement of notes receivable</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(0.1)</w:t>
            </w:r>
          </w:p>
        </w:tc>
      </w:tr>
      <w:tr>
        <w:trPr>
          <w:trHeight w:val="207"/>
        </w:trPr>
        <w:tc>
          <w:tcPr>
            <w:tcW w:w="5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dispositions of properties, including tax effect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r>
      <w:tr>
        <w:trPr>
          <w:trHeight w:val="198"/>
        </w:trPr>
        <w:tc>
          <w:tcPr>
            <w:tcW w:w="5800" w:type="dxa"/>
            <w:vAlign w:val="bottom"/>
          </w:tcPr>
          <w:p>
            <w:pPr>
              <w:ind w:left="220"/>
              <w:spacing w:after="0"/>
              <w:rPr>
                <w:sz w:val="20"/>
                <w:szCs w:val="20"/>
                <w:color w:val="auto"/>
              </w:rPr>
            </w:pPr>
            <w:r>
              <w:rPr>
                <w:rFonts w:ascii="Arial" w:cs="Arial" w:eastAsia="Arial" w:hAnsi="Arial"/>
                <w:sz w:val="15"/>
                <w:szCs w:val="15"/>
                <w:color w:val="auto"/>
              </w:rPr>
              <w:t>Add: Returns on preferred OP units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207"/>
        </w:trPr>
        <w:tc>
          <w:tcPr>
            <w:tcW w:w="5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Add: Income attributable to noncontrolling interests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r>
      <w:tr>
        <w:trPr>
          <w:trHeight w:val="198"/>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Gain on dispositions of assets, net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(44.2)</w:t>
            </w:r>
          </w:p>
        </w:tc>
      </w:tr>
      <w:tr>
        <w:trPr>
          <w:trHeight w:val="200"/>
        </w:trPr>
        <w:tc>
          <w:tcPr>
            <w:tcW w:w="5800" w:type="dxa"/>
            <w:vAlign w:val="bottom"/>
            <w:shd w:val="clear" w:color="auto" w:fill="CCEEFF"/>
          </w:tcPr>
          <w:p>
            <w:pPr>
              <w:ind w:left="20"/>
              <w:spacing w:after="0" w:line="200" w:lineRule="exact"/>
              <w:rPr>
                <w:sz w:val="20"/>
                <w:szCs w:val="20"/>
                <w:color w:val="auto"/>
              </w:rPr>
            </w:pPr>
            <w:r>
              <w:rPr>
                <w:rFonts w:ascii="Arial" w:cs="Arial" w:eastAsia="Arial" w:hAnsi="Arial"/>
                <w:sz w:val="15"/>
                <w:szCs w:val="15"/>
                <w:b w:val="1"/>
                <w:bCs w:val="1"/>
                <w:color w:val="auto"/>
                <w:w w:val="95"/>
              </w:rPr>
              <w:t>FFO Attributable to SUI Common Shareholders and Dilutive Convertible Securities</w:t>
            </w:r>
            <w:r>
              <w:rPr>
                <w:rFonts w:ascii="Arial" w:cs="Arial" w:eastAsia="Arial" w:hAnsi="Arial"/>
                <w:sz w:val="19"/>
                <w:szCs w:val="19"/>
                <w:color w:val="auto"/>
                <w:w w:val="95"/>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726.7</w:t>
            </w:r>
          </w:p>
        </w:tc>
      </w:tr>
      <w:tr>
        <w:trPr>
          <w:trHeight w:val="216"/>
        </w:trPr>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5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5800" w:type="dxa"/>
            <w:vAlign w:val="bottom"/>
          </w:tcPr>
          <w:p>
            <w:pPr>
              <w:ind w:left="220"/>
              <w:spacing w:after="0" w:line="203" w:lineRule="exact"/>
              <w:rPr>
                <w:sz w:val="20"/>
                <w:szCs w:val="20"/>
                <w:color w:val="auto"/>
              </w:rPr>
            </w:pPr>
            <w:r>
              <w:rPr>
                <w:rFonts w:ascii="Arial" w:cs="Arial" w:eastAsia="Arial" w:hAnsi="Arial"/>
                <w:sz w:val="15"/>
                <w:szCs w:val="15"/>
                <w:color w:val="auto"/>
              </w:rPr>
              <w:t>Business combination expense and other acquisition related costs</w:t>
            </w:r>
            <w:r>
              <w:rPr>
                <w:rFonts w:ascii="Arial" w:cs="Arial" w:eastAsia="Arial" w:hAnsi="Arial"/>
                <w:sz w:val="19"/>
                <w:szCs w:val="19"/>
                <w:color w:val="auto"/>
                <w:vertAlign w:val="superscript"/>
              </w:rPr>
              <w:t>(2)</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19.2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40.1</w:t>
            </w:r>
          </w:p>
        </w:tc>
      </w:tr>
      <w:tr>
        <w:trPr>
          <w:trHeight w:val="203"/>
        </w:trPr>
        <w:tc>
          <w:tcPr>
            <w:tcW w:w="5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on extinguishment of debt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r>
      <w:tr>
        <w:trPr>
          <w:trHeight w:val="198"/>
        </w:trPr>
        <w:tc>
          <w:tcPr>
            <w:tcW w:w="5800" w:type="dxa"/>
            <w:vAlign w:val="bottom"/>
          </w:tcPr>
          <w:p>
            <w:pPr>
              <w:ind w:left="220"/>
              <w:spacing w:after="0"/>
              <w:rPr>
                <w:sz w:val="20"/>
                <w:szCs w:val="20"/>
                <w:color w:val="auto"/>
              </w:rPr>
            </w:pPr>
            <w:r>
              <w:rPr>
                <w:rFonts w:ascii="Arial" w:cs="Arial" w:eastAsia="Arial" w:hAnsi="Arial"/>
                <w:sz w:val="15"/>
                <w:szCs w:val="15"/>
                <w:color w:val="auto"/>
              </w:rPr>
              <w:t>Catastrophic event-related charges, net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12.3</w:t>
            </w:r>
          </w:p>
        </w:tc>
      </w:tr>
      <w:tr>
        <w:trPr>
          <w:trHeight w:val="207"/>
        </w:trPr>
        <w:tc>
          <w:tcPr>
            <w:tcW w:w="5800" w:type="dxa"/>
            <w:vAlign w:val="bottom"/>
            <w:shd w:val="clear" w:color="auto" w:fill="CCEEFF"/>
          </w:tcPr>
          <w:p>
            <w:pPr>
              <w:ind w:left="220"/>
              <w:spacing w:after="0" w:line="206" w:lineRule="exact"/>
              <w:rPr>
                <w:sz w:val="20"/>
                <w:szCs w:val="20"/>
                <w:color w:val="auto"/>
              </w:rPr>
            </w:pPr>
            <w:r>
              <w:rPr>
                <w:rFonts w:ascii="Arial" w:cs="Arial" w:eastAsia="Arial" w:hAnsi="Arial"/>
                <w:sz w:val="15"/>
                <w:szCs w:val="15"/>
                <w:color w:val="auto"/>
              </w:rPr>
              <w:t>Loss of earnings - catastrophic event-related charges, net</w:t>
            </w:r>
            <w:r>
              <w:rPr>
                <w:rFonts w:ascii="Arial" w:cs="Arial" w:eastAsia="Arial" w:hAnsi="Arial"/>
                <w:sz w:val="19"/>
                <w:szCs w:val="19"/>
                <w:color w:val="auto"/>
                <w:vertAlign w:val="superscript"/>
              </w:rPr>
              <w:t>(3)</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r>
      <w:tr>
        <w:trPr>
          <w:trHeight w:val="198"/>
        </w:trPr>
        <w:tc>
          <w:tcPr>
            <w:tcW w:w="5800" w:type="dxa"/>
            <w:vAlign w:val="bottom"/>
          </w:tcPr>
          <w:p>
            <w:pPr>
              <w:ind w:left="220"/>
              <w:spacing w:after="0"/>
              <w:rPr>
                <w:sz w:val="20"/>
                <w:szCs w:val="20"/>
                <w:color w:val="auto"/>
              </w:rPr>
            </w:pPr>
            <w:r>
              <w:rPr>
                <w:rFonts w:ascii="Arial" w:cs="Arial" w:eastAsia="Arial" w:hAnsi="Arial"/>
                <w:sz w:val="15"/>
                <w:szCs w:val="15"/>
                <w:color w:val="auto"/>
              </w:rPr>
              <w:t>(Gain) / loss on foreign currency exchanges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(21.7)</w:t>
            </w:r>
          </w:p>
        </w:tc>
      </w:tr>
      <w:tr>
        <w:trPr>
          <w:trHeight w:val="207"/>
        </w:trPr>
        <w:tc>
          <w:tcPr>
            <w:tcW w:w="5800" w:type="dxa"/>
            <w:vAlign w:val="bottom"/>
            <w:shd w:val="clear" w:color="auto" w:fill="CCEEFF"/>
          </w:tcPr>
          <w:p>
            <w:pPr>
              <w:ind w:left="220"/>
              <w:spacing w:after="0" w:line="206" w:lineRule="exact"/>
              <w:rPr>
                <w:sz w:val="20"/>
                <w:szCs w:val="20"/>
                <w:color w:val="auto"/>
              </w:rPr>
            </w:pPr>
            <w:r>
              <w:rPr>
                <w:rFonts w:ascii="Arial" w:cs="Arial" w:eastAsia="Arial" w:hAnsi="Arial"/>
                <w:sz w:val="15"/>
                <w:szCs w:val="15"/>
                <w:color w:val="auto"/>
              </w:rPr>
              <w:t>Other adjustments, net</w:t>
            </w:r>
            <w:r>
              <w:rPr>
                <w:rFonts w:ascii="Arial" w:cs="Arial" w:eastAsia="Arial" w:hAnsi="Arial"/>
                <w:sz w:val="19"/>
                <w:szCs w:val="19"/>
                <w:color w:val="auto"/>
                <w:vertAlign w:val="superscript"/>
              </w:rPr>
              <w:t>(4)</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w:t>
            </w:r>
          </w:p>
        </w:tc>
      </w:tr>
      <w:tr>
        <w:trPr>
          <w:trHeight w:val="128"/>
        </w:trPr>
        <w:tc>
          <w:tcPr>
            <w:tcW w:w="58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Core FFO Attributable to SUI Common Shareholders and Dilutive Convertible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89"/>
        </w:trPr>
        <w:tc>
          <w:tcPr>
            <w:tcW w:w="5800" w:type="dxa"/>
            <w:vAlign w:val="bottom"/>
          </w:tcPr>
          <w:p>
            <w:pPr>
              <w:ind w:left="20"/>
              <w:spacing w:after="0" w:line="189" w:lineRule="exact"/>
              <w:rPr>
                <w:sz w:val="20"/>
                <w:szCs w:val="20"/>
                <w:color w:val="auto"/>
              </w:rPr>
            </w:pPr>
            <w:r>
              <w:rPr>
                <w:rFonts w:ascii="Arial" w:cs="Arial" w:eastAsia="Arial" w:hAnsi="Arial"/>
                <w:sz w:val="15"/>
                <w:szCs w:val="15"/>
                <w:b w:val="1"/>
                <w:bCs w:val="1"/>
                <w:color w:val="auto"/>
              </w:rPr>
              <w:t>Securities</w:t>
            </w:r>
            <w:r>
              <w:rPr>
                <w:rFonts w:ascii="Arial" w:cs="Arial" w:eastAsia="Arial" w:hAnsi="Arial"/>
                <w:sz w:val="19"/>
                <w:szCs w:val="19"/>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329.0</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336.0</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738.5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756.9</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5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0"/>
        </w:trPr>
        <w:tc>
          <w:tcPr>
            <w:tcW w:w="5800" w:type="dxa"/>
            <w:vAlign w:val="bottom"/>
          </w:tcPr>
          <w:p>
            <w:pPr>
              <w:ind w:left="20"/>
              <w:spacing w:after="0"/>
              <w:rPr>
                <w:sz w:val="20"/>
                <w:szCs w:val="20"/>
                <w:color w:val="auto"/>
              </w:rPr>
            </w:pPr>
            <w:r>
              <w:rPr>
                <w:rFonts w:ascii="Arial" w:cs="Arial" w:eastAsia="Arial" w:hAnsi="Arial"/>
                <w:sz w:val="15"/>
                <w:szCs w:val="15"/>
                <w:b w:val="1"/>
                <w:bCs w:val="1"/>
                <w:color w:val="auto"/>
              </w:rPr>
              <w:t>Weighted Average Common Shares Outstanding - Diluted</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126.7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125.4</w:t>
            </w:r>
          </w:p>
        </w:tc>
      </w:tr>
      <w:tr>
        <w:trPr>
          <w:trHeight w:val="110"/>
        </w:trPr>
        <w:tc>
          <w:tcPr>
            <w:tcW w:w="5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148"/>
        </w:trPr>
        <w:tc>
          <w:tcPr>
            <w:tcW w:w="5800" w:type="dxa"/>
            <w:vAlign w:val="bottom"/>
          </w:tcPr>
          <w:p>
            <w:pPr>
              <w:ind w:left="20"/>
              <w:spacing w:after="0" w:line="149" w:lineRule="exact"/>
              <w:rPr>
                <w:sz w:val="20"/>
                <w:szCs w:val="20"/>
                <w:color w:val="auto"/>
              </w:rPr>
            </w:pPr>
            <w:r>
              <w:rPr>
                <w:rFonts w:ascii="Arial" w:cs="Arial" w:eastAsia="Arial" w:hAnsi="Arial"/>
                <w:sz w:val="15"/>
                <w:szCs w:val="15"/>
                <w:b w:val="1"/>
                <w:bCs w:val="1"/>
                <w:color w:val="auto"/>
                <w:w w:val="98"/>
              </w:rPr>
              <w:t>FFO Attributable to SUI Common Shareholders and Dilutive Convertible Securities</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2"/>
        </w:trPr>
        <w:tc>
          <w:tcPr>
            <w:tcW w:w="5800" w:type="dxa"/>
            <w:vAlign w:val="bottom"/>
          </w:tcPr>
          <w:p>
            <w:pPr>
              <w:ind w:left="20"/>
              <w:spacing w:after="0"/>
              <w:rPr>
                <w:sz w:val="20"/>
                <w:szCs w:val="20"/>
                <w:color w:val="auto"/>
              </w:rPr>
            </w:pPr>
            <w:r>
              <w:rPr>
                <w:rFonts w:ascii="Arial" w:cs="Arial" w:eastAsia="Arial" w:hAnsi="Arial"/>
                <w:sz w:val="15"/>
                <w:szCs w:val="15"/>
                <w:b w:val="1"/>
                <w:bCs w:val="1"/>
                <w:color w:val="auto"/>
              </w:rPr>
              <w:t>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2.55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2.54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5.64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5.80</w:t>
            </w:r>
          </w:p>
        </w:tc>
      </w:tr>
      <w:tr>
        <w:trPr>
          <w:trHeight w:val="112"/>
        </w:trPr>
        <w:tc>
          <w:tcPr>
            <w:tcW w:w="5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148"/>
        </w:trPr>
        <w:tc>
          <w:tcPr>
            <w:tcW w:w="5800" w:type="dxa"/>
            <w:vAlign w:val="bottom"/>
          </w:tcPr>
          <w:p>
            <w:pPr>
              <w:ind w:left="20"/>
              <w:spacing w:after="0" w:line="149" w:lineRule="exact"/>
              <w:rPr>
                <w:sz w:val="20"/>
                <w:szCs w:val="20"/>
                <w:color w:val="auto"/>
              </w:rPr>
            </w:pPr>
            <w:r>
              <w:rPr>
                <w:rFonts w:ascii="Arial" w:cs="Arial" w:eastAsia="Arial" w:hAnsi="Arial"/>
                <w:sz w:val="15"/>
                <w:szCs w:val="15"/>
                <w:b w:val="1"/>
                <w:bCs w:val="1"/>
                <w:color w:val="auto"/>
              </w:rPr>
              <w:t>Core FFO Attributable to SUI Common Shareholders and Dilutive Convertible</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8"/>
        </w:trPr>
        <w:tc>
          <w:tcPr>
            <w:tcW w:w="5800" w:type="dxa"/>
            <w:vAlign w:val="bottom"/>
          </w:tcPr>
          <w:p>
            <w:pPr>
              <w:ind w:left="20"/>
              <w:spacing w:after="0"/>
              <w:rPr>
                <w:sz w:val="20"/>
                <w:szCs w:val="20"/>
                <w:color w:val="auto"/>
              </w:rPr>
            </w:pPr>
            <w:r>
              <w:rPr>
                <w:rFonts w:ascii="Arial" w:cs="Arial" w:eastAsia="Arial" w:hAnsi="Arial"/>
                <w:sz w:val="15"/>
                <w:szCs w:val="15"/>
                <w:b w:val="1"/>
                <w:bCs w:val="1"/>
                <w:color w:val="auto"/>
              </w:rPr>
              <w:t>Securities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2.57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2.65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5.76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6.04</w:t>
            </w:r>
          </w:p>
        </w:tc>
      </w:tr>
    </w:tbl>
    <w:p>
      <w:pPr>
        <w:spacing w:after="0" w:line="73" w:lineRule="exact"/>
        <w:rPr>
          <w:sz w:val="20"/>
          <w:szCs w:val="20"/>
          <w:color w:val="auto"/>
        </w:rPr>
      </w:pPr>
    </w:p>
    <w:p>
      <w:pPr>
        <w:ind w:left="160" w:hanging="152"/>
        <w:spacing w:after="0"/>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Excludes the effect of certain anti-dilutive convertible securities.</w:t>
      </w:r>
    </w:p>
    <w:p>
      <w:pPr>
        <w:spacing w:after="0" w:line="32" w:lineRule="exact"/>
        <w:rPr>
          <w:rFonts w:ascii="Arial" w:cs="Arial" w:eastAsia="Arial" w:hAnsi="Arial"/>
          <w:sz w:val="18"/>
          <w:szCs w:val="18"/>
          <w:color w:val="auto"/>
          <w:vertAlign w:val="superscript"/>
        </w:rPr>
      </w:pPr>
    </w:p>
    <w:p>
      <w:pPr>
        <w:jc w:val="both"/>
        <w:ind w:left="180" w:hanging="172"/>
        <w:spacing w:after="0" w:line="266" w:lineRule="auto"/>
        <w:tabs>
          <w:tab w:leader="none" w:pos="167" w:val="left"/>
        </w:tabs>
        <w:numPr>
          <w:ilvl w:val="0"/>
          <w:numId w:val="37"/>
        </w:numPr>
        <w:rPr>
          <w:rFonts w:ascii="Arial" w:cs="Arial" w:eastAsia="Arial" w:hAnsi="Arial"/>
          <w:sz w:val="9"/>
          <w:szCs w:val="9"/>
          <w:color w:val="auto"/>
        </w:rPr>
      </w:pPr>
      <w:r>
        <w:rPr>
          <w:rFonts w:ascii="Arial" w:cs="Arial" w:eastAsia="Arial" w:hAnsi="Arial"/>
          <w:sz w:val="14"/>
          <w:szCs w:val="14"/>
          <w:color w:val="auto"/>
        </w:rPr>
        <w:t>These costs represent (i) nonrecurring integration expenses associated with acquisitions during the three and nine months ended September 30, 2023, and 2022, (ii) costs associated with potential acquisitions that will not close, (iii) costs associated with the termination of the bridge loan commitment during the three months ended March 31, 2022 related to the acquisition of Park Holidays and (iv) business combination expenses incurred to bring recently acquired properties up to the Company's operating standards, including items such as tree trimming and painting costs that do not meet the Company's capitalization policy.</w:t>
      </w:r>
    </w:p>
    <w:p>
      <w:pPr>
        <w:spacing w:after="0" w:line="3" w:lineRule="exact"/>
        <w:rPr>
          <w:rFonts w:ascii="Arial" w:cs="Arial" w:eastAsia="Arial" w:hAnsi="Arial"/>
          <w:sz w:val="9"/>
          <w:szCs w:val="9"/>
          <w:color w:val="auto"/>
        </w:rPr>
      </w:pPr>
    </w:p>
    <w:p>
      <w:pPr>
        <w:ind w:left="160" w:hanging="152"/>
        <w:spacing w:after="0"/>
        <w:tabs>
          <w:tab w:leader="none" w:pos="160" w:val="left"/>
        </w:tabs>
        <w:numPr>
          <w:ilvl w:val="0"/>
          <w:numId w:val="37"/>
        </w:numPr>
        <w:rPr>
          <w:rFonts w:ascii="Arial" w:cs="Arial" w:eastAsia="Arial" w:hAnsi="Arial"/>
          <w:sz w:val="9"/>
          <w:szCs w:val="9"/>
          <w:color w:val="auto"/>
        </w:rPr>
      </w:pPr>
      <w:r>
        <w:rPr>
          <w:rFonts w:ascii="Arial" w:cs="Arial" w:eastAsia="Arial" w:hAnsi="Arial"/>
          <w:sz w:val="14"/>
          <w:szCs w:val="14"/>
          <w:color w:val="auto"/>
        </w:rPr>
        <w:t>Loss of earnings - catastrophic event-related charges, net include the following:</w:t>
      </w:r>
    </w:p>
    <w:p>
      <w:pPr>
        <w:sectPr>
          <w:pgSz w:w="11900" w:h="16838" w:orient="portrait"/>
          <w:cols w:equalWidth="0" w:num="1">
            <w:col w:w="11240"/>
          </w:cols>
          <w:pgMar w:left="320" w:top="121" w:right="339" w:bottom="1440" w:gutter="0" w:footer="0" w:header="0"/>
        </w:sectPr>
      </w:pPr>
    </w:p>
    <w:p>
      <w:pPr>
        <w:spacing w:after="0" w:line="97" w:lineRule="exact"/>
        <w:rPr>
          <w:sz w:val="20"/>
          <w:szCs w:val="20"/>
          <w:color w:val="auto"/>
        </w:rPr>
      </w:pPr>
    </w:p>
    <w:p>
      <w:pPr>
        <w:jc w:val="center"/>
        <w:ind w:left="770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36195</wp:posOffset>
            </wp:positionV>
            <wp:extent cx="10972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47"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September 30, 2023</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36195</wp:posOffset>
            </wp:positionV>
            <wp:extent cx="10883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88390" cy="889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September 30, 2023</w:t>
      </w:r>
    </w:p>
    <w:p>
      <w:pPr>
        <w:spacing w:after="0" w:line="51" w:lineRule="exact"/>
        <w:rPr>
          <w:sz w:val="20"/>
          <w:szCs w:val="20"/>
          <w:color w:val="auto"/>
        </w:rPr>
      </w:pPr>
    </w:p>
    <w:p>
      <w:pPr>
        <w:sectPr>
          <w:pgSz w:w="11900" w:h="16838" w:orient="portrait"/>
          <w:cols w:equalWidth="0" w:num="2">
            <w:col w:w="9080" w:space="460"/>
            <w:col w:w="1700"/>
          </w:cols>
          <w:pgMar w:left="320" w:top="121" w:right="339" w:bottom="1440" w:gutter="0" w:footer="0" w:header="0"/>
          <w:type w:val="continuous"/>
        </w:sectPr>
      </w:pPr>
    </w:p>
    <w:p>
      <w:pPr>
        <w:ind w:left="180"/>
        <w:spacing w:after="0"/>
        <w:rPr>
          <w:sz w:val="20"/>
          <w:szCs w:val="20"/>
          <w:color w:val="auto"/>
        </w:rPr>
      </w:pPr>
      <w:r>
        <w:rPr>
          <w:rFonts w:ascii="Arial" w:cs="Arial" w:eastAsia="Arial" w:hAnsi="Arial"/>
          <w:sz w:val="14"/>
          <w:szCs w:val="14"/>
          <w:color w:val="auto"/>
        </w:rPr>
        <w:t>Hurricane Ian - Three Fort Myers, Florida RV communities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-98425</wp:posOffset>
            </wp:positionV>
            <wp:extent cx="6909435"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09435" cy="163195"/>
                    </a:xfrm>
                    <a:prstGeom prst="rect">
                      <a:avLst/>
                    </a:prstGeom>
                    <a:noFill/>
                  </pic:spPr>
                </pic:pic>
              </a:graphicData>
            </a:graphic>
          </wp:anchor>
        </w:drawing>
      </w:r>
    </w:p>
    <w:p>
      <w:pPr>
        <w:spacing w:after="0" w:line="76" w:lineRule="exact"/>
        <w:rPr>
          <w:sz w:val="20"/>
          <w:szCs w:val="20"/>
          <w:color w:val="auto"/>
        </w:rPr>
      </w:pPr>
    </w:p>
    <w:tbl>
      <w:tblPr>
        <w:tblLayout w:type="fixed"/>
        <w:tblInd w:w="160" w:type="dxa"/>
        <w:tblCellMar>
          <w:top w:w="0" w:type="dxa"/>
          <w:left w:w="0" w:type="dxa"/>
          <w:bottom w:w="0" w:type="dxa"/>
          <w:right w:w="0" w:type="dxa"/>
        </w:tblCellMar>
      </w:tblPr>
      <w:tr>
        <w:trPr>
          <w:trHeight w:val="182"/>
        </w:trPr>
        <w:tc>
          <w:tcPr>
            <w:tcW w:w="7360" w:type="dxa"/>
            <w:vAlign w:val="bottom"/>
          </w:tcPr>
          <w:p>
            <w:pPr>
              <w:ind w:left="140"/>
              <w:spacing w:after="0"/>
              <w:rPr>
                <w:sz w:val="20"/>
                <w:szCs w:val="20"/>
                <w:color w:val="auto"/>
              </w:rPr>
            </w:pPr>
            <w:r>
              <w:rPr>
                <w:rFonts w:ascii="Arial" w:cs="Arial" w:eastAsia="Arial" w:hAnsi="Arial"/>
                <w:sz w:val="14"/>
                <w:szCs w:val="14"/>
                <w:color w:val="auto"/>
              </w:rPr>
              <w:t>Estimated loss of earnings in excess of the applicable business interruption deductible</w:t>
            </w:r>
          </w:p>
        </w:tc>
        <w:tc>
          <w:tcPr>
            <w:tcW w:w="740" w:type="dxa"/>
            <w:vAlign w:val="bottom"/>
            <w:vMerge w:val="restart"/>
          </w:tcPr>
          <w:p>
            <w:pPr>
              <w:jc w:val="right"/>
              <w:ind w:right="56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5"/>
                <w:szCs w:val="15"/>
                <w:color w:val="auto"/>
              </w:rPr>
            </w:pPr>
          </w:p>
        </w:tc>
        <w:tc>
          <w:tcPr>
            <w:tcW w:w="720" w:type="dxa"/>
            <w:vAlign w:val="bottom"/>
            <w:vMerge w:val="restart"/>
          </w:tcPr>
          <w:p>
            <w:pPr>
              <w:jc w:val="right"/>
              <w:ind w:right="568"/>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54"/>
        </w:trPr>
        <w:tc>
          <w:tcPr>
            <w:tcW w:w="73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7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Insurance recoveries received for previously estimated loss of earnings through April 30, 2023</w:t>
            </w:r>
          </w:p>
        </w:tc>
        <w:tc>
          <w:tcPr>
            <w:tcW w:w="7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54"/>
        </w:trPr>
        <w:tc>
          <w:tcPr>
            <w:tcW w:w="736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360" w:type="dxa"/>
            <w:vAlign w:val="bottom"/>
          </w:tcPr>
          <w:p>
            <w:pPr>
              <w:ind w:left="20"/>
              <w:spacing w:after="0"/>
              <w:rPr>
                <w:sz w:val="20"/>
                <w:szCs w:val="20"/>
                <w:color w:val="auto"/>
              </w:rPr>
            </w:pPr>
            <w:r>
              <w:rPr>
                <w:rFonts w:ascii="Arial" w:cs="Arial" w:eastAsia="Arial" w:hAnsi="Arial"/>
                <w:sz w:val="14"/>
                <w:szCs w:val="14"/>
                <w:color w:val="auto"/>
              </w:rPr>
              <w:t>Hurricane Irma - Three Florida Keys communities impaired</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Estimated loss of earnings in excess of the applicable business interruption deductible</w:t>
            </w:r>
          </w:p>
        </w:tc>
        <w:tc>
          <w:tcPr>
            <w:tcW w:w="74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54"/>
        </w:trPr>
        <w:tc>
          <w:tcPr>
            <w:tcW w:w="736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gridSpan w:val="2"/>
            <w:vMerge w:val="continue"/>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360" w:type="dxa"/>
            <w:vAlign w:val="bottom"/>
          </w:tcPr>
          <w:p>
            <w:pPr>
              <w:ind w:left="140"/>
              <w:spacing w:after="0"/>
              <w:rPr>
                <w:sz w:val="20"/>
                <w:szCs w:val="20"/>
                <w:color w:val="auto"/>
              </w:rPr>
            </w:pPr>
            <w:r>
              <w:rPr>
                <w:rFonts w:ascii="Arial" w:cs="Arial" w:eastAsia="Arial" w:hAnsi="Arial"/>
                <w:sz w:val="14"/>
                <w:szCs w:val="14"/>
                <w:color w:val="auto"/>
              </w:rPr>
              <w:t>Reversal of unpaid previously estimated loss of earnings that we do not expect to recover</w:t>
            </w:r>
          </w:p>
        </w:tc>
        <w:tc>
          <w:tcPr>
            <w:tcW w:w="7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49"/>
        </w:trPr>
        <w:tc>
          <w:tcPr>
            <w:tcW w:w="7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7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Loss of earnings - catastrophic event-related charges, net</w:t>
            </w: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180" w:hanging="172"/>
        <w:spacing w:after="0" w:line="237" w:lineRule="auto"/>
        <w:tabs>
          <w:tab w:leader="none" w:pos="167"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Other adjustments, net relates primarily to (i) deferred tax benefit and long term lease termination (benefit) / expense during the three and nine months ended September 30, 2023 and 2022, (ii) accelerated deferred compensation amortization during the three months ended September 30, 2023 and the three and nine months ended September 30, 2022, (iii) non-recurring management fees, management fee recoveries, and contingent consideration benefit during the three and nine months ended September 30, 2023, and (iv) a legal settlement during the three and nine months ended September 30, 2022.</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Short-term Liquidity</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principal short-term liquidity demands historically have been, and are expected to continue to be, distributions to our shareholders and the unit holders of the Operating Partnership, property acquisitions, development and expansion of our properties, capital improvement of our properties, the purchase of new and pre-owned homes, and debt repayment. We intend to meet our short-term liquidity requirements through available cash balances, cash flows generated from operations, draws on our Senior Credit Facility, and the use of debt and equity offerings under our shelf registration statement. Refer to Note 8, "Debt and Line of Credit," Note 9, "Equity and Temporary Equity," and Note 19, "Subsequent Events," in our accompanying Consolidated Financial Statements for additional information and related activity subsequent to September 30, 2023.</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intend to continue to strengthen our capital and liquidity positions by focusing on our core fundamentals, which are generating positive cash flows from operations, maintaining appropriate debt levels and leverage ratios, and controlling overhead costs. We take a disciplined approach to selecting the optimal mix of financing sources to meet our liquidity demands and minimize our overall cost of capital. Our investment grade credit ratings of BBB and Baa3 from S&amp;P Global and Moody's, respectively, remain unchanged from the initial rating. We plan to continue to capitalize on our unsecured bond market access to optimize our cost of capital and increase our financial flexibility.</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 market and economic conditions, including relating to, among other things, interest rates, currency fluctuations, equity valuations and inflation, may adversely affect our ability to obtain debt and equity capital in the short term on attractive terms.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our history, we have demonstrated operational reliability and cash flow strength throughout economic cycles. Our current objectives include streamlining our operations with an emphasis on our reliable real property income. We recognize the headwinds we are facing from a challenging macroeconomic environment and are re-aligning our strategy to focus on our proven, durable income streams. We are positioned for ongoing organic growth with expected rental rate increases. Looking ahead to 2024, we expect rental rate growth that exceeds headline inflation with ongoing focus on expense management to continue generating strong organic cash flow growth.</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Given a macroeconomic backdrop of sustained higher interest rates, we intend to prioritize variable rate debt reduction as our primary use of free cash flow from our operations and selective capital recycling, including the disposition of our 41.8 million share position in Ingenia Communities Group and other potential capital recycling opportunities. In addition, we are pulling back on our development activity and capital spending considering the more challenging macroeconomic and capital market environments. Capital spending besides projects that are underway, will be solely focused on the most strategic opportunities. We also attempt to manage interest rate risks by using interest rate hedging instruments and by monitoring our overall leverage levels. We engage in certain hedging transactions to limit our exposure from the adverse effects of changes in interest rates on borrowing costs of our loans.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development and expansion activities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market conditions, we intend to continue to identify opportunities to expand our development pipeline and acquire existing properties. We finance acquisitions through available cash, secured financing, draws on our Senior Credit Facility, the assumption of existing debt on properties and the issuance of debt and equity securities. The current higher interest rate environment may make it more expensive to finance acquisitions and fund developments and expansion. We will continue to evaluate acquisition and development opportunities that meet our underwriting criteria.</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2023, we acquired one MH community totaling 68 sites and 72 development sites, and one marina totaling 24 wet slips and dry storage spaces, for a total purchase price of approximately $107.0 million. Total acquisition investments were $319.3 million during the nine months ended September 30, 2023 and represents the purchase price paid for operating properties and land parcels for future ground-up development and expansions activities, plus any capital improvements identified during due diligence needed to bring acquired properties up to the Company's operating standards.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been focused on property ground-up development and expansion opportunities adjacent to our existing properties. During the nine months ended September 30, 2023, we acquired four land parcels located in the U.S. and the UK for the potential development of over 1,300 sites, expanded our existing communities by over 410 sites and delivered over 280 sites at three ground-up development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expand our properties utilizing our inventory of owned and entitled land. We have over 17,970 MH and RV sites suitable for future development.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3, "Real Estate Acquisitions and Dispositions," in our accompanying Consolidated Financial Statements for additional detail on acquisitions completed to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(excluding Acquisition costs)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expenditures include lot modifications, growth projects, rebranding, acquisition-related capital expenditures, expansion and development construction costs, rental home purchases and recurring capital expenditures.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capital expenditure activity is summarized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924"/>
              <w:spacing w:after="0"/>
              <w:rPr>
                <w:sz w:val="20"/>
                <w:szCs w:val="20"/>
                <w:color w:val="auto"/>
              </w:rPr>
            </w:pPr>
            <w:r>
              <w:rPr>
                <w:rFonts w:ascii="Arial" w:cs="Arial" w:eastAsia="Arial" w:hAnsi="Arial"/>
                <w:sz w:val="15"/>
                <w:szCs w:val="15"/>
                <w:b w:val="1"/>
                <w:bCs w:val="1"/>
                <w:color w:val="auto"/>
              </w:rPr>
              <w:t>Nine Months Ended</w:t>
            </w:r>
          </w:p>
        </w:tc>
      </w:tr>
      <w:tr>
        <w:trPr>
          <w:trHeight w:val="198"/>
        </w:trPr>
        <w:tc>
          <w:tcPr>
            <w:tcW w:w="7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2023</w:t>
            </w:r>
          </w:p>
        </w:tc>
        <w:tc>
          <w:tcPr>
            <w:tcW w:w="120" w:type="dxa"/>
            <w:vAlign w:val="bottom"/>
          </w:tcPr>
          <w:p>
            <w:pPr>
              <w:spacing w:after="0"/>
              <w:rPr>
                <w:sz w:val="17"/>
                <w:szCs w:val="17"/>
                <w:color w:val="auto"/>
              </w:rPr>
            </w:pPr>
          </w:p>
        </w:tc>
        <w:tc>
          <w:tcPr>
            <w:tcW w:w="1480" w:type="dxa"/>
            <w:vAlign w:val="bottom"/>
          </w:tcPr>
          <w:p>
            <w:pPr>
              <w:jc w:val="right"/>
              <w:ind w:right="84"/>
              <w:spacing w:after="0"/>
              <w:rPr>
                <w:sz w:val="20"/>
                <w:szCs w:val="20"/>
                <w:color w:val="auto"/>
              </w:rPr>
            </w:pPr>
            <w:r>
              <w:rPr>
                <w:rFonts w:ascii="Arial" w:cs="Arial" w:eastAsia="Arial" w:hAnsi="Arial"/>
                <w:sz w:val="15"/>
                <w:szCs w:val="15"/>
                <w:b w:val="1"/>
                <w:bCs w:val="1"/>
                <w:color w:val="auto"/>
                <w:w w:val="92"/>
              </w:rPr>
              <w:t>September 30, 2022</w:t>
            </w:r>
          </w:p>
        </w:tc>
      </w:tr>
      <w:tr>
        <w:trPr>
          <w:trHeight w:val="198"/>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Recurring Capital Expenditures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50.7</w:t>
            </w:r>
          </w:p>
        </w:tc>
      </w:tr>
      <w:tr>
        <w:trPr>
          <w:trHeight w:val="216"/>
        </w:trPr>
        <w:tc>
          <w:tcPr>
            <w:tcW w:w="7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3"/>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Non-Recurring Capital Expenditures and Related Activities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7940" w:type="dxa"/>
            <w:vAlign w:val="bottom"/>
          </w:tcPr>
          <w:p>
            <w:pPr>
              <w:ind w:left="140"/>
              <w:spacing w:after="0"/>
              <w:rPr>
                <w:sz w:val="20"/>
                <w:szCs w:val="20"/>
                <w:color w:val="auto"/>
              </w:rPr>
            </w:pPr>
            <w:r>
              <w:rPr>
                <w:rFonts w:ascii="Arial" w:cs="Arial" w:eastAsia="Arial" w:hAnsi="Arial"/>
                <w:sz w:val="15"/>
                <w:szCs w:val="15"/>
                <w:color w:val="auto"/>
              </w:rPr>
              <w:t>Lot Modifications</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41.3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25.9</w:t>
            </w:r>
          </w:p>
        </w:tc>
      </w:tr>
      <w:tr>
        <w:trPr>
          <w:trHeight w:val="207"/>
        </w:trPr>
        <w:tc>
          <w:tcPr>
            <w:tcW w:w="79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Growth Projects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w:t>
            </w:r>
          </w:p>
        </w:tc>
      </w:tr>
      <w:tr>
        <w:trPr>
          <w:trHeight w:val="198"/>
        </w:trPr>
        <w:tc>
          <w:tcPr>
            <w:tcW w:w="7940" w:type="dxa"/>
            <w:vAlign w:val="bottom"/>
          </w:tcPr>
          <w:p>
            <w:pPr>
              <w:ind w:left="140"/>
              <w:spacing w:after="0"/>
              <w:rPr>
                <w:sz w:val="20"/>
                <w:szCs w:val="20"/>
                <w:color w:val="auto"/>
              </w:rPr>
            </w:pPr>
            <w:r>
              <w:rPr>
                <w:rFonts w:ascii="Arial" w:cs="Arial" w:eastAsia="Arial" w:hAnsi="Arial"/>
                <w:sz w:val="15"/>
                <w:szCs w:val="15"/>
                <w:color w:val="auto"/>
              </w:rPr>
              <w:t>Rebranding</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12.7</w:t>
            </w:r>
          </w:p>
        </w:tc>
      </w:tr>
      <w:tr>
        <w:trPr>
          <w:trHeight w:val="207"/>
        </w:trPr>
        <w:tc>
          <w:tcPr>
            <w:tcW w:w="79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Capital improvements to recent acquisitions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220.9</w:t>
            </w:r>
          </w:p>
        </w:tc>
      </w:tr>
      <w:tr>
        <w:trPr>
          <w:trHeight w:val="198"/>
        </w:trPr>
        <w:tc>
          <w:tcPr>
            <w:tcW w:w="7940" w:type="dxa"/>
            <w:vAlign w:val="bottom"/>
          </w:tcPr>
          <w:p>
            <w:pPr>
              <w:ind w:left="140"/>
              <w:spacing w:after="0"/>
              <w:rPr>
                <w:sz w:val="20"/>
                <w:szCs w:val="20"/>
                <w:color w:val="auto"/>
              </w:rPr>
            </w:pPr>
            <w:r>
              <w:rPr>
                <w:rFonts w:ascii="Arial" w:cs="Arial" w:eastAsia="Arial" w:hAnsi="Arial"/>
                <w:sz w:val="15"/>
                <w:szCs w:val="15"/>
                <w:color w:val="auto"/>
              </w:rPr>
              <w:t>Expansion and Development</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232.0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176.7</w:t>
            </w:r>
          </w:p>
        </w:tc>
      </w:tr>
      <w:tr>
        <w:trPr>
          <w:trHeight w:val="207"/>
        </w:trPr>
        <w:tc>
          <w:tcPr>
            <w:tcW w:w="79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Rental Program</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100.9</w:t>
            </w:r>
          </w:p>
        </w:tc>
      </w:tr>
      <w:tr>
        <w:trPr>
          <w:trHeight w:val="198"/>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w:t>
            </w:r>
          </w:p>
        </w:tc>
      </w:tr>
      <w:tr>
        <w:trPr>
          <w:trHeight w:val="196"/>
        </w:trPr>
        <w:tc>
          <w:tcPr>
            <w:tcW w:w="79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Non-Recurring Capital Expenditure and Related Activities</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729.3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605.9</w:t>
            </w:r>
          </w:p>
        </w:tc>
      </w:tr>
      <w:tr>
        <w:trPr>
          <w:trHeight w:val="200"/>
        </w:trPr>
        <w:tc>
          <w:tcPr>
            <w:tcW w:w="7940" w:type="dxa"/>
            <w:vAlign w:val="bottom"/>
          </w:tcPr>
          <w:p>
            <w:pPr>
              <w:ind w:left="20"/>
              <w:spacing w:after="0"/>
              <w:rPr>
                <w:sz w:val="20"/>
                <w:szCs w:val="20"/>
                <w:color w:val="auto"/>
              </w:rPr>
            </w:pPr>
            <w:r>
              <w:rPr>
                <w:rFonts w:ascii="Arial" w:cs="Arial" w:eastAsia="Arial" w:hAnsi="Arial"/>
                <w:sz w:val="15"/>
                <w:szCs w:val="15"/>
                <w:b w:val="1"/>
                <w:bCs w:val="1"/>
                <w:color w:val="auto"/>
              </w:rPr>
              <w:t>Total Capital Expenditure and Related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790.3</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656.6</w:t>
            </w:r>
          </w:p>
        </w:tc>
      </w:tr>
      <w:tr>
        <w:trPr>
          <w:trHeight w:val="20"/>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capital expenditures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recurring capital expenditures are necessary to maintain asset quality, including purchasing and replacing items used to operate the communities and marinas. Recurring capital expenditures at our MH and RV properties include major road, driveway and pool improvements; clubhouse renovations; adding or replacing streetlights; playground equipment; signage; maintenance facilities; manager housing and property vehicles. Recurring capital expenditures at our marinas include dredging, dock repairs and improvements, and equipment maintenance and upgrades. The minimum capitalized amount is five hundred dollars.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Capital Expenditures and Related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Lot modifications </w:t>
      </w:r>
      <w:r>
        <w:rPr>
          <w:rFonts w:ascii="Arial" w:cs="Arial" w:eastAsia="Arial" w:hAnsi="Arial"/>
          <w:sz w:val="18"/>
          <w:szCs w:val="18"/>
          <w:color w:val="auto"/>
        </w:rPr>
        <w:t>- lot modification capital expenditures are incurred to modify the foundational structures required to set a new home after a previous</w:t>
      </w:r>
      <w:r>
        <w:rPr>
          <w:rFonts w:ascii="Arial" w:cs="Arial" w:eastAsia="Arial" w:hAnsi="Arial"/>
          <w:sz w:val="18"/>
          <w:szCs w:val="18"/>
          <w:i w:val="1"/>
          <w:iCs w:val="1"/>
          <w:color w:val="auto"/>
        </w:rPr>
        <w:t xml:space="preserve"> </w:t>
      </w:r>
      <w:r>
        <w:rPr>
          <w:rFonts w:ascii="Arial" w:cs="Arial" w:eastAsia="Arial" w:hAnsi="Arial"/>
          <w:sz w:val="18"/>
          <w:szCs w:val="18"/>
          <w:color w:val="auto"/>
        </w:rPr>
        <w:t>home has been removed. These expenditures are necessary to create a revenue stream from a new site renter and often improve the quality of the community. Other lot modification expenditures include land improvements added to annual RV sites to aid in the conversion of transient RV guests to annual contracts.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Growth projects </w:t>
      </w:r>
      <w:r>
        <w:rPr>
          <w:rFonts w:ascii="Arial" w:cs="Arial" w:eastAsia="Arial" w:hAnsi="Arial"/>
          <w:sz w:val="18"/>
          <w:szCs w:val="18"/>
          <w:color w:val="auto"/>
        </w:rPr>
        <w:t>- growth projects consist of revenue generating or expense reducing activities at the properties. These include, but are not limited to, utility</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efficiency and renewable energy projects, site, slip or amenity upgrades such as the addition of a garage, shed or boat lift, and other special capital projects that substantiate an incremental rental increase.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Rebranding </w:t>
      </w:r>
      <w:r>
        <w:rPr>
          <w:rFonts w:ascii="Arial" w:cs="Arial" w:eastAsia="Arial" w:hAnsi="Arial"/>
          <w:sz w:val="17"/>
          <w:szCs w:val="17"/>
          <w:color w:val="auto"/>
        </w:rPr>
        <w:t>- rebranding includes new signage at our RV communities and the costs of building an RV mobile application and updated website.</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 improvements subsequent to acquisition often require 24 to 36 months to complete after closing and include upgrading clubhouses; landscaping; new street light systems; new mail delivery systems; pool renovations including larger decks, heaters and furniture; new maintenance facilities; lot modifications; and new signage including main signs and internal road signs.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Expansion and development expenditures </w:t>
      </w:r>
      <w:r>
        <w:rPr>
          <w:rFonts w:ascii="Arial" w:cs="Arial" w:eastAsia="Arial" w:hAnsi="Arial"/>
          <w:sz w:val="18"/>
          <w:szCs w:val="18"/>
          <w:color w:val="auto"/>
        </w:rPr>
        <w:t>- consist primarily of construction costs such as roads, activities, and amenities, and costs necessary to complete</w:t>
      </w:r>
      <w:r>
        <w:rPr>
          <w:rFonts w:ascii="Arial" w:cs="Arial" w:eastAsia="Arial" w:hAnsi="Arial"/>
          <w:sz w:val="18"/>
          <w:szCs w:val="18"/>
          <w:i w:val="1"/>
          <w:iCs w:val="1"/>
          <w:color w:val="auto"/>
        </w:rPr>
        <w:t xml:space="preserve"> </w:t>
      </w:r>
      <w:r>
        <w:rPr>
          <w:rFonts w:ascii="Arial" w:cs="Arial" w:eastAsia="Arial" w:hAnsi="Arial"/>
          <w:sz w:val="18"/>
          <w:szCs w:val="18"/>
          <w:color w:val="auto"/>
        </w:rPr>
        <w:t>site improvements, such as driveways, sidewalks and landscaping at the Company's MH and RV communities. Expenditures also include costs to rebuild after damage has been incurred at MH, RV or marina properties, and research and development.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Rental program </w:t>
      </w:r>
      <w:r>
        <w:rPr>
          <w:rFonts w:ascii="Arial" w:cs="Arial" w:eastAsia="Arial" w:hAnsi="Arial"/>
          <w:sz w:val="18"/>
          <w:szCs w:val="18"/>
          <w:color w:val="auto"/>
        </w:rPr>
        <w:t>- consists of investment in the acquisition of homes intended for the Rental Program and the purchase of vacation rental homes at our RV</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communities. Expenditures for these investments depend upon the condition of the markets for repossessions and new home sales, rental homes and vacation rental homes.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cash flow activities are summarized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924"/>
              <w:spacing w:after="0"/>
              <w:rPr>
                <w:sz w:val="20"/>
                <w:szCs w:val="20"/>
                <w:color w:val="auto"/>
              </w:rPr>
            </w:pPr>
            <w:r>
              <w:rPr>
                <w:rFonts w:ascii="Arial" w:cs="Arial" w:eastAsia="Arial" w:hAnsi="Arial"/>
                <w:sz w:val="15"/>
                <w:szCs w:val="15"/>
                <w:b w:val="1"/>
                <w:bCs w:val="1"/>
                <w:color w:val="auto"/>
              </w:rPr>
              <w:t>Nine Months Ended</w:t>
            </w:r>
          </w:p>
        </w:tc>
      </w:tr>
      <w:tr>
        <w:trPr>
          <w:trHeight w:val="198"/>
        </w:trPr>
        <w:tc>
          <w:tcPr>
            <w:tcW w:w="7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2023</w:t>
            </w:r>
          </w:p>
        </w:tc>
        <w:tc>
          <w:tcPr>
            <w:tcW w:w="120" w:type="dxa"/>
            <w:vAlign w:val="bottom"/>
          </w:tcPr>
          <w:p>
            <w:pPr>
              <w:spacing w:after="0"/>
              <w:rPr>
                <w:sz w:val="17"/>
                <w:szCs w:val="17"/>
                <w:color w:val="auto"/>
              </w:rPr>
            </w:pPr>
          </w:p>
        </w:tc>
        <w:tc>
          <w:tcPr>
            <w:tcW w:w="1480" w:type="dxa"/>
            <w:vAlign w:val="bottom"/>
          </w:tcPr>
          <w:p>
            <w:pPr>
              <w:jc w:val="right"/>
              <w:ind w:right="84"/>
              <w:spacing w:after="0"/>
              <w:rPr>
                <w:sz w:val="20"/>
                <w:szCs w:val="20"/>
                <w:color w:val="auto"/>
              </w:rPr>
            </w:pPr>
            <w:r>
              <w:rPr>
                <w:rFonts w:ascii="Arial" w:cs="Arial" w:eastAsia="Arial" w:hAnsi="Arial"/>
                <w:sz w:val="15"/>
                <w:szCs w:val="15"/>
                <w:b w:val="1"/>
                <w:bCs w:val="1"/>
                <w:color w:val="auto"/>
                <w:w w:val="92"/>
              </w:rPr>
              <w:t>September 30, 2022</w:t>
            </w:r>
          </w:p>
        </w:tc>
      </w:tr>
      <w:tr>
        <w:trPr>
          <w:trHeight w:val="198"/>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672.9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689.8</w:t>
            </w:r>
          </w:p>
        </w:tc>
      </w:tr>
      <w:tr>
        <w:trPr>
          <w:trHeight w:val="198"/>
        </w:trPr>
        <w:tc>
          <w:tcPr>
            <w:tcW w:w="7940" w:type="dxa"/>
            <w:vAlign w:val="bottom"/>
          </w:tcPr>
          <w:p>
            <w:pPr>
              <w:ind w:left="20"/>
              <w:spacing w:after="0"/>
              <w:rPr>
                <w:sz w:val="20"/>
                <w:szCs w:val="20"/>
                <w:color w:val="auto"/>
              </w:rPr>
            </w:pPr>
            <w:r>
              <w:rPr>
                <w:rFonts w:ascii="Arial" w:cs="Arial" w:eastAsia="Arial" w:hAnsi="Arial"/>
                <w:sz w:val="15"/>
                <w:szCs w:val="15"/>
                <w:color w:val="auto"/>
              </w:rPr>
              <w:t>Net Cash Used for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(817.8)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(2,740.8)</w:t>
            </w:r>
          </w:p>
        </w:tc>
      </w:tr>
      <w:tr>
        <w:trPr>
          <w:trHeight w:val="207"/>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2,095.5</w:t>
            </w:r>
          </w:p>
        </w:tc>
      </w:tr>
      <w:tr>
        <w:trPr>
          <w:trHeight w:val="194"/>
        </w:trPr>
        <w:tc>
          <w:tcPr>
            <w:tcW w:w="794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(10.7)</w:t>
            </w:r>
          </w:p>
        </w:tc>
      </w:tr>
    </w:tbl>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cash equivalents and restricted cash decreased by $28.4 million from $90.4 million as of December 31, 2022, to $62.0 million as of September 30, 2023.</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u w:val="single" w:color="auto"/>
          <w:color w:val="auto"/>
        </w:rPr>
        <w:t>Operating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 Net cash provided by operating activities decreased by $16.9 million to $672.9 million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2023, compared to $689.8 million for the nine months ended September 30, 2022. The decrease in operating cash flow was primarily due to an increase in interest expense during the nine months ended September 30, 2023 as compared to the corresponding period in 2022 due to the changing macroeconomic environment, partially offset by improved Same Property operating performance at our MH and RV communities and marinas.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net cash flows provided by operating activities from continuing operations may be adversely impacted by, among other things:</w:t>
      </w:r>
    </w:p>
    <w:p>
      <w:pPr>
        <w:spacing w:after="0" w:line="25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market and economic conditions in our current markets generally, and specifically in the metropolitan areas of our current markets;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occupancy and rental rates of our properties;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increases in insurance premiums;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other operating costs, such as wage and benefit costs, real estate taxes and utilities;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sales of manufactured homes;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current volatility in economic conditions and the financial markets;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effects of outbreaks of disease and related restrictions on business operations. See "Risk Factors" in Part I, Item 1A of our 2022 Annual Report.</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u w:val="single" w:color="auto"/>
          <w:color w:val="auto"/>
        </w:rPr>
        <w:t>Investing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 Net cash used for investing activities decreased by $1.9 billion to $817.8 million for the nine months ended September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$2.7 billion for the nine months ended September 30, 2022. The decrease in Net cash used for investing activities was primarily driven by a decrease in cash deployed to acquire properties during the nine months ended September 30, 2023 as compared to the corresponding period in 2022. Refer to the Consolidated Statements of Cash Flows for detail on the net cash used for investing activities during the nine months ended September 30, 2023 and 2022. Refer to Note 3, "Real Estate Acquisitions and Dispositions," and Note 19, "Subsequent Events," in our accompanying Consolidated Financial Statements for additional information on acquisitions and investment activity subsequent to September 30, 2023.</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u w:val="single" w:color="auto"/>
          <w:color w:val="auto"/>
        </w:rPr>
        <w:t>Financing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 Net cash provided by financing activities decreased by $2.0 billion to $116.3 million for the nine months ended September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$2.1 billion for the nine months ended September 30, 2022. The decrease in Net cash provided by financing activities was primarily driven by a decrease in borrowings on our Senior Credit Facility, net of repayments, and a decrease in issuance of common stock, OP units and preferred OP units, net, during the nine months ended September 30, 2023 as compared to the corresponding period in 2022. Refer to the Consolidated Statements of Cash Flows for detail on the net cash provided by financing activities during the nine months ended September 30, 2023 and 2022. Refer to Note 8, "Debt and Line of Credit," and Note 9, "Equity and Temporary Equity," in our accompanying Consolidated Financial Statements for additional information.</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interest rate variability associated with our outstanding floating rate debt and any maturing debt that has to be refinanced. Interest rate movements impact our borrowing costs and, while as of September 30, 2023, over 82% of our total debt was fixed rate financing, including the impact of hedge activity, increases in interest costs are likely to adversely affect our financial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Equity and Debt Activity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2021, we entered into the November 2021 Forward Sale Agreements in connection with an underwritten registered public offering of 4,025,000 shares of our common stock at a public offering price of $185.00 per share. In April 2022, we completed the physical settlement of the 4,025,000 shares of common stock and received aggregate net proceeds of $705.4 million. We used the net proceeds to repay borrowings outstanding under our Senior Credit Facility, and for working capital and general corporate purposes.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Sales Agreement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2021, we entered into an At the Market Offering Sales Agreement (the "Sales Agreement"), with certain sales agents and forward sellers pursuant to which we may sell, from time to time, up to an aggregate gross sales price of $1.25 billion of our common stock through the sales agents, acting as our sales agents or, if applicable, as forward sellers, or directly to the sales agents as principals for their own accounts. We simultaneously terminated our prior sales agreement upon entering into the Sales Agreement. Through September 30, 2023, we had entered into forward sales agreements under our Sales Agreement for an aggregate gross sales price of $160.6 million.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September 30, 2022, we entered into forward sale agreements with respect to 15,000 shares of common stock under our Sales Agreement for $2.6 million. Additionally, we settled all of our outstanding forward sale agreements with respect to 1,526,212 shares of common stock which includes 620,109; 600,503; 290,600; and 15,000 shares of common stock from the three months ended December 31, 2021, March 31, June 30 and September 30, 2022 forward sale agreements, respectively. The net proceeds of $275.5 million from the settlement of these forward sale agreements were used to repay borrowings outstanding under our Senior Credit Facility.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June 30, 2022, we completed the physical settlement of 1,200,000 shares of common stock under our prior at the market offering program and received net proceeds of $229.5 million. Additionally, we entered into forward sales agreements with respect to 290,600 shares of common stock for $50.1 million, under our Sales Agreement. These forward sale agreements were settled during the three months ended September 30, 2022.</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months ended March 31, 2022, we entered into forward sales agreements with respect to 600,503 shares of common stock for $107.9 million, under our Sales Agreement. These forward sale agreements were settled during the three months ended September 30, 2022.</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2021, we entered into forward sale agreements with respect to 1,820,109 shares of common stock under our prior at the market offering program for $356.5 million. We completed the physical settlement of 1,200,000 and 620,109 shares of common stock during the three months ended June 30, 2022 and September 30, 2022,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the three months ended September 30, 2023, we sold our 41.8 million share position in Ingenia Communities Group (ASX: INA), generating $102.5 million of proceeds, net of underwriting and other estimated fees, with an estimated realized loss of $9.0 million. The proceeds were used to pay down amounts drawn under our Senior Credit Facility.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Debt</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Subsequent to the three months ended September 30, 2023, we entered into new mortgage term loans for $252.8 million that mature in November 2030 and bear interest at a fixed rate of 6.49%. As a result of the new mortgage term loans, two additional properties are encumbered. We used the proceeds to repay $117.8 million of mortgage term loans that mature in 2023 and pay down amounts drawn under our Senior Credit Facility. The effective interest rate on the new secured loans is 6.251%, inclusive of the impact of the aforementioned terminated swap of $50.0 million.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2023, we entered into mortgage term loans totaling $184.1 million related to 27 properties which mature from February 13, 2026 to April 1, 2033, and have a weighted average fixed interest rate of 5.39%. We used the net proceeds to repay borrowings outstanding under our Senior Credit Facility.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2022, we entered into a new $20.6 million construction loan, which was undrawn as of September 30, 2023 and a $3.4 million mortgage term loan that are jointly secured by one property. Both loans mature on August 10, 2047 and have a fixed interest rate of 3.65%. Additionally, we entered into a mortgage term loan of $226.0 million related to 18 existing encumbered properties which mature between June 15, 2026, and December 15, 2029, and have a fixed interest rate of 4.5%.</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September 30, 2022, we repaid $318.0 million of term loans collateralized by 35 properties. These loans had a weighted average interest rate of 4.81% and were set to mature from December 6, 2022 through September 6, 2024.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certain information regarding our outstanding senior unsecured notes (in millions). All senior unsecured notes include interest payments on a semi-annual basis in arrears.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4"/>
          </w:tcPr>
          <w:p>
            <w:pPr>
              <w:jc w:val="right"/>
              <w:ind w:right="1124"/>
              <w:spacing w:after="0"/>
              <w:rPr>
                <w:sz w:val="20"/>
                <w:szCs w:val="20"/>
                <w:color w:val="auto"/>
              </w:rPr>
            </w:pPr>
            <w:r>
              <w:rPr>
                <w:rFonts w:ascii="Arial" w:cs="Arial" w:eastAsia="Arial" w:hAnsi="Arial"/>
                <w:sz w:val="15"/>
                <w:szCs w:val="15"/>
                <w:b w:val="1"/>
                <w:bCs w:val="1"/>
                <w:color w:val="auto"/>
              </w:rPr>
              <w:t>Carrying Amount</w:t>
            </w:r>
          </w:p>
        </w:tc>
      </w:tr>
      <w:tr>
        <w:trPr>
          <w:trHeight w:val="200"/>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Arial" w:cs="Arial" w:eastAsia="Arial" w:hAnsi="Arial"/>
                <w:sz w:val="15"/>
                <w:szCs w:val="15"/>
                <w:b w:val="1"/>
                <w:bCs w:val="1"/>
                <w:color w:val="auto"/>
              </w:rPr>
              <w:t>Principal Amount</w:t>
            </w:r>
          </w:p>
        </w:tc>
        <w:tc>
          <w:tcPr>
            <w:tcW w:w="160" w:type="dxa"/>
            <w:vAlign w:val="bottom"/>
          </w:tcPr>
          <w:p>
            <w:pPr>
              <w:spacing w:after="0"/>
              <w:rPr>
                <w:sz w:val="17"/>
                <w:szCs w:val="17"/>
                <w:color w:val="auto"/>
              </w:rPr>
            </w:pPr>
          </w:p>
        </w:tc>
        <w:tc>
          <w:tcPr>
            <w:tcW w:w="16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2023</w:t>
            </w:r>
          </w:p>
        </w:tc>
        <w:tc>
          <w:tcPr>
            <w:tcW w:w="180" w:type="dxa"/>
            <w:vAlign w:val="bottom"/>
          </w:tcPr>
          <w:p>
            <w:pPr>
              <w:spacing w:after="0"/>
              <w:rPr>
                <w:sz w:val="17"/>
                <w:szCs w:val="17"/>
                <w:color w:val="auto"/>
              </w:rPr>
            </w:pPr>
          </w:p>
        </w:tc>
        <w:tc>
          <w:tcPr>
            <w:tcW w:w="1560" w:type="dxa"/>
            <w:vAlign w:val="bottom"/>
          </w:tcPr>
          <w:p>
            <w:pPr>
              <w:jc w:val="right"/>
              <w:ind w:right="184"/>
              <w:spacing w:after="0"/>
              <w:rPr>
                <w:sz w:val="20"/>
                <w:szCs w:val="20"/>
                <w:color w:val="auto"/>
              </w:rPr>
            </w:pPr>
            <w:r>
              <w:rPr>
                <w:rFonts w:ascii="Arial" w:cs="Arial" w:eastAsia="Arial" w:hAnsi="Arial"/>
                <w:sz w:val="15"/>
                <w:szCs w:val="15"/>
                <w:b w:val="1"/>
                <w:bCs w:val="1"/>
                <w:color w:val="auto"/>
                <w:w w:val="94"/>
              </w:rPr>
              <w:t>December 31, 2022</w:t>
            </w:r>
          </w:p>
        </w:tc>
      </w:tr>
      <w:tr>
        <w:trPr>
          <w:trHeight w:val="198"/>
        </w:trPr>
        <w:tc>
          <w:tcPr>
            <w:tcW w:w="5860" w:type="dxa"/>
            <w:vAlign w:val="bottom"/>
            <w:tcBorders>
              <w:top w:val="single" w:sz="8" w:color="CCEEFF"/>
            </w:tcBorders>
            <w:shd w:val="clear" w:color="auto" w:fill="CCEEFF"/>
          </w:tcPr>
          <w:p>
            <w:pPr>
              <w:ind w:left="20"/>
              <w:spacing w:after="0" w:line="198" w:lineRule="exact"/>
              <w:rPr>
                <w:sz w:val="20"/>
                <w:szCs w:val="20"/>
                <w:color w:val="auto"/>
              </w:rPr>
            </w:pPr>
            <w:r>
              <w:rPr>
                <w:rFonts w:ascii="Arial" w:cs="Arial" w:eastAsia="Arial" w:hAnsi="Arial"/>
                <w:sz w:val="15"/>
                <w:szCs w:val="15"/>
                <w:color w:val="auto"/>
              </w:rPr>
              <w:t>5.7% notes, issued in January 2023 and due in January 2033</w:t>
            </w:r>
            <w:r>
              <w:rPr>
                <w:rFonts w:ascii="Arial" w:cs="Arial" w:eastAsia="Arial" w:hAnsi="Arial"/>
                <w:sz w:val="19"/>
                <w:szCs w:val="19"/>
                <w:color w:val="auto"/>
                <w:vertAlign w:val="superscript"/>
              </w:rPr>
              <w:t>(1)</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400.0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395.6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N/A</w:t>
            </w:r>
          </w:p>
        </w:tc>
      </w:tr>
      <w:tr>
        <w:trPr>
          <w:trHeight w:val="198"/>
        </w:trPr>
        <w:tc>
          <w:tcPr>
            <w:tcW w:w="5860" w:type="dxa"/>
            <w:vAlign w:val="bottom"/>
          </w:tcPr>
          <w:p>
            <w:pPr>
              <w:ind w:left="20"/>
              <w:spacing w:after="0"/>
              <w:rPr>
                <w:sz w:val="20"/>
                <w:szCs w:val="20"/>
                <w:color w:val="auto"/>
              </w:rPr>
            </w:pPr>
            <w:r>
              <w:rPr>
                <w:rFonts w:ascii="Arial" w:cs="Arial" w:eastAsia="Arial" w:hAnsi="Arial"/>
                <w:sz w:val="15"/>
                <w:szCs w:val="15"/>
                <w:color w:val="auto"/>
              </w:rPr>
              <w:t>4.2% notes, issued in April 2022 and due in April 2032</w:t>
            </w:r>
          </w:p>
        </w:tc>
        <w:tc>
          <w:tcPr>
            <w:tcW w:w="20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600.0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592.4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591.8</w:t>
            </w:r>
          </w:p>
        </w:tc>
      </w:tr>
      <w:tr>
        <w:trPr>
          <w:trHeight w:val="207"/>
        </w:trPr>
        <w:tc>
          <w:tcPr>
            <w:tcW w:w="5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2.3% notes, issued in October 2021 and due in November 2028</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446.2</w:t>
            </w:r>
          </w:p>
        </w:tc>
      </w:tr>
      <w:tr>
        <w:trPr>
          <w:trHeight w:val="198"/>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2.7% notes, issued in June 2021 and October 2021, and due in July 2031</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750.0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742.3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741.6</w:t>
            </w:r>
          </w:p>
        </w:tc>
      </w:tr>
      <w:tr>
        <w:trPr>
          <w:trHeight w:val="225"/>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2,200.0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2,176.9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1,779.6</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ind w:left="180" w:right="20" w:hanging="172"/>
        <w:spacing w:after="0" w:line="266" w:lineRule="auto"/>
        <w:tabs>
          <w:tab w:leader="none" w:pos="150" w:val="left"/>
        </w:tabs>
        <w:numPr>
          <w:ilvl w:val="0"/>
          <w:numId w:val="40"/>
        </w:numPr>
        <w:rPr>
          <w:rFonts w:ascii="Arial" w:cs="Arial" w:eastAsia="Arial" w:hAnsi="Arial"/>
          <w:sz w:val="17"/>
          <w:szCs w:val="17"/>
          <w:color w:val="auto"/>
          <w:vertAlign w:val="superscript"/>
        </w:rPr>
      </w:pPr>
      <w:r>
        <w:rPr>
          <w:rFonts w:ascii="Arial" w:cs="Arial" w:eastAsia="Arial" w:hAnsi="Arial"/>
          <w:sz w:val="13"/>
          <w:szCs w:val="13"/>
          <w:color w:val="auto"/>
        </w:rPr>
        <w:t>In January 2023, the Operating Partnership issued $400.0 million of senior unsecured notes with an interest rate of 5.7% and a 10-year term, due January 15, 2033 (the "2033 Notes"). Interest on the notes is payable semi-annually in arrears on January 15 and July 15 of each year, beginning on July 15, 2023. The net proceeds from the offering were $395.3 million, after deducting underwriters' discounts and estimated offering expenses. We used the net proceeds from the offering to repay borrowings outstanding under our Senior Credit Facility.</w:t>
      </w:r>
    </w:p>
    <w:p>
      <w:pPr>
        <w:spacing w:after="0" w:line="2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obligations of the Operating Partnership to pay principal, premiums, if any, and interest on our senior unsecured notes are guaranteed on a senior basis by Sun Communities, Inc. The guarantee is full and unconditional, and the Operating Partnership is a consolidated subsidiary of the Company. Under Rule 3-10 of Regulation S-X, as amended, subsidiary issuers of obligations guaranteed by its parent company are not required to provide separate financial statements, provided that the subsidiary obligor is consolidated into the parent company's consolidated financial statements, the parent guarantee is "full and unconditional" and, subject to certain exceptions, the alternative disclosure required by Rule 13-01 is provided, which includes narrative disclosure and summarized financial information. Accordingly, separate consolidated financial statements of the Operating Partnership have not been presented. Furthermore, as permitted under Rule 13-01(a)(4)(vi), we have excluded the summarized financial information for the Operating Partnership as the assets, liabilities and results of operations of the Operating Partnership are not materially different from the corresponding amounts presented in our consolidated financial statements and management believes such summarized financial information would be repetitive and not provide incremental value to investors.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2022, the Operating Partnership as borrower, SUI as guarantor, and certain lenders entered into the Credit Facility Amendment, which amended our Senior Credit Facility.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Credit Facility Amendment increased the aggregate amount of our Senior Credit Facility to $4.2 billion with the ability to upsize the total borrowings by an additional $800.0 million, subject to certain conditions. The increased aggregate amount under the Senior Credit Facility consists of the following:</w:t>
      </w:r>
    </w:p>
    <w:p>
      <w:pPr>
        <w:jc w:val="both"/>
        <w:ind w:firstLine="8"/>
        <w:spacing w:after="0" w:line="253" w:lineRule="auto"/>
        <w:tabs>
          <w:tab w:leader="none" w:pos="2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revolving loan in an amount up to $3.05 billion and (b) a term loan facility of $1.15 billion, with the ability to draw funds from the combined facilities in U.S. dollars, Pound sterling, Euros, Canadian dollars and Australian dollars, subject to certain limitations. The Credit Facility Amendment extended the maturity date of the revolving loan facility to April 7, 2026. At our option that maturity date may be extended two additional six-month periods. In addition, the Credit Facility Amendment established the maturity date of the term loan facility under the Credit Facility Amendment as April 7, 2025, which may not be further extended.</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Credit Facility bears interest at a floating rate based on the Adjusted Term SOFR, the Adjusted Eurocurrency Rate, the Australian BBSY, the Daily SONIA Rate or the Canadian Dollar Offered Rate, as applicable, plus a margin, in all cases, which can range from 0.725% to 1.6%, subject to certain adjustments. As of September 30, 2023, the margins based on our credit ratings were 0.85% on the revolving loan facility and 0.95% on the term loan facility. During the nine months ended September 30, 2023 and year ended December 31, 2022, we achieved sustainability related requirements resulting in a favorable 0.04% and 0.01% adjustments, respectively, to both margins.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lenders' option, the Senior Credit Facility will become immediately due and payable upon an event of default under the Credit Facility Amendment. We had $1.0 billion and $1.1 billion of borrowings outstanding under the revolving loan as of September 30, 2023 and December 31, 2022, respectively. We also had $1.1 billion of borrowings outstanding under the term loan on the Senior Credit Facility as of September 30, 2023 and December 31, 2022, respectively. These balances are recorded in Unsecured debt on the Consolidated Balance Sheets.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Senior Credit Facility provides us with the ability to issue letters of credit. Our issuance of letters of credit does not increase our borrowings outstanding under the Senior Credit Facility, but does reduce the borrowing amount available. We had $16.7 million and $2.6 million of outstanding letters of credit at September 30, 2023 and December 31, 2022,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terms of the Senior Credit Facility, we are subject to various financial and other covenants. The most restrictive financial covenants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Senior Credit Facility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920" w:type="dxa"/>
            <w:vAlign w:val="bottom"/>
            <w:tcBorders>
              <w:bottom w:val="single" w:sz="8" w:color="auto"/>
            </w:tcBorders>
          </w:tcPr>
          <w:p>
            <w:pPr>
              <w:ind w:left="3140"/>
              <w:spacing w:after="0"/>
              <w:rPr>
                <w:sz w:val="20"/>
                <w:szCs w:val="20"/>
                <w:color w:val="auto"/>
              </w:rPr>
            </w:pPr>
            <w:r>
              <w:rPr>
                <w:rFonts w:ascii="Arial" w:cs="Arial" w:eastAsia="Arial" w:hAnsi="Arial"/>
                <w:sz w:val="15"/>
                <w:szCs w:val="15"/>
                <w:b w:val="1"/>
                <w:bCs w:val="1"/>
                <w:color w:val="auto"/>
              </w:rPr>
              <w:t>Covenant</w:t>
            </w:r>
          </w:p>
        </w:tc>
        <w:tc>
          <w:tcPr>
            <w:tcW w:w="8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620"/>
              <w:spacing w:after="0"/>
              <w:rPr>
                <w:sz w:val="20"/>
                <w:szCs w:val="20"/>
                <w:color w:val="auto"/>
              </w:rPr>
            </w:pPr>
            <w:r>
              <w:rPr>
                <w:rFonts w:ascii="Arial" w:cs="Arial" w:eastAsia="Arial" w:hAnsi="Arial"/>
                <w:sz w:val="15"/>
                <w:szCs w:val="15"/>
                <w:b w:val="1"/>
                <w:bCs w:val="1"/>
                <w:color w:val="auto"/>
              </w:rPr>
              <w:t>Requirement</w:t>
            </w:r>
          </w:p>
        </w:tc>
        <w:tc>
          <w:tcPr>
            <w:tcW w:w="8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As of September 30, 2023</w:t>
            </w:r>
          </w:p>
        </w:tc>
      </w:tr>
      <w:tr>
        <w:trPr>
          <w:trHeight w:val="20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Maximum leverage ratio</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&lt;65.0%</w:t>
            </w: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33.9%</w:t>
            </w:r>
          </w:p>
        </w:tc>
      </w:tr>
      <w:tr>
        <w:trPr>
          <w:trHeight w:val="199"/>
        </w:trPr>
        <w:tc>
          <w:tcPr>
            <w:tcW w:w="7000" w:type="dxa"/>
            <w:vAlign w:val="bottom"/>
            <w:gridSpan w:val="2"/>
          </w:tcPr>
          <w:p>
            <w:pPr>
              <w:ind w:left="20"/>
              <w:spacing w:after="0"/>
              <w:rPr>
                <w:sz w:val="20"/>
                <w:szCs w:val="20"/>
                <w:color w:val="auto"/>
              </w:rPr>
            </w:pPr>
            <w:r>
              <w:rPr>
                <w:rFonts w:ascii="Arial" w:cs="Arial" w:eastAsia="Arial" w:hAnsi="Arial"/>
                <w:sz w:val="15"/>
                <w:szCs w:val="15"/>
                <w:color w:val="auto"/>
              </w:rPr>
              <w:t>Minimum fixed charge coverage ratio</w:t>
            </w:r>
          </w:p>
        </w:tc>
        <w:tc>
          <w:tcPr>
            <w:tcW w:w="2080" w:type="dxa"/>
            <w:vAlign w:val="bottom"/>
          </w:tcPr>
          <w:p>
            <w:pPr>
              <w:jc w:val="center"/>
              <w:spacing w:after="0"/>
              <w:rPr>
                <w:sz w:val="20"/>
                <w:szCs w:val="20"/>
                <w:color w:val="auto"/>
              </w:rPr>
            </w:pPr>
            <w:r>
              <w:rPr>
                <w:rFonts w:ascii="Arial" w:cs="Arial" w:eastAsia="Arial" w:hAnsi="Arial"/>
                <w:sz w:val="15"/>
                <w:szCs w:val="15"/>
                <w:color w:val="auto"/>
                <w:w w:val="94"/>
              </w:rPr>
              <w:t>&gt;1.40</w:t>
            </w:r>
          </w:p>
        </w:tc>
        <w:tc>
          <w:tcPr>
            <w:tcW w:w="8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auto"/>
                <w:w w:val="95"/>
              </w:rPr>
              <w:t>3.23</w:t>
            </w:r>
          </w:p>
        </w:tc>
      </w:tr>
      <w:tr>
        <w:trPr>
          <w:trHeight w:val="20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Maximum secured leverage ratio</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&lt;40.0%</w:t>
            </w: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12.5%</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are required to maintain the following covenants with respect to the senior unsecured notes payable: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920" w:type="dxa"/>
            <w:vAlign w:val="bottom"/>
            <w:tcBorders>
              <w:bottom w:val="single" w:sz="8" w:color="auto"/>
            </w:tcBorders>
          </w:tcPr>
          <w:p>
            <w:pPr>
              <w:ind w:left="3140"/>
              <w:spacing w:after="0"/>
              <w:rPr>
                <w:sz w:val="20"/>
                <w:szCs w:val="20"/>
                <w:color w:val="auto"/>
              </w:rPr>
            </w:pPr>
            <w:r>
              <w:rPr>
                <w:rFonts w:ascii="Arial" w:cs="Arial" w:eastAsia="Arial" w:hAnsi="Arial"/>
                <w:sz w:val="15"/>
                <w:szCs w:val="15"/>
                <w:b w:val="1"/>
                <w:bCs w:val="1"/>
                <w:color w:val="auto"/>
              </w:rPr>
              <w:t>Covenant</w:t>
            </w:r>
          </w:p>
        </w:tc>
        <w:tc>
          <w:tcPr>
            <w:tcW w:w="8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620"/>
              <w:spacing w:after="0"/>
              <w:rPr>
                <w:sz w:val="20"/>
                <w:szCs w:val="20"/>
                <w:color w:val="auto"/>
              </w:rPr>
            </w:pPr>
            <w:r>
              <w:rPr>
                <w:rFonts w:ascii="Arial" w:cs="Arial" w:eastAsia="Arial" w:hAnsi="Arial"/>
                <w:sz w:val="15"/>
                <w:szCs w:val="15"/>
                <w:b w:val="1"/>
                <w:bCs w:val="1"/>
                <w:color w:val="auto"/>
              </w:rPr>
              <w:t>Requirement</w:t>
            </w:r>
          </w:p>
        </w:tc>
        <w:tc>
          <w:tcPr>
            <w:tcW w:w="8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As of September 30, 2023</w:t>
            </w:r>
          </w:p>
        </w:tc>
      </w:tr>
      <w:tr>
        <w:trPr>
          <w:trHeight w:val="20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debt to total assets</w:t>
            </w: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4"/>
              </w:rPr>
              <w:t>≤60.0%</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41.0%</w:t>
            </w:r>
          </w:p>
        </w:tc>
      </w:tr>
      <w:tr>
        <w:trPr>
          <w:trHeight w:val="198"/>
        </w:trPr>
        <w:tc>
          <w:tcPr>
            <w:tcW w:w="7000" w:type="dxa"/>
            <w:vAlign w:val="bottom"/>
            <w:gridSpan w:val="2"/>
          </w:tcPr>
          <w:p>
            <w:pPr>
              <w:ind w:left="20"/>
              <w:spacing w:after="0"/>
              <w:rPr>
                <w:sz w:val="20"/>
                <w:szCs w:val="20"/>
                <w:color w:val="auto"/>
              </w:rPr>
            </w:pPr>
            <w:r>
              <w:rPr>
                <w:rFonts w:ascii="Arial" w:cs="Arial" w:eastAsia="Arial" w:hAnsi="Arial"/>
                <w:sz w:val="15"/>
                <w:szCs w:val="15"/>
                <w:color w:val="auto"/>
              </w:rPr>
              <w:t>Secured debt to total assets</w:t>
            </w:r>
          </w:p>
        </w:tc>
        <w:tc>
          <w:tcPr>
            <w:tcW w:w="2160" w:type="dxa"/>
            <w:vAlign w:val="bottom"/>
            <w:gridSpan w:val="2"/>
          </w:tcPr>
          <w:p>
            <w:pPr>
              <w:jc w:val="center"/>
              <w:ind w:right="80"/>
              <w:spacing w:after="0"/>
              <w:rPr>
                <w:sz w:val="20"/>
                <w:szCs w:val="20"/>
                <w:color w:val="auto"/>
              </w:rPr>
            </w:pPr>
            <w:r>
              <w:rPr>
                <w:rFonts w:ascii="Arial" w:cs="Arial" w:eastAsia="Arial" w:hAnsi="Arial"/>
                <w:sz w:val="15"/>
                <w:szCs w:val="15"/>
                <w:color w:val="auto"/>
                <w:w w:val="94"/>
              </w:rPr>
              <w:t>≤40.0%</w:t>
            </w:r>
          </w:p>
        </w:tc>
        <w:tc>
          <w:tcPr>
            <w:tcW w:w="2080" w:type="dxa"/>
            <w:vAlign w:val="bottom"/>
          </w:tcPr>
          <w:p>
            <w:pPr>
              <w:jc w:val="center"/>
              <w:spacing w:after="0"/>
              <w:rPr>
                <w:sz w:val="20"/>
                <w:szCs w:val="20"/>
                <w:color w:val="auto"/>
              </w:rPr>
            </w:pPr>
            <w:r>
              <w:rPr>
                <w:rFonts w:ascii="Arial" w:cs="Arial" w:eastAsia="Arial" w:hAnsi="Arial"/>
                <w:sz w:val="15"/>
                <w:szCs w:val="15"/>
                <w:color w:val="auto"/>
                <w:w w:val="93"/>
              </w:rPr>
              <w:t>17.9%</w:t>
            </w:r>
          </w:p>
        </w:tc>
      </w:tr>
      <w:tr>
        <w:trPr>
          <w:trHeight w:val="20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Consolidated income available for debt service to debt service</w:t>
            </w: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6"/>
              </w:rPr>
              <w:t>≥1.50</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3.99</w:t>
            </w:r>
          </w:p>
        </w:tc>
      </w:tr>
      <w:tr>
        <w:trPr>
          <w:trHeight w:val="194"/>
        </w:trPr>
        <w:tc>
          <w:tcPr>
            <w:tcW w:w="7000" w:type="dxa"/>
            <w:vAlign w:val="bottom"/>
            <w:gridSpan w:val="2"/>
          </w:tcPr>
          <w:p>
            <w:pPr>
              <w:ind w:left="20"/>
              <w:spacing w:after="0"/>
              <w:rPr>
                <w:sz w:val="20"/>
                <w:szCs w:val="20"/>
                <w:color w:val="auto"/>
              </w:rPr>
            </w:pPr>
            <w:r>
              <w:rPr>
                <w:rFonts w:ascii="Arial" w:cs="Arial" w:eastAsia="Arial" w:hAnsi="Arial"/>
                <w:sz w:val="15"/>
                <w:szCs w:val="15"/>
                <w:color w:val="auto"/>
              </w:rPr>
              <w:t>Unencumbered total asset value to total unsecured debt</w:t>
            </w:r>
          </w:p>
        </w:tc>
        <w:tc>
          <w:tcPr>
            <w:tcW w:w="2160" w:type="dxa"/>
            <w:vAlign w:val="bottom"/>
            <w:gridSpan w:val="2"/>
          </w:tcPr>
          <w:p>
            <w:pPr>
              <w:jc w:val="center"/>
              <w:ind w:right="80"/>
              <w:spacing w:after="0"/>
              <w:rPr>
                <w:sz w:val="20"/>
                <w:szCs w:val="20"/>
                <w:color w:val="auto"/>
              </w:rPr>
            </w:pPr>
            <w:r>
              <w:rPr>
                <w:rFonts w:ascii="Arial" w:cs="Arial" w:eastAsia="Arial" w:hAnsi="Arial"/>
                <w:sz w:val="15"/>
                <w:szCs w:val="15"/>
                <w:color w:val="auto"/>
                <w:w w:val="94"/>
              </w:rPr>
              <w:t>≥150.0%</w:t>
            </w:r>
          </w:p>
        </w:tc>
        <w:tc>
          <w:tcPr>
            <w:tcW w:w="2080" w:type="dxa"/>
            <w:vAlign w:val="bottom"/>
          </w:tcPr>
          <w:p>
            <w:pPr>
              <w:jc w:val="center"/>
              <w:spacing w:after="0"/>
              <w:rPr>
                <w:sz w:val="20"/>
                <w:szCs w:val="20"/>
                <w:color w:val="auto"/>
              </w:rPr>
            </w:pPr>
            <w:r>
              <w:rPr>
                <w:rFonts w:ascii="Arial" w:cs="Arial" w:eastAsia="Arial" w:hAnsi="Arial"/>
                <w:sz w:val="15"/>
                <w:szCs w:val="15"/>
                <w:color w:val="auto"/>
                <w:w w:val="94"/>
              </w:rPr>
              <w:t>334.0%</w:t>
            </w:r>
          </w:p>
        </w:tc>
      </w:tr>
    </w:tbl>
    <w:p>
      <w:pPr>
        <w:spacing w:after="0" w:line="3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2023, we were in compliance with the above covenants and do not anticipate that we will be unable to meet these covenants in the near term.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Transactions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objective and strategy in using interest rate derivatives is to manage exposure to interest rate movements, thereby minimizing the effect of interest rate changes and the effect they could have on future cash outflows (forecasted interest payments), on a forecasted issuance of long-term debt, or on outstanding floating rate debt. We do not enter into derivative instruments for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the three months ended September 30, 2023, we terminated one $50.0 million SOFR swap and received a cash settlement payment of $6.0 million. As of September 30, 2023, the net accumulated gain is included in Accumulated other comprehensive income on our Consolidated Balance Sheets, and will be amortized as a reduction to Interest expense over the term of the hedged transaction.</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three months ended September 30, 2023, we entered into two interest rate swap contracts to hedge variable rate borrowings of $125.0 million in aggregate. The interest rate swaps lock in a weighted average SOFR rate of 4.771%, for an all-in rate of 5.6814% through the maturity date of April 7, 2026. On October 5, 2023, we entered into an interest rate swap contract to hedge variable rate borrowings of $25.0 million under the term loan of the Senior Credit Facility. The interest rate swap locks in a weighted average SOFR rate of 4.684%, and inclusive of spread, an all-in rate of 5.594% through the term loan maturity date of April 7, 2026. Refer to Note 19, "Subsequent Events," for derivative activity subsequent to September 30, 2023.</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2023, we entered into one interest rate swap contract to hedge variable rate borrowings of £100.0 million (equivalent to $122.0 million as of September 30, 2023). The interest rate swap locked in a SONIA rate of 3.865% for an all-in rate of 4.808% through the maturity date of April 7, 2025. We also entered into one forward starting interest rate swap contract with an aggregate notional value of $50.0 million to hedge interest rate risk associated with a potential future debt offering.</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March 31, 2023, in connection with the 2033 Notes issuance, we terminated two $100.0 million 10-year treasury rate lock contracts and one $50.0 million forward swap totaling $250.0 million and received a net settlement payment of $7.4 million. This lowered the effective interest rate on the 2033 Notes from 5.7% to 5.5%. As of the settlement date, the net accumulated gain included in AOCI is being reclassified into earnings as a reduction to Interest expense on a straight-line basis over the 10-year term of the hedged transaction.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Financing and Capital Requirements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Financing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meeting our long-term liquidity requirements, such as scheduled debt maturities, large property acquisitions, expansion and development of properties, other nonrecurring capital improvements and Operating Partnership unit redemptions through the long-term unsecured and secured debt and the issuance of certain debt or equity securities subject to market conditions. If current market and economic conditions, including relating to, among other things, interest rates, currency fluctuations, equity valuations and inflation, continue or worsen, our ability to obtain debt and equity capital in the long term on attractive terms may be adversely affected.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we had unrestricted cash on hand of $46.0 million, $2.0 billion of remaining capacity on the Senior Credit Facility, and a total of 516 unencumbered MH, RV and marina properties.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From time to time, we may also issue shares of our capital stock, issue equity units in our Operating Partnership, issue unsecured notes, obtain other debt financing or sell selected assets. Our ability to finance our long-term liquidity requirements in such a manner will be affected by numerous economic factors affecting the MH, RV and marina industries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In the event our current credit ratings are downgraded, it may become difficult or more expensive to obtain additional financing or refinance existing unsecured debt as maturities become due. See "Risk Factors" in Part I, Item 1A of our 2022 Annual Report. If we are unable to obtain additional debt or equity financing on acceptable terms, our business, results of operations and financial condition would be adversely impacted.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our net debt to enterprise value was 33.2% (assuming conversion of all common OP units, Series A-1 preferred OP units, Series A-3 preferred OP units, Series C preferred OP units, Series D preferred OP units, Series E preferred OP units, Series F preferred OP units, Series G preferred OP units, Series H preferred OP units, Series J preferred OP units and Series K preferred OP units to shares of common stock). Our debt has a weighted average interest rate of 4.13% and a weighted average years to maturity of 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nonconsolidated affiliates, which are accounted for under the equity-method of accounting, have incurred debt. We have not guaranteed the debt of our nonconsolidated affiliates in the arrangements referenced below, nor do we have any obligations to fund this debt should the nonconsolidated affiliates be unable to do so. Refer to Note 6, "Investments in Nonconsolidated Affiliates," in the accompanying Consolidated Financial Statements for additional information about these entities.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GTSC </w:t>
      </w:r>
      <w:r>
        <w:rPr>
          <w:rFonts w:ascii="Arial" w:cs="Arial" w:eastAsia="Arial" w:hAnsi="Arial"/>
          <w:sz w:val="18"/>
          <w:szCs w:val="18"/>
          <w:color w:val="auto"/>
        </w:rPr>
        <w:t>- During September 2019, GTSC entered into a warehouse line of credit with a maximum loan amount of $125.0 million. The line of credit was</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amended, with the maximum amount increased to $325.0 million as of December 31, 2022, with an option to increase to $375.0 million subject to the lender's consent. As of September 30, 2023 and December 31, 2022, the aggregate carrying amount of debt, including both our and our partner's share, incurred by GTSC was $276.4 million (of which our proportionate share is $110.6 million), and $275.0 million (of which our proportionate share is $110.0 million), respectively. The debt bears interest at a variable rate based on a Commercial Paper or adjusted SOFR plus a margin ranging from 1.65% to 2.5% per annum and matures on December 15, 2026.</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Sungenia JV </w:t>
      </w:r>
      <w:r>
        <w:rPr>
          <w:rFonts w:ascii="Arial" w:cs="Arial" w:eastAsia="Arial" w:hAnsi="Arial"/>
          <w:sz w:val="18"/>
          <w:szCs w:val="18"/>
          <w:color w:val="auto"/>
        </w:rPr>
        <w:t>- During May 2020, Sungenia JV, entered into a debt facility agreement with a maximum loan amount of $27.0 million Australian dollars, or</w:t>
      </w:r>
      <w:r>
        <w:rPr>
          <w:rFonts w:ascii="Arial" w:cs="Arial" w:eastAsia="Arial" w:hAnsi="Arial"/>
          <w:sz w:val="18"/>
          <w:szCs w:val="18"/>
          <w:i w:val="1"/>
          <w:iCs w:val="1"/>
          <w:color w:val="auto"/>
        </w:rPr>
        <w:t xml:space="preserve"> </w:t>
      </w:r>
      <w:r>
        <w:rPr>
          <w:rFonts w:ascii="Arial" w:cs="Arial" w:eastAsia="Arial" w:hAnsi="Arial"/>
          <w:sz w:val="18"/>
          <w:szCs w:val="18"/>
          <w:color w:val="auto"/>
        </w:rPr>
        <w:t>$17.4 million converted at the September 30, 2023 exchange rate. During July 2022, the maximum amount was increased to $50.0 million Australian dollars, or $32.1 million converted at the September 30, 2023 exchange rate. As of September 30, 2023 and December 31, 2022, the aggregate carrying amount of the debt, including both our and our partners' share, incurred by Sungenia JV was $23.8 million (of which our proportionate share is approximately $11.9 million), and $7.9 million (of which our proportionate share is $4.0 million), respectively. The debt bears interest at a variable rate based on the BBSY rate plus a margin ranging from 1.35% to 1.4%, subject to adjustment for additional future commitments, per annum and matures on June 30,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report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"target"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document, some of which are beyond our control. These risks and uncertainties and other factors may cause our actual results to be materially different from any future results expressed or implied by such forward-looking statements. In addition to the risks disclosed under "Risk Factors" in our 2022 Annual Report, and in our other filings with the SEC, from time to time, such risks, uncertainties and other factors include, but are not limited to:</w:t>
      </w:r>
    </w:p>
    <w:p>
      <w:pPr>
        <w:sectPr>
          <w:pgSz w:w="11900" w:h="16838" w:orient="portrait"/>
          <w:cols w:equalWidth="0" w:num="1">
            <w:col w:w="11240"/>
          </w:cols>
          <w:pgMar w:left="320" w:top="121" w:right="339" w:bottom="1440" w:gutter="0" w:footer="0" w:header="0"/>
        </w:sectPr>
      </w:pPr>
    </w:p>
    <w:p>
      <w:pPr>
        <w:spacing w:after="0" w:line="249"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Outbreaks of disease and related restrictions on business operations;</w:t>
      </w:r>
    </w:p>
    <w:p>
      <w:pPr>
        <w:spacing w:after="0" w:line="104"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Changes in general economic conditions, including inflation, deflation and energy costs, the real estate industry and the markets within which we operate;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Difficulties in our ability to evaluate, finance, complete and integrate acquisitions, developments and expansions successfully;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liquidity and refinancing demands;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obtain or refinance maturing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maintain compliance with covenants contained in our debt facilities and our unsecured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Availability of capital;</w:t>
      </w:r>
    </w:p>
    <w:p>
      <w:pPr>
        <w:spacing w:after="0" w:line="104"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Changes in foreign currency exchange rates, including between the U.S. dollar and each of the Canadian dollar, Australian dollar and Pound sterling;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maintain rental rates and occupancy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maintain effective internal control over financial reporting and disclosure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Increases in interest rates and operating costs, including insurance premiums and real estate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natural disasters such as hurricanes, earthquakes, floods, droughts and wildfires;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General volatility of the capital markets and the market price of shares of our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maintain our status as a REIT;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real estate and zoning laws and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Legislative or regulatory changes, including changes to laws governing the taxation of REITs;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Litigation, judgments or settlements, including costs associated with prosecuting or defending claims and any adverse outcomes;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Competitive market forces;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ability of purchasers of manufactured homes and boats to obtain financing; 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level of repossessions by manufactured home and boat lenders.</w:t>
      </w:r>
    </w:p>
    <w:p>
      <w:pPr>
        <w:spacing w:after="0" w:line="249" w:lineRule="exact"/>
        <w:rPr>
          <w:sz w:val="20"/>
          <w:szCs w:val="20"/>
          <w:color w:val="auto"/>
        </w:rPr>
      </w:pPr>
    </w:p>
    <w:p>
      <w:pPr>
        <w:sectPr>
          <w:pgSz w:w="11900" w:h="16838" w:orient="portrait"/>
          <w:cols w:equalWidth="0" w:num="2">
            <w:col w:w="380" w:space="380"/>
            <w:col w:w="10480"/>
          </w:cols>
          <w:pgMar w:left="320" w:top="121" w:right="339" w:bottom="1440" w:gutter="0" w:footer="0" w:header="0"/>
          <w:type w:val="continuous"/>
        </w:sectPr>
      </w:pP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document, whether as a result of new information, future events, changes in our expectations or otherwise, except as required by law.</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variable rate debt totaled $1.4 billion as of September 30, 2023 and 2022, after adjusting for the impact of hedging in place through the use of interest rate swaps. As of September 30, 2023 and 2022, our variable debt bore interest at the Adjusted Term SOFR, the Adjusted Eurocurrency Rate, the Australian BBSY rate, the Daily SONIA Rate or the Canadian Dollar Offered Rate, and the Eurodollar rate or Prime rate plus a margin. If the above rates increased or decreased by 1.0%, our interest expense would have increased or decreased by $10.4 million and $10.3 million for the nine months ended September 30, 2023 and 2022, respectively, based on the $1.4 billion average balance outstanding under our variable rate debt facilities for the nine months ended September 30, 2023 and 2022. Our variable rate debt, interest expense and average balance outstanding under our variable rate debt facility includes the impact of hedge activity.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properties in the UK and Canada, and our equity investment and joint venture in Australia, into U.S. dollars. Fluctuations in foreign currency exchange rates can therefore create volatility in our results of operations and may adversely affect our financial condition.</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September 30, 2023 and December 31, 2022, our shareholder's equity included $890.9 million and $1.2 billion from our investments and operations in the UK, Canada and Australia which collectively represented 11.4% and 14.9% of total shareholder's equity, respectively. Based on our sensitivity analysis, a 10.0% strengthening of the U.S. dollar against the Pound sterling, Canadian dollar and Australian dollar would have caused a reduction of $89.1 million and $117.9 million to our total shareholder's equity at September 30, 2023 and December 31, 2022,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Market Risk</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borrowings under other financing arrangements.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CEO and CFO, evaluated the effectiveness of our disclosure controls and procedures (pursuant to Rules 13a-15(e) or 15d-15(e) of the Exchange Act) at September 30, 2023. Based upon this evaluation, our CEO and CFO concluded that our disclosure controls and procedures were effective as of September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 Arising in the Ordinary Course of Business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Refer to "Legal Proceedings" in Part 1 - Item 1 - Note 16, "Commitments and Contingencies," in our accompanying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Item 103 of Regulation S-K requires disclosure of certain environmental matters when a governmental authority is a party to the proceedings and such proceedings involve potential monetary sanctions that we reasonably believe will exceed an applied threshold not to exceed $1.0 million. Applying this threshold, there are no environmental matters to disclose for the three months ended September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described in Part 1, Item 1A., "Risk Factors," in our 2022 Annual Report, which could materially affect our business, financial condition or future results. There have been no material changes to the disclosure on these matters as set forth in such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OP units have converted the following units during the three months ended September 30, 2023:</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4"/>
              </w:rPr>
              <w:t>Three Months Ended</w:t>
            </w:r>
          </w:p>
        </w:tc>
        <w:tc>
          <w:tcPr>
            <w:tcW w:w="1260" w:type="dxa"/>
            <w:vAlign w:val="bottom"/>
            <w:tcBorders>
              <w:bottom w:val="single" w:sz="8" w:color="auto"/>
            </w:tcBorders>
          </w:tcPr>
          <w:p>
            <w:pPr>
              <w:spacing w:after="0"/>
              <w:rPr>
                <w:sz w:val="17"/>
                <w:szCs w:val="17"/>
                <w:color w:val="auto"/>
              </w:rPr>
            </w:pPr>
          </w:p>
        </w:tc>
      </w:tr>
      <w:tr>
        <w:trPr>
          <w:trHeight w:val="198"/>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1"/>
              </w:rPr>
              <w:t>September 30, 2023</w:t>
            </w:r>
          </w:p>
        </w:tc>
        <w:tc>
          <w:tcPr>
            <w:tcW w:w="1260" w:type="dxa"/>
            <w:vAlign w:val="bottom"/>
            <w:tcBorders>
              <w:bottom w:val="single" w:sz="8" w:color="auto"/>
            </w:tcBorders>
          </w:tcPr>
          <w:p>
            <w:pPr>
              <w:spacing w:after="0"/>
              <w:rPr>
                <w:sz w:val="17"/>
                <w:szCs w:val="17"/>
                <w:color w:val="auto"/>
              </w:rPr>
            </w:pPr>
          </w:p>
        </w:tc>
      </w:tr>
      <w:tr>
        <w:trPr>
          <w:trHeight w:val="144"/>
        </w:trPr>
        <w:tc>
          <w:tcPr>
            <w:tcW w:w="5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ind w:right="84"/>
              <w:spacing w:after="0" w:line="144" w:lineRule="exact"/>
              <w:rPr>
                <w:sz w:val="20"/>
                <w:szCs w:val="20"/>
                <w:color w:val="auto"/>
              </w:rPr>
            </w:pPr>
            <w:r>
              <w:rPr>
                <w:rFonts w:ascii="Arial" w:cs="Arial" w:eastAsia="Arial" w:hAnsi="Arial"/>
                <w:sz w:val="15"/>
                <w:szCs w:val="15"/>
                <w:b w:val="1"/>
                <w:bCs w:val="1"/>
                <w:color w:val="auto"/>
              </w:rPr>
              <w:t>Units / Shares</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ind w:right="124"/>
              <w:spacing w:after="0" w:line="144" w:lineRule="exact"/>
              <w:rPr>
                <w:sz w:val="20"/>
                <w:szCs w:val="20"/>
                <w:color w:val="auto"/>
              </w:rPr>
            </w:pPr>
            <w:r>
              <w:rPr>
                <w:rFonts w:ascii="Arial" w:cs="Arial" w:eastAsia="Arial" w:hAnsi="Arial"/>
                <w:sz w:val="15"/>
                <w:szCs w:val="15"/>
                <w:b w:val="1"/>
                <w:bCs w:val="1"/>
                <w:color w:val="auto"/>
              </w:rPr>
              <w:t>Common OP</w:t>
            </w:r>
          </w:p>
        </w:tc>
      </w:tr>
      <w:tr>
        <w:trPr>
          <w:trHeight w:val="216"/>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Series</w:t>
            </w:r>
          </w:p>
        </w:tc>
        <w:tc>
          <w:tcPr>
            <w:tcW w:w="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95"/>
              </w:rPr>
              <w:t>Conversion Rate</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Converted</w:t>
            </w:r>
          </w:p>
        </w:tc>
        <w:tc>
          <w:tcPr>
            <w:tcW w:w="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5"/>
                <w:szCs w:val="15"/>
                <w:b w:val="1"/>
                <w:bCs w:val="1"/>
                <w:color w:val="auto"/>
                <w:w w:val="89"/>
              </w:rPr>
              <w:t>Common Stock</w:t>
            </w:r>
            <w:r>
              <w:rPr>
                <w:rFonts w:ascii="Arial" w:cs="Arial" w:eastAsia="Arial" w:hAnsi="Arial"/>
                <w:sz w:val="19"/>
                <w:szCs w:val="19"/>
                <w:b w:val="1"/>
                <w:bCs w:val="1"/>
                <w:color w:val="auto"/>
                <w:w w:val="89"/>
                <w:vertAlign w:val="superscript"/>
              </w:rPr>
              <w:t>(1)</w:t>
            </w:r>
          </w:p>
        </w:tc>
        <w:tc>
          <w:tcPr>
            <w:tcW w:w="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Units</w:t>
            </w:r>
          </w:p>
        </w:tc>
      </w:tr>
      <w:tr>
        <w:trPr>
          <w:trHeight w:val="19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Aspen preferred OP units</w:t>
            </w:r>
          </w:p>
        </w:tc>
        <w:tc>
          <w:tcPr>
            <w:tcW w:w="1260" w:type="dxa"/>
            <w:vAlign w:val="bottom"/>
            <w:shd w:val="clear" w:color="auto" w:fill="CCEEFF"/>
          </w:tcPr>
          <w:p>
            <w:pPr>
              <w:jc w:val="right"/>
              <w:ind w:right="264"/>
              <w:spacing w:after="0" w:line="196" w:lineRule="exact"/>
              <w:rPr>
                <w:sz w:val="20"/>
                <w:szCs w:val="20"/>
                <w:color w:val="auto"/>
              </w:rPr>
            </w:pPr>
            <w:r>
              <w:rPr>
                <w:rFonts w:ascii="Arial" w:cs="Arial" w:eastAsia="Arial" w:hAnsi="Arial"/>
                <w:sz w:val="15"/>
                <w:szCs w:val="15"/>
                <w:color w:val="auto"/>
              </w:rPr>
              <w:t>Various</w:t>
            </w:r>
            <w:r>
              <w:rPr>
                <w:rFonts w:ascii="Arial" w:cs="Arial" w:eastAsia="Arial" w:hAnsi="Arial"/>
                <w:sz w:val="19"/>
                <w:szCs w:val="19"/>
                <w:color w:val="auto"/>
                <w:vertAlign w:val="superscript"/>
              </w:rPr>
              <w:t>(2)</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673,885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27,748</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191,223</w:t>
            </w:r>
          </w:p>
        </w:tc>
      </w:tr>
      <w:tr>
        <w:trPr>
          <w:trHeight w:val="198"/>
        </w:trPr>
        <w:tc>
          <w:tcPr>
            <w:tcW w:w="5980" w:type="dxa"/>
            <w:vAlign w:val="bottom"/>
            <w:gridSpan w:val="2"/>
          </w:tcPr>
          <w:p>
            <w:pPr>
              <w:ind w:left="20"/>
              <w:spacing w:after="0"/>
              <w:rPr>
                <w:sz w:val="20"/>
                <w:szCs w:val="20"/>
                <w:color w:val="auto"/>
              </w:rPr>
            </w:pPr>
            <w:r>
              <w:rPr>
                <w:rFonts w:ascii="Arial" w:cs="Arial" w:eastAsia="Arial" w:hAnsi="Arial"/>
                <w:sz w:val="15"/>
                <w:szCs w:val="15"/>
                <w:color w:val="auto"/>
              </w:rPr>
              <w:t>Common OP units</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5,236</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5,236</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Series A-1 preferred OP units</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2.4390</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12,956</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5980" w:type="dxa"/>
            <w:vAlign w:val="bottom"/>
            <w:gridSpan w:val="2"/>
          </w:tcPr>
          <w:p>
            <w:pPr>
              <w:ind w:left="20"/>
              <w:spacing w:after="0"/>
              <w:rPr>
                <w:sz w:val="20"/>
                <w:szCs w:val="20"/>
                <w:color w:val="auto"/>
              </w:rPr>
            </w:pPr>
            <w:r>
              <w:rPr>
                <w:rFonts w:ascii="Arial" w:cs="Arial" w:eastAsia="Arial" w:hAnsi="Arial"/>
                <w:sz w:val="15"/>
                <w:szCs w:val="15"/>
                <w:color w:val="auto"/>
              </w:rPr>
              <w:t>Series C preferred OP units</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1.1100</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100</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Series G preferred OP units</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0.6452</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7,419</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5980" w:type="dxa"/>
            <w:vAlign w:val="bottom"/>
            <w:gridSpan w:val="2"/>
          </w:tcPr>
          <w:p>
            <w:pPr>
              <w:ind w:left="20"/>
              <w:spacing w:after="0"/>
              <w:rPr>
                <w:sz w:val="20"/>
                <w:szCs w:val="20"/>
                <w:color w:val="auto"/>
              </w:rPr>
            </w:pPr>
            <w:r>
              <w:rPr>
                <w:rFonts w:ascii="Arial" w:cs="Arial" w:eastAsia="Arial" w:hAnsi="Arial"/>
                <w:sz w:val="15"/>
                <w:szCs w:val="15"/>
                <w:color w:val="auto"/>
              </w:rPr>
              <w:t>Series H preferred OP units</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0.6098</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89</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73" w:lineRule="exact"/>
        <w:rPr>
          <w:sz w:val="20"/>
          <w:szCs w:val="20"/>
          <w:color w:val="auto"/>
        </w:rPr>
      </w:pPr>
    </w:p>
    <w:p>
      <w:pPr>
        <w:ind w:left="160" w:hanging="152"/>
        <w:spacing w:after="0"/>
        <w:tabs>
          <w:tab w:leader="none" w:pos="16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Calculation may yield minor differences due to rounding incorporated in the above numbers.</w:t>
      </w:r>
    </w:p>
    <w:p>
      <w:pPr>
        <w:spacing w:after="0" w:line="57"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Refer to Note 8, "Debt and Line of Credit," for additional detail on Aspen preferred OP unit conversions.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securities described above were issued in private placements in reliance on Section 4(a)(2) of the Securities Act, including Regulation D promulgated thereunder. No underwriters were used in connection with any of such issuances.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common stock repurchases during the three months ended September 30, 2023:</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center"/>
              <w:ind w:right="64"/>
              <w:spacing w:after="0"/>
              <w:rPr>
                <w:sz w:val="20"/>
                <w:szCs w:val="20"/>
                <w:color w:val="auto"/>
              </w:rPr>
            </w:pPr>
            <w:r>
              <w:rPr>
                <w:rFonts w:ascii="Arial" w:cs="Arial" w:eastAsia="Arial" w:hAnsi="Arial"/>
                <w:sz w:val="15"/>
                <w:szCs w:val="15"/>
                <w:b w:val="1"/>
                <w:bCs w:val="1"/>
                <w:color w:val="auto"/>
                <w:w w:val="97"/>
              </w:rPr>
              <w:t>Maximum number (or</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jc w:val="center"/>
              <w:ind w:right="60"/>
              <w:spacing w:after="0" w:line="162" w:lineRule="exact"/>
              <w:rPr>
                <w:sz w:val="20"/>
                <w:szCs w:val="20"/>
                <w:color w:val="auto"/>
              </w:rPr>
            </w:pPr>
            <w:r>
              <w:rPr>
                <w:rFonts w:ascii="Arial" w:cs="Arial" w:eastAsia="Arial" w:hAnsi="Arial"/>
                <w:sz w:val="15"/>
                <w:szCs w:val="15"/>
                <w:b w:val="1"/>
                <w:bCs w:val="1"/>
                <w:color w:val="auto"/>
                <w:w w:val="90"/>
              </w:rPr>
              <w:t>Total number of shares</w:t>
            </w:r>
          </w:p>
        </w:tc>
        <w:tc>
          <w:tcPr>
            <w:tcW w:w="18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3"/>
              </w:rPr>
              <w:t>approximate dollar value)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restart"/>
          </w:tcPr>
          <w:p>
            <w:pPr>
              <w:jc w:val="center"/>
              <w:ind w:right="80"/>
              <w:spacing w:after="0"/>
              <w:rPr>
                <w:sz w:val="20"/>
                <w:szCs w:val="20"/>
                <w:color w:val="auto"/>
              </w:rPr>
            </w:pPr>
            <w:r>
              <w:rPr>
                <w:rFonts w:ascii="Arial" w:cs="Arial" w:eastAsia="Arial" w:hAnsi="Arial"/>
                <w:sz w:val="15"/>
                <w:szCs w:val="15"/>
                <w:b w:val="1"/>
                <w:bCs w:val="1"/>
                <w:color w:val="auto"/>
                <w:w w:val="90"/>
              </w:rPr>
              <w:t>Total number of shares</w:t>
            </w:r>
          </w:p>
        </w:tc>
        <w:tc>
          <w:tcPr>
            <w:tcW w:w="120" w:type="dxa"/>
            <w:vAlign w:val="bottom"/>
          </w:tcPr>
          <w:p>
            <w:pPr>
              <w:spacing w:after="0"/>
              <w:rPr>
                <w:sz w:val="12"/>
                <w:szCs w:val="12"/>
                <w:color w:val="auto"/>
              </w:rPr>
            </w:pPr>
          </w:p>
        </w:tc>
        <w:tc>
          <w:tcPr>
            <w:tcW w:w="1740" w:type="dxa"/>
            <w:vAlign w:val="bottom"/>
            <w:gridSpan w:val="2"/>
            <w:vMerge w:val="restart"/>
          </w:tcPr>
          <w:p>
            <w:pPr>
              <w:jc w:val="center"/>
              <w:ind w:right="180"/>
              <w:spacing w:after="0"/>
              <w:rPr>
                <w:sz w:val="20"/>
                <w:szCs w:val="20"/>
                <w:color w:val="auto"/>
              </w:rPr>
            </w:pPr>
            <w:r>
              <w:rPr>
                <w:rFonts w:ascii="Arial" w:cs="Arial" w:eastAsia="Arial" w:hAnsi="Arial"/>
                <w:sz w:val="15"/>
                <w:szCs w:val="15"/>
                <w:b w:val="1"/>
                <w:bCs w:val="1"/>
                <w:color w:val="auto"/>
                <w:w w:val="91"/>
              </w:rPr>
              <w:t>Average price paid per</w:t>
            </w:r>
          </w:p>
        </w:tc>
        <w:tc>
          <w:tcPr>
            <w:tcW w:w="1880" w:type="dxa"/>
            <w:vAlign w:val="bottom"/>
            <w:gridSpan w:val="2"/>
          </w:tcPr>
          <w:p>
            <w:pPr>
              <w:jc w:val="center"/>
              <w:ind w:right="60"/>
              <w:spacing w:after="0" w:line="149" w:lineRule="exact"/>
              <w:rPr>
                <w:sz w:val="20"/>
                <w:szCs w:val="20"/>
                <w:color w:val="auto"/>
              </w:rPr>
            </w:pPr>
            <w:r>
              <w:rPr>
                <w:rFonts w:ascii="Arial" w:cs="Arial" w:eastAsia="Arial" w:hAnsi="Arial"/>
                <w:sz w:val="15"/>
                <w:szCs w:val="15"/>
                <w:b w:val="1"/>
                <w:bCs w:val="1"/>
                <w:color w:val="auto"/>
                <w:w w:val="90"/>
              </w:rPr>
              <w:t>purchased as part of</w:t>
            </w:r>
          </w:p>
        </w:tc>
        <w:tc>
          <w:tcPr>
            <w:tcW w:w="180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89"/>
              </w:rPr>
              <w:t>of shares that may yet be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80" w:type="dxa"/>
            <w:vAlign w:val="bottom"/>
            <w:gridSpan w:val="2"/>
          </w:tcPr>
          <w:p>
            <w:pPr>
              <w:jc w:val="right"/>
              <w:ind w:right="140"/>
              <w:spacing w:after="0" w:line="149" w:lineRule="exact"/>
              <w:rPr>
                <w:sz w:val="20"/>
                <w:szCs w:val="20"/>
                <w:color w:val="auto"/>
              </w:rPr>
            </w:pPr>
            <w:r>
              <w:rPr>
                <w:rFonts w:ascii="Arial" w:cs="Arial" w:eastAsia="Arial" w:hAnsi="Arial"/>
                <w:sz w:val="15"/>
                <w:szCs w:val="15"/>
                <w:b w:val="1"/>
                <w:bCs w:val="1"/>
                <w:color w:val="auto"/>
                <w:w w:val="93"/>
              </w:rPr>
              <w:t>publicly announced plans</w:t>
            </w:r>
          </w:p>
        </w:tc>
        <w:tc>
          <w:tcPr>
            <w:tcW w:w="180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89"/>
              </w:rPr>
              <w:t>purchased under the plans</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89"/>
              </w:rPr>
              <w:t>purchased</w:t>
            </w:r>
          </w:p>
        </w:tc>
        <w:tc>
          <w:tcPr>
            <w:tcW w:w="12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9"/>
              </w:rPr>
              <w:t>share</w:t>
            </w:r>
          </w:p>
        </w:tc>
        <w:tc>
          <w:tcPr>
            <w:tcW w:w="188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2"/>
              </w:rPr>
              <w:t>or programs</w:t>
            </w:r>
          </w:p>
        </w:tc>
        <w:tc>
          <w:tcPr>
            <w:tcW w:w="140" w:type="dxa"/>
            <w:vAlign w:val="bottom"/>
          </w:tcPr>
          <w:p>
            <w:pPr>
              <w:spacing w:after="0"/>
              <w:rPr>
                <w:sz w:val="18"/>
                <w:szCs w:val="18"/>
                <w:color w:val="auto"/>
              </w:rPr>
            </w:pPr>
          </w:p>
        </w:tc>
        <w:tc>
          <w:tcPr>
            <w:tcW w:w="1660" w:type="dxa"/>
            <w:vAlign w:val="bottom"/>
          </w:tcPr>
          <w:p>
            <w:pPr>
              <w:jc w:val="center"/>
              <w:ind w:right="44"/>
              <w:spacing w:after="0"/>
              <w:rPr>
                <w:sz w:val="20"/>
                <w:szCs w:val="20"/>
                <w:color w:val="auto"/>
              </w:rPr>
            </w:pPr>
            <w:r>
              <w:rPr>
                <w:rFonts w:ascii="Arial" w:cs="Arial" w:eastAsia="Arial" w:hAnsi="Arial"/>
                <w:sz w:val="15"/>
                <w:szCs w:val="15"/>
                <w:b w:val="1"/>
                <w:bCs w:val="1"/>
                <w:color w:val="auto"/>
                <w:w w:val="92"/>
              </w:rPr>
              <w:t>or programs</w:t>
            </w:r>
          </w:p>
        </w:tc>
        <w:tc>
          <w:tcPr>
            <w:tcW w:w="0" w:type="dxa"/>
            <w:vAlign w:val="bottom"/>
          </w:tcPr>
          <w:p>
            <w:pPr>
              <w:spacing w:after="0"/>
              <w:rPr>
                <w:sz w:val="1"/>
                <w:szCs w:val="1"/>
                <w:color w:val="auto"/>
              </w:rPr>
            </w:pPr>
          </w:p>
        </w:tc>
      </w:tr>
      <w:tr>
        <w:trPr>
          <w:trHeight w:val="207"/>
        </w:trPr>
        <w:tc>
          <w:tcPr>
            <w:tcW w:w="3760" w:type="dxa"/>
            <w:vAlign w:val="bottom"/>
            <w:tcBorders>
              <w:bottom w:val="single" w:sz="8" w:color="auto"/>
            </w:tcBorders>
          </w:tcPr>
          <w:p>
            <w:pPr>
              <w:ind w:left="1660"/>
              <w:spacing w:after="0"/>
              <w:rPr>
                <w:sz w:val="20"/>
                <w:szCs w:val="20"/>
                <w:color w:val="auto"/>
              </w:rPr>
            </w:pPr>
            <w:r>
              <w:rPr>
                <w:rFonts w:ascii="Arial" w:cs="Arial" w:eastAsia="Arial" w:hAnsi="Arial"/>
                <w:sz w:val="15"/>
                <w:szCs w:val="15"/>
                <w:b w:val="1"/>
                <w:bCs w:val="1"/>
                <w:color w:val="auto"/>
              </w:rPr>
              <w:t>Period</w:t>
            </w:r>
          </w:p>
        </w:tc>
        <w:tc>
          <w:tcPr>
            <w:tcW w:w="8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(a)</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3"/>
              </w:rPr>
              <w:t>(b)</w:t>
            </w:r>
          </w:p>
        </w:tc>
        <w:tc>
          <w:tcPr>
            <w:tcW w:w="8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(c)</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rPr>
              <w:t>(d)</w:t>
            </w:r>
          </w:p>
        </w:tc>
        <w:tc>
          <w:tcPr>
            <w:tcW w:w="0" w:type="dxa"/>
            <w:vAlign w:val="bottom"/>
          </w:tcPr>
          <w:p>
            <w:pPr>
              <w:spacing w:after="0"/>
              <w:rPr>
                <w:sz w:val="1"/>
                <w:szCs w:val="1"/>
                <w:color w:val="auto"/>
              </w:rPr>
            </w:pPr>
          </w:p>
        </w:tc>
      </w:tr>
      <w:tr>
        <w:trPr>
          <w:trHeight w:val="200"/>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July 1, 2023 - July 31, 2023</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134.96</w:t>
            </w:r>
          </w:p>
        </w:tc>
        <w:tc>
          <w:tcPr>
            <w:tcW w:w="8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ind w:left="14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August 1, 2023 - August 31, 2023</w:t>
            </w:r>
          </w:p>
        </w:tc>
        <w:tc>
          <w:tcPr>
            <w:tcW w:w="1780" w:type="dxa"/>
            <w:vAlign w:val="bottom"/>
          </w:tcPr>
          <w:p>
            <w:pPr>
              <w:jc w:val="right"/>
              <w:spacing w:after="0"/>
              <w:rPr>
                <w:sz w:val="20"/>
                <w:szCs w:val="20"/>
                <w:color w:val="auto"/>
              </w:rPr>
            </w:pPr>
            <w:r>
              <w:rPr>
                <w:rFonts w:ascii="Arial" w:cs="Arial" w:eastAsia="Arial" w:hAnsi="Arial"/>
                <w:sz w:val="15"/>
                <w:szCs w:val="15"/>
                <w:color w:val="auto"/>
              </w:rPr>
              <w:t>162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123.32</w:t>
            </w:r>
          </w:p>
        </w:tc>
        <w:tc>
          <w:tcPr>
            <w:tcW w:w="80" w:type="dxa"/>
            <w:vAlign w:val="bottom"/>
          </w:tcPr>
          <w:p>
            <w:pPr>
              <w:spacing w:after="0"/>
              <w:rPr>
                <w:sz w:val="17"/>
                <w:szCs w:val="17"/>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Pr>
          <w:p>
            <w:pPr>
              <w:ind w:left="14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September 1, 2023 - September 30, 2023</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122.00</w:t>
            </w:r>
          </w:p>
        </w:tc>
        <w:tc>
          <w:tcPr>
            <w:tcW w:w="8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3840" w:type="dxa"/>
            <w:vAlign w:val="bottom"/>
            <w:gridSpan w:val="2"/>
          </w:tcPr>
          <w:p>
            <w:pPr>
              <w:ind w:left="240"/>
              <w:spacing w:after="0"/>
              <w:rPr>
                <w:sz w:val="20"/>
                <w:szCs w:val="20"/>
                <w:color w:val="auto"/>
              </w:rPr>
            </w:pPr>
            <w:r>
              <w:rPr>
                <w:rFonts w:ascii="Arial" w:cs="Arial" w:eastAsia="Arial" w:hAnsi="Arial"/>
                <w:sz w:val="15"/>
                <w:szCs w:val="15"/>
                <w:b w:val="1"/>
                <w:bCs w:val="1"/>
                <w:color w:val="auto"/>
              </w:rPr>
              <w:t>Total</w:t>
            </w:r>
          </w:p>
        </w:tc>
        <w:tc>
          <w:tcPr>
            <w:tcW w:w="1780" w:type="dxa"/>
            <w:vAlign w:val="bottom"/>
          </w:tcPr>
          <w:p>
            <w:pPr>
              <w:jc w:val="right"/>
              <w:spacing w:after="0"/>
              <w:rPr>
                <w:sz w:val="20"/>
                <w:szCs w:val="20"/>
                <w:color w:val="auto"/>
              </w:rPr>
            </w:pPr>
            <w:r>
              <w:rPr>
                <w:rFonts w:ascii="Arial" w:cs="Arial" w:eastAsia="Arial" w:hAnsi="Arial"/>
                <w:sz w:val="15"/>
                <w:szCs w:val="15"/>
                <w:color w:val="auto"/>
              </w:rPr>
              <w:t>819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131.48</w:t>
            </w:r>
          </w:p>
        </w:tc>
        <w:tc>
          <w:tcPr>
            <w:tcW w:w="80" w:type="dxa"/>
            <w:vAlign w:val="bottom"/>
          </w:tcPr>
          <w:p>
            <w:pPr>
              <w:spacing w:after="0"/>
              <w:rPr>
                <w:sz w:val="17"/>
                <w:szCs w:val="17"/>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Pr>
          <w:p>
            <w:pPr>
              <w:ind w:left="14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2023, we withheld 819 shares from employees to satisfy estimated statutory income tax obligations related to vesting of restricted stock awards. The value of the common stock withheld was based on the closing price of our common stock on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6. EXHIBITS</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2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Exhibit No.</w:t>
            </w:r>
          </w:p>
        </w:tc>
        <w:tc>
          <w:tcPr>
            <w:tcW w:w="236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820" w:type="dxa"/>
            <w:vAlign w:val="bottom"/>
            <w:tcBorders>
              <w:top w:val="single" w:sz="8" w:color="auto"/>
              <w:bottom w:val="single" w:sz="8" w:color="auto"/>
              <w:right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Description</w:t>
            </w:r>
          </w:p>
        </w:tc>
        <w:tc>
          <w:tcPr>
            <w:tcW w:w="28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Method of Filing</w:t>
            </w: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3.1</w:t>
            </w:r>
          </w:p>
        </w:tc>
        <w:tc>
          <w:tcPr>
            <w:tcW w:w="6600" w:type="dxa"/>
            <w:vAlign w:val="bottom"/>
            <w:tcBorders>
              <w:right w:val="single" w:sz="8" w:color="auto"/>
            </w:tcBorders>
            <w:gridSpan w:val="9"/>
            <w:shd w:val="clear" w:color="auto" w:fill="CCEEFF"/>
          </w:tcPr>
          <w:p>
            <w:pPr>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Sun Communities, Inc. Articles of Restatement</w:t>
              </w:r>
            </w:hyperlink>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7"/>
              </w:rPr>
              <w:t>Incorporated by reference to Exhibit</w:t>
            </w:r>
          </w:p>
        </w:tc>
        <w:tc>
          <w:tcPr>
            <w:tcW w:w="0" w:type="dxa"/>
            <w:vAlign w:val="bottom"/>
          </w:tcPr>
          <w:p>
            <w:pPr>
              <w:spacing w:after="0"/>
              <w:rPr>
                <w:sz w:val="1"/>
                <w:szCs w:val="1"/>
                <w:color w:val="auto"/>
              </w:rPr>
            </w:pPr>
          </w:p>
        </w:tc>
      </w:tr>
      <w:tr>
        <w:trPr>
          <w:trHeight w:val="155"/>
        </w:trPr>
        <w:tc>
          <w:tcPr>
            <w:tcW w:w="1820" w:type="dxa"/>
            <w:vAlign w:val="bottom"/>
            <w:tcBorders>
              <w:top w:val="single" w:sz="8" w:color="CCEEFF"/>
              <w:left w:val="single" w:sz="8" w:color="auto"/>
              <w:right w:val="single" w:sz="8" w:color="auto"/>
            </w:tcBorders>
            <w:shd w:val="clear" w:color="auto" w:fill="CCEEFF"/>
          </w:tcPr>
          <w:p>
            <w:pPr>
              <w:spacing w:after="0"/>
              <w:rPr>
                <w:sz w:val="13"/>
                <w:szCs w:val="13"/>
                <w:color w:val="auto"/>
              </w:rPr>
            </w:pPr>
          </w:p>
        </w:tc>
        <w:tc>
          <w:tcPr>
            <w:tcW w:w="236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2840" w:type="dxa"/>
            <w:vAlign w:val="bottom"/>
            <w:tcBorders>
              <w:top w:val="single" w:sz="8" w:color="CCEEFF"/>
              <w:right w:val="single" w:sz="8" w:color="auto"/>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3.1 to Sun Communities, Inc.’s</w:t>
            </w:r>
          </w:p>
        </w:tc>
        <w:tc>
          <w:tcPr>
            <w:tcW w:w="0" w:type="dxa"/>
            <w:vAlign w:val="bottom"/>
          </w:tcPr>
          <w:p>
            <w:pPr>
              <w:spacing w:after="0"/>
              <w:rPr>
                <w:sz w:val="1"/>
                <w:szCs w:val="1"/>
                <w:color w:val="auto"/>
              </w:rPr>
            </w:pPr>
          </w:p>
        </w:tc>
      </w:tr>
      <w:tr>
        <w:trPr>
          <w:trHeight w:val="176"/>
        </w:trPr>
        <w:tc>
          <w:tcPr>
            <w:tcW w:w="1820" w:type="dxa"/>
            <w:vAlign w:val="bottom"/>
            <w:tcBorders>
              <w:left w:val="single" w:sz="8" w:color="auto"/>
              <w:right w:val="single" w:sz="8" w:color="auto"/>
            </w:tcBorders>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284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Annual Report on Form 10-K filed on</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right w:val="single" w:sz="8" w:color="auto"/>
            </w:tcBorders>
            <w:shd w:val="clear" w:color="auto" w:fill="CCEEFF"/>
          </w:tcPr>
          <w:p>
            <w:pPr>
              <w:spacing w:after="0"/>
              <w:rPr>
                <w:sz w:val="19"/>
                <w:szCs w:val="19"/>
                <w:color w:val="auto"/>
              </w:rPr>
            </w:pP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22, 2018</w:t>
            </w: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3.2</w:t>
            </w:r>
          </w:p>
        </w:tc>
        <w:tc>
          <w:tcPr>
            <w:tcW w:w="6600" w:type="dxa"/>
            <w:vAlign w:val="bottom"/>
            <w:tcBorders>
              <w:right w:val="single" w:sz="8" w:color="auto"/>
            </w:tcBorders>
            <w:gridSpan w:val="9"/>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Fourth Amended and Restated Bylaws</w:t>
              </w:r>
            </w:hyperlink>
          </w:p>
        </w:tc>
        <w:tc>
          <w:tcPr>
            <w:tcW w:w="28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7"/>
              </w:rPr>
              <w:t>Incorporated by reference to Exhibit</w:t>
            </w:r>
          </w:p>
        </w:tc>
        <w:tc>
          <w:tcPr>
            <w:tcW w:w="0" w:type="dxa"/>
            <w:vAlign w:val="bottom"/>
          </w:tcPr>
          <w:p>
            <w:pPr>
              <w:spacing w:after="0"/>
              <w:rPr>
                <w:sz w:val="1"/>
                <w:szCs w:val="1"/>
                <w:color w:val="auto"/>
              </w:rPr>
            </w:pPr>
          </w:p>
        </w:tc>
      </w:tr>
      <w:tr>
        <w:trPr>
          <w:trHeight w:val="155"/>
        </w:trPr>
        <w:tc>
          <w:tcPr>
            <w:tcW w:w="1820" w:type="dxa"/>
            <w:vAlign w:val="bottom"/>
            <w:tcBorders>
              <w:left w:val="single" w:sz="8" w:color="auto"/>
              <w:right w:val="single" w:sz="8" w:color="auto"/>
            </w:tcBorders>
          </w:tcPr>
          <w:p>
            <w:pPr>
              <w:spacing w:after="0"/>
              <w:rPr>
                <w:sz w:val="13"/>
                <w:szCs w:val="13"/>
                <w:color w:val="auto"/>
              </w:rPr>
            </w:pPr>
          </w:p>
        </w:tc>
        <w:tc>
          <w:tcPr>
            <w:tcW w:w="23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840" w:type="dxa"/>
            <w:vAlign w:val="bottom"/>
            <w:tcBorders>
              <w:right w:val="single" w:sz="8" w:color="auto"/>
            </w:tcBorders>
          </w:tcPr>
          <w:p>
            <w:pPr>
              <w:ind w:left="20"/>
              <w:spacing w:after="0" w:line="154" w:lineRule="exact"/>
              <w:rPr>
                <w:sz w:val="20"/>
                <w:szCs w:val="20"/>
                <w:color w:val="auto"/>
              </w:rPr>
            </w:pPr>
            <w:r>
              <w:rPr>
                <w:rFonts w:ascii="Arial" w:cs="Arial" w:eastAsia="Arial" w:hAnsi="Arial"/>
                <w:sz w:val="17"/>
                <w:szCs w:val="17"/>
                <w:color w:val="auto"/>
              </w:rPr>
              <w:t>3.1 to Sun Communities, Inc.’s</w:t>
            </w:r>
          </w:p>
        </w:tc>
        <w:tc>
          <w:tcPr>
            <w:tcW w:w="0" w:type="dxa"/>
            <w:vAlign w:val="bottom"/>
          </w:tcPr>
          <w:p>
            <w:pPr>
              <w:spacing w:after="0"/>
              <w:rPr>
                <w:sz w:val="1"/>
                <w:szCs w:val="1"/>
                <w:color w:val="auto"/>
              </w:rPr>
            </w:pPr>
          </w:p>
        </w:tc>
      </w:tr>
      <w:tr>
        <w:trPr>
          <w:trHeight w:val="176"/>
        </w:trPr>
        <w:tc>
          <w:tcPr>
            <w:tcW w:w="1820" w:type="dxa"/>
            <w:vAlign w:val="bottom"/>
            <w:tcBorders>
              <w:left w:val="single" w:sz="8" w:color="auto"/>
              <w:right w:val="single" w:sz="8" w:color="auto"/>
            </w:tcBorders>
          </w:tcPr>
          <w:p>
            <w:pPr>
              <w:spacing w:after="0"/>
              <w:rPr>
                <w:sz w:val="15"/>
                <w:szCs w:val="15"/>
                <w:color w:val="auto"/>
              </w:rPr>
            </w:pPr>
          </w:p>
        </w:tc>
        <w:tc>
          <w:tcPr>
            <w:tcW w:w="2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Current Report on Form 8-K filed on</w:t>
            </w: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bottom w:val="single" w:sz="8" w:color="auto"/>
              <w:right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February 21, 2023</w:t>
            </w: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3.3</w:t>
            </w:r>
          </w:p>
        </w:tc>
        <w:tc>
          <w:tcPr>
            <w:tcW w:w="6600" w:type="dxa"/>
            <w:vAlign w:val="bottom"/>
            <w:tcBorders>
              <w:right w:val="single" w:sz="8" w:color="auto"/>
            </w:tcBorders>
            <w:gridSpan w:val="9"/>
            <w:shd w:val="clear" w:color="auto" w:fill="CCEEFF"/>
          </w:tcPr>
          <w:p>
            <w:pPr>
              <w:spacing w:after="0" w:line="182" w:lineRule="exact"/>
              <w:rPr>
                <w:rFonts w:ascii="Arial" w:cs="Arial" w:eastAsia="Arial" w:hAnsi="Arial"/>
                <w:sz w:val="18"/>
                <w:szCs w:val="18"/>
                <w:color w:val="0000FF"/>
              </w:rPr>
            </w:pPr>
            <w:hyperlink r:id="rId113">
              <w:r>
                <w:rPr>
                  <w:rFonts w:ascii="Arial" w:cs="Arial" w:eastAsia="Arial" w:hAnsi="Arial"/>
                  <w:sz w:val="18"/>
                  <w:szCs w:val="18"/>
                  <w:color w:val="0000FF"/>
                </w:rPr>
                <w:t>Sun Communities, Inc. Articles of Amendment effective May 18, 2023</w:t>
              </w:r>
            </w:hyperlink>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7"/>
              </w:rPr>
              <w:t>Incorporated by reference to Exhibit</w:t>
            </w:r>
          </w:p>
        </w:tc>
        <w:tc>
          <w:tcPr>
            <w:tcW w:w="0" w:type="dxa"/>
            <w:vAlign w:val="bottom"/>
          </w:tcPr>
          <w:p>
            <w:pPr>
              <w:spacing w:after="0"/>
              <w:rPr>
                <w:sz w:val="1"/>
                <w:szCs w:val="1"/>
                <w:color w:val="auto"/>
              </w:rPr>
            </w:pPr>
          </w:p>
        </w:tc>
      </w:tr>
      <w:tr>
        <w:trPr>
          <w:trHeight w:val="155"/>
        </w:trPr>
        <w:tc>
          <w:tcPr>
            <w:tcW w:w="1820" w:type="dxa"/>
            <w:vAlign w:val="bottom"/>
            <w:tcBorders>
              <w:top w:val="single" w:sz="8" w:color="CCEEFF"/>
              <w:left w:val="single" w:sz="8" w:color="auto"/>
              <w:right w:val="single" w:sz="8" w:color="auto"/>
            </w:tcBorders>
            <w:shd w:val="clear" w:color="auto" w:fill="CCEEFF"/>
          </w:tcPr>
          <w:p>
            <w:pPr>
              <w:spacing w:after="0"/>
              <w:rPr>
                <w:sz w:val="13"/>
                <w:szCs w:val="13"/>
                <w:color w:val="auto"/>
              </w:rPr>
            </w:pPr>
          </w:p>
        </w:tc>
        <w:tc>
          <w:tcPr>
            <w:tcW w:w="236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1720" w:type="dxa"/>
            <w:vAlign w:val="bottom"/>
            <w:tcBorders>
              <w:top w:val="single" w:sz="8" w:color="0000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2840" w:type="dxa"/>
            <w:vAlign w:val="bottom"/>
            <w:tcBorders>
              <w:top w:val="single" w:sz="8" w:color="CCEEFF"/>
              <w:right w:val="single" w:sz="8" w:color="auto"/>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3.1 to Sun Communities, Inc.’s</w:t>
            </w:r>
          </w:p>
        </w:tc>
        <w:tc>
          <w:tcPr>
            <w:tcW w:w="0" w:type="dxa"/>
            <w:vAlign w:val="bottom"/>
          </w:tcPr>
          <w:p>
            <w:pPr>
              <w:spacing w:after="0"/>
              <w:rPr>
                <w:sz w:val="1"/>
                <w:szCs w:val="1"/>
                <w:color w:val="auto"/>
              </w:rPr>
            </w:pPr>
          </w:p>
        </w:tc>
      </w:tr>
      <w:tr>
        <w:trPr>
          <w:trHeight w:val="176"/>
        </w:trPr>
        <w:tc>
          <w:tcPr>
            <w:tcW w:w="1820" w:type="dxa"/>
            <w:vAlign w:val="bottom"/>
            <w:tcBorders>
              <w:left w:val="single" w:sz="8" w:color="auto"/>
              <w:right w:val="single" w:sz="8" w:color="auto"/>
            </w:tcBorders>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284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Current Report on Form 8-K filed on</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right w:val="single" w:sz="8" w:color="auto"/>
            </w:tcBorders>
            <w:shd w:val="clear" w:color="auto" w:fill="CCEEFF"/>
          </w:tcPr>
          <w:p>
            <w:pPr>
              <w:spacing w:after="0"/>
              <w:rPr>
                <w:sz w:val="19"/>
                <w:szCs w:val="19"/>
                <w:color w:val="auto"/>
              </w:rPr>
            </w:pP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19, 2023</w:t>
            </w: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22.1</w:t>
            </w:r>
          </w:p>
        </w:tc>
        <w:tc>
          <w:tcPr>
            <w:tcW w:w="6600" w:type="dxa"/>
            <w:vAlign w:val="bottom"/>
            <w:tcBorders>
              <w:right w:val="single" w:sz="8" w:color="auto"/>
            </w:tcBorders>
            <w:gridSpan w:val="9"/>
          </w:tcPr>
          <w:p>
            <w:pPr>
              <w:spacing w:after="0" w:line="182" w:lineRule="exact"/>
              <w:rPr>
                <w:sz w:val="20"/>
                <w:szCs w:val="20"/>
                <w:color w:val="auto"/>
              </w:rPr>
            </w:pPr>
            <w:r>
              <w:rPr>
                <w:rFonts w:ascii="Arial" w:cs="Arial" w:eastAsia="Arial" w:hAnsi="Arial"/>
                <w:sz w:val="18"/>
                <w:szCs w:val="18"/>
                <w:color w:val="0000FF"/>
              </w:rPr>
              <w:t>List of issuers of guaranteed securities</w:t>
            </w:r>
          </w:p>
        </w:tc>
        <w:tc>
          <w:tcPr>
            <w:tcW w:w="28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bottom w:val="single" w:sz="8" w:color="CCEEFF"/>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31.1</w:t>
            </w:r>
          </w:p>
        </w:tc>
        <w:tc>
          <w:tcPr>
            <w:tcW w:w="6360" w:type="dxa"/>
            <w:vAlign w:val="bottom"/>
            <w:tcBorders>
              <w:bottom w:val="single" w:sz="8" w:color="0000FF"/>
            </w:tcBorders>
            <w:gridSpan w:val="7"/>
            <w:shd w:val="clear" w:color="auto" w:fill="CCEEFF"/>
          </w:tcPr>
          <w:p>
            <w:pPr>
              <w:spacing w:after="0" w:line="182" w:lineRule="exact"/>
              <w:rPr>
                <w:sz w:val="20"/>
                <w:szCs w:val="20"/>
                <w:color w:val="auto"/>
              </w:rPr>
            </w:pPr>
            <w:r>
              <w:rPr>
                <w:rFonts w:ascii="Arial" w:cs="Arial" w:eastAsia="Arial" w:hAnsi="Arial"/>
                <w:sz w:val="18"/>
                <w:szCs w:val="18"/>
                <w:color w:val="0000FF"/>
                <w:w w:val="91"/>
              </w:rPr>
              <w:t>Certification of Chief Executive Officer pursuant to Securities Exchange Act Rules 13a-</w:t>
            </w:r>
          </w:p>
        </w:tc>
        <w:tc>
          <w:tcPr>
            <w:tcW w:w="240" w:type="dxa"/>
            <w:vAlign w:val="bottom"/>
            <w:tcBorders>
              <w:bottom w:val="single" w:sz="8" w:color="CCEEFF"/>
              <w:right w:val="single" w:sz="8" w:color="auto"/>
            </w:tcBorders>
            <w:gridSpan w:val="2"/>
            <w:shd w:val="clear" w:color="auto" w:fill="CCEEFF"/>
          </w:tcPr>
          <w:p>
            <w:pPr>
              <w:spacing w:after="0"/>
              <w:rPr>
                <w:sz w:val="15"/>
                <w:szCs w:val="15"/>
                <w:color w:val="auto"/>
              </w:rPr>
            </w:pPr>
          </w:p>
        </w:tc>
        <w:tc>
          <w:tcPr>
            <w:tcW w:w="2840" w:type="dxa"/>
            <w:vAlign w:val="bottom"/>
            <w:tcBorders>
              <w:bottom w:val="single" w:sz="8" w:color="CCEEFF"/>
              <w:right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0"/>
        </w:trPr>
        <w:tc>
          <w:tcPr>
            <w:tcW w:w="182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6600" w:type="dxa"/>
            <w:vAlign w:val="bottom"/>
            <w:tcBorders>
              <w:bottom w:val="single" w:sz="8" w:color="auto"/>
              <w:right w:val="single" w:sz="8" w:color="auto"/>
            </w:tcBorders>
            <w:gridSpan w:val="9"/>
            <w:shd w:val="clear" w:color="auto" w:fill="CCEEFF"/>
          </w:tcPr>
          <w:p>
            <w:pPr>
              <w:spacing w:after="0" w:line="156" w:lineRule="exact"/>
              <w:rPr>
                <w:sz w:val="20"/>
                <w:szCs w:val="20"/>
                <w:color w:val="auto"/>
              </w:rPr>
            </w:pPr>
            <w:r>
              <w:rPr>
                <w:rFonts w:ascii="Arial" w:cs="Arial" w:eastAsia="Arial" w:hAnsi="Arial"/>
                <w:sz w:val="18"/>
                <w:szCs w:val="18"/>
                <w:color w:val="0000FF"/>
                <w:w w:val="91"/>
              </w:rPr>
              <w:t>14(a)/15(d)-14(a), as adopted pursuant to Section 302 of the Sarbanes-Oxley Act of 2002.</w:t>
            </w:r>
          </w:p>
        </w:tc>
        <w:tc>
          <w:tcPr>
            <w:tcW w:w="28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31.2</w:t>
            </w:r>
          </w:p>
        </w:tc>
        <w:tc>
          <w:tcPr>
            <w:tcW w:w="6600" w:type="dxa"/>
            <w:vAlign w:val="bottom"/>
            <w:tcBorders>
              <w:right w:val="single" w:sz="8" w:color="auto"/>
            </w:tcBorders>
            <w:gridSpan w:val="9"/>
          </w:tcPr>
          <w:p>
            <w:pPr>
              <w:spacing w:after="0" w:line="182" w:lineRule="exact"/>
              <w:rPr>
                <w:sz w:val="20"/>
                <w:szCs w:val="20"/>
                <w:color w:val="auto"/>
              </w:rPr>
            </w:pPr>
            <w:r>
              <w:rPr>
                <w:rFonts w:ascii="Arial" w:cs="Arial" w:eastAsia="Arial" w:hAnsi="Arial"/>
                <w:sz w:val="18"/>
                <w:szCs w:val="18"/>
                <w:color w:val="0000FF"/>
                <w:w w:val="95"/>
              </w:rPr>
              <w:t>Certification of Chief Financial Officer pursuant to Securities Exchange Act Rules 13a-</w:t>
            </w:r>
          </w:p>
        </w:tc>
        <w:tc>
          <w:tcPr>
            <w:tcW w:w="28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1820" w:type="dxa"/>
            <w:vAlign w:val="bottom"/>
            <w:tcBorders>
              <w:left w:val="single" w:sz="8" w:color="auto"/>
              <w:right w:val="single" w:sz="8" w:color="auto"/>
            </w:tcBorders>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940" w:type="dxa"/>
            <w:vAlign w:val="bottom"/>
            <w:gridSpan w:val="5"/>
            <w:shd w:val="clear" w:color="auto" w:fill="0000FF"/>
          </w:tcPr>
          <w:p>
            <w:pPr>
              <w:spacing w:after="0" w:line="20" w:lineRule="exact"/>
              <w:rPr>
                <w:sz w:val="1"/>
                <w:szCs w:val="1"/>
                <w:color w:val="auto"/>
              </w:rPr>
            </w:pPr>
          </w:p>
        </w:tc>
        <w:tc>
          <w:tcPr>
            <w:tcW w:w="300" w:type="dxa"/>
            <w:vAlign w:val="bottom"/>
            <w:tcBorders>
              <w:right w:val="single" w:sz="8" w:color="auto"/>
            </w:tcBorders>
            <w:gridSpan w:val="3"/>
          </w:tcPr>
          <w:p>
            <w:pPr>
              <w:spacing w:after="0" w:line="20" w:lineRule="exact"/>
              <w:rPr>
                <w:sz w:val="1"/>
                <w:szCs w:val="1"/>
                <w:color w:val="auto"/>
              </w:rPr>
            </w:pPr>
          </w:p>
        </w:tc>
        <w:tc>
          <w:tcPr>
            <w:tcW w:w="28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tcBorders>
              <w:left w:val="single" w:sz="8" w:color="auto"/>
              <w:right w:val="single" w:sz="8" w:color="auto"/>
            </w:tcBorders>
          </w:tcPr>
          <w:p>
            <w:pPr>
              <w:spacing w:after="0"/>
              <w:rPr>
                <w:sz w:val="13"/>
                <w:szCs w:val="13"/>
                <w:color w:val="auto"/>
              </w:rPr>
            </w:pPr>
          </w:p>
        </w:tc>
        <w:tc>
          <w:tcPr>
            <w:tcW w:w="6600" w:type="dxa"/>
            <w:vAlign w:val="bottom"/>
            <w:tcBorders>
              <w:right w:val="single" w:sz="8" w:color="auto"/>
            </w:tcBorders>
            <w:gridSpan w:val="9"/>
          </w:tcPr>
          <w:p>
            <w:pPr>
              <w:spacing w:after="0" w:line="156" w:lineRule="exact"/>
              <w:rPr>
                <w:sz w:val="20"/>
                <w:szCs w:val="20"/>
                <w:color w:val="auto"/>
              </w:rPr>
            </w:pPr>
            <w:r>
              <w:rPr>
                <w:rFonts w:ascii="Arial" w:cs="Arial" w:eastAsia="Arial" w:hAnsi="Arial"/>
                <w:sz w:val="18"/>
                <w:szCs w:val="18"/>
                <w:color w:val="0000FF"/>
                <w:w w:val="91"/>
              </w:rPr>
              <w:t>14(a)/15(d)-14(a), as adopted pursuant to Section 302 of the Sarbanes-Oxley Act of 2002.</w:t>
            </w:r>
          </w:p>
        </w:tc>
        <w:tc>
          <w:tcPr>
            <w:tcW w:w="2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1720" w:type="dxa"/>
            <w:vAlign w:val="bottom"/>
            <w:tcBorders>
              <w:top w:val="single" w:sz="8" w:color="0000FF"/>
              <w:bottom w:val="single" w:sz="8" w:color="auto"/>
            </w:tcBorders>
          </w:tcPr>
          <w:p>
            <w:pPr>
              <w:spacing w:after="0"/>
              <w:rPr>
                <w:sz w:val="2"/>
                <w:szCs w:val="2"/>
                <w:color w:val="auto"/>
              </w:rPr>
            </w:pPr>
          </w:p>
        </w:tc>
        <w:tc>
          <w:tcPr>
            <w:tcW w:w="118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32.1</w:t>
            </w:r>
          </w:p>
        </w:tc>
        <w:tc>
          <w:tcPr>
            <w:tcW w:w="6600" w:type="dxa"/>
            <w:vAlign w:val="bottom"/>
            <w:tcBorders>
              <w:right w:val="single" w:sz="8" w:color="auto"/>
            </w:tcBorders>
            <w:gridSpan w:val="9"/>
            <w:shd w:val="clear" w:color="auto" w:fill="CCEEFF"/>
          </w:tcPr>
          <w:p>
            <w:pPr>
              <w:spacing w:after="0" w:line="182" w:lineRule="exact"/>
              <w:rPr>
                <w:sz w:val="20"/>
                <w:szCs w:val="20"/>
                <w:color w:val="auto"/>
              </w:rPr>
            </w:pPr>
            <w:r>
              <w:rPr>
                <w:rFonts w:ascii="Arial" w:cs="Arial" w:eastAsia="Arial" w:hAnsi="Arial"/>
                <w:sz w:val="18"/>
                <w:szCs w:val="18"/>
                <w:color w:val="0000FF"/>
                <w:w w:val="94"/>
              </w:rPr>
              <w:t>Certification pursuant to 18 U.S.C. Section 1350, as adopted pursuant to Section 906 of</w:t>
            </w:r>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9"/>
        </w:trPr>
        <w:tc>
          <w:tcPr>
            <w:tcW w:w="1820" w:type="dxa"/>
            <w:vAlign w:val="bottom"/>
            <w:tcBorders>
              <w:top w:val="single" w:sz="8" w:color="CCEEFF"/>
              <w:left w:val="single" w:sz="8" w:color="auto"/>
              <w:bottom w:val="single" w:sz="8" w:color="auto"/>
              <w:right w:val="single" w:sz="8" w:color="auto"/>
            </w:tcBorders>
            <w:shd w:val="clear" w:color="auto" w:fill="CCEEFF"/>
          </w:tcPr>
          <w:p>
            <w:pPr>
              <w:spacing w:after="0"/>
              <w:rPr>
                <w:sz w:val="18"/>
                <w:szCs w:val="18"/>
                <w:color w:val="auto"/>
              </w:rPr>
            </w:pPr>
          </w:p>
        </w:tc>
        <w:tc>
          <w:tcPr>
            <w:tcW w:w="6600" w:type="dxa"/>
            <w:vAlign w:val="bottom"/>
            <w:tcBorders>
              <w:top w:val="single" w:sz="8" w:color="0000FF"/>
              <w:bottom w:val="single" w:sz="8" w:color="auto"/>
              <w:right w:val="single" w:sz="8" w:color="auto"/>
            </w:tcBorders>
            <w:gridSpan w:val="9"/>
            <w:shd w:val="clear" w:color="auto" w:fill="CCEEFF"/>
          </w:tcPr>
          <w:p>
            <w:pPr>
              <w:spacing w:after="0" w:line="156" w:lineRule="exact"/>
              <w:rPr>
                <w:sz w:val="20"/>
                <w:szCs w:val="20"/>
                <w:color w:val="auto"/>
              </w:rPr>
            </w:pPr>
            <w:r>
              <w:rPr>
                <w:rFonts w:ascii="Arial" w:cs="Arial" w:eastAsia="Arial" w:hAnsi="Arial"/>
                <w:sz w:val="18"/>
                <w:szCs w:val="18"/>
                <w:color w:val="0000FF"/>
              </w:rPr>
              <w:t>the Sarbanes-Oxley Act of 2002.</w:t>
            </w:r>
          </w:p>
        </w:tc>
        <w:tc>
          <w:tcPr>
            <w:tcW w:w="2840" w:type="dxa"/>
            <w:vAlign w:val="bottom"/>
            <w:tcBorders>
              <w:top w:val="single" w:sz="8" w:color="CCEEFF"/>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101.INS</w:t>
            </w:r>
          </w:p>
        </w:tc>
        <w:tc>
          <w:tcPr>
            <w:tcW w:w="660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XBRL Instance Document</w:t>
            </w:r>
          </w:p>
        </w:tc>
        <w:tc>
          <w:tcPr>
            <w:tcW w:w="2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The instance document does not</w:t>
            </w:r>
          </w:p>
        </w:tc>
        <w:tc>
          <w:tcPr>
            <w:tcW w:w="0" w:type="dxa"/>
            <w:vAlign w:val="bottom"/>
          </w:tcPr>
          <w:p>
            <w:pPr>
              <w:spacing w:after="0"/>
              <w:rPr>
                <w:sz w:val="1"/>
                <w:szCs w:val="1"/>
                <w:color w:val="auto"/>
              </w:rPr>
            </w:pPr>
          </w:p>
        </w:tc>
      </w:tr>
      <w:tr>
        <w:trPr>
          <w:trHeight w:val="40"/>
        </w:trPr>
        <w:tc>
          <w:tcPr>
            <w:tcW w:w="1820" w:type="dxa"/>
            <w:vAlign w:val="bottom"/>
            <w:tcBorders>
              <w:left w:val="single" w:sz="8" w:color="auto"/>
              <w:right w:val="single" w:sz="8" w:color="auto"/>
            </w:tcBorders>
          </w:tcPr>
          <w:p>
            <w:pPr>
              <w:spacing w:after="0"/>
              <w:rPr>
                <w:sz w:val="3"/>
                <w:szCs w:val="3"/>
                <w:color w:val="auto"/>
              </w:rPr>
            </w:pPr>
          </w:p>
        </w:tc>
        <w:tc>
          <w:tcPr>
            <w:tcW w:w="2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28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820" w:type="dxa"/>
            <w:vAlign w:val="bottom"/>
            <w:tcBorders>
              <w:left w:val="single" w:sz="8" w:color="auto"/>
              <w:right w:val="single" w:sz="8" w:color="auto"/>
            </w:tcBorders>
          </w:tcPr>
          <w:p>
            <w:pPr>
              <w:spacing w:after="0"/>
              <w:rPr>
                <w:sz w:val="15"/>
                <w:szCs w:val="15"/>
                <w:color w:val="auto"/>
              </w:rPr>
            </w:pPr>
          </w:p>
        </w:tc>
        <w:tc>
          <w:tcPr>
            <w:tcW w:w="2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appear in the Interactive Data File</w:t>
            </w:r>
          </w:p>
        </w:tc>
        <w:tc>
          <w:tcPr>
            <w:tcW w:w="0" w:type="dxa"/>
            <w:vAlign w:val="bottom"/>
          </w:tcPr>
          <w:p>
            <w:pPr>
              <w:spacing w:after="0"/>
              <w:rPr>
                <w:sz w:val="1"/>
                <w:szCs w:val="1"/>
                <w:color w:val="auto"/>
              </w:rPr>
            </w:pPr>
          </w:p>
        </w:tc>
      </w:tr>
      <w:tr>
        <w:trPr>
          <w:trHeight w:val="188"/>
        </w:trPr>
        <w:tc>
          <w:tcPr>
            <w:tcW w:w="1820" w:type="dxa"/>
            <w:vAlign w:val="bottom"/>
            <w:tcBorders>
              <w:left w:val="single" w:sz="8" w:color="auto"/>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8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1"/>
              </w:rPr>
              <w:t>because its XBRL tags are embedded</w:t>
            </w: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2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95"/>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2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101.SCH</w:t>
            </w:r>
          </w:p>
        </w:tc>
        <w:tc>
          <w:tcPr>
            <w:tcW w:w="6600" w:type="dxa"/>
            <w:vAlign w:val="bottom"/>
            <w:tcBorders>
              <w:bottom w:val="single" w:sz="8" w:color="auto"/>
              <w:right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101.CAL</w:t>
            </w:r>
          </w:p>
        </w:tc>
        <w:tc>
          <w:tcPr>
            <w:tcW w:w="6600" w:type="dxa"/>
            <w:vAlign w:val="bottom"/>
            <w:tcBorders>
              <w:bottom w:val="single" w:sz="8" w:color="auto"/>
              <w:right w:val="single" w:sz="8" w:color="auto"/>
            </w:tcBorders>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101.LAB</w:t>
            </w:r>
          </w:p>
        </w:tc>
        <w:tc>
          <w:tcPr>
            <w:tcW w:w="6600" w:type="dxa"/>
            <w:vAlign w:val="bottom"/>
            <w:tcBorders>
              <w:bottom w:val="single" w:sz="8" w:color="auto"/>
              <w:right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101.PRE</w:t>
            </w:r>
          </w:p>
        </w:tc>
        <w:tc>
          <w:tcPr>
            <w:tcW w:w="6600" w:type="dxa"/>
            <w:vAlign w:val="bottom"/>
            <w:tcBorders>
              <w:bottom w:val="single" w:sz="8" w:color="auto"/>
              <w:right w:val="single" w:sz="8" w:color="auto"/>
            </w:tcBorders>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101.DEF</w:t>
            </w:r>
          </w:p>
        </w:tc>
        <w:tc>
          <w:tcPr>
            <w:tcW w:w="6600" w:type="dxa"/>
            <w:vAlign w:val="bottom"/>
            <w:tcBorders>
              <w:bottom w:val="single" w:sz="8" w:color="auto"/>
              <w:right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69"/>
        </w:trPr>
        <w:tc>
          <w:tcPr>
            <w:tcW w:w="1820" w:type="dxa"/>
            <w:vAlign w:val="bottom"/>
            <w:tcBorders>
              <w:left w:val="single" w:sz="8" w:color="auto"/>
              <w:right w:val="single" w:sz="8" w:color="auto"/>
            </w:tcBorders>
          </w:tcPr>
          <w:p>
            <w:pPr>
              <w:ind w:left="140"/>
              <w:spacing w:after="0" w:line="169" w:lineRule="exact"/>
              <w:rPr>
                <w:sz w:val="20"/>
                <w:szCs w:val="20"/>
                <w:color w:val="auto"/>
              </w:rPr>
            </w:pPr>
            <w:r>
              <w:rPr>
                <w:rFonts w:ascii="Arial" w:cs="Arial" w:eastAsia="Arial" w:hAnsi="Arial"/>
                <w:sz w:val="18"/>
                <w:szCs w:val="18"/>
                <w:color w:val="auto"/>
              </w:rPr>
              <w:t>104</w:t>
            </w:r>
          </w:p>
        </w:tc>
        <w:tc>
          <w:tcPr>
            <w:tcW w:w="6600" w:type="dxa"/>
            <w:vAlign w:val="bottom"/>
            <w:tcBorders>
              <w:right w:val="single" w:sz="8" w:color="auto"/>
            </w:tcBorders>
            <w:gridSpan w:val="9"/>
          </w:tcPr>
          <w:p>
            <w:pPr>
              <w:spacing w:after="0" w:line="169" w:lineRule="exact"/>
              <w:rPr>
                <w:sz w:val="20"/>
                <w:szCs w:val="20"/>
                <w:color w:val="auto"/>
              </w:rPr>
            </w:pPr>
            <w:r>
              <w:rPr>
                <w:rFonts w:ascii="Arial" w:cs="Arial" w:eastAsia="Arial" w:hAnsi="Arial"/>
                <w:sz w:val="18"/>
                <w:szCs w:val="18"/>
                <w:color w:val="auto"/>
                <w:w w:val="93"/>
              </w:rPr>
              <w:t>Cover Page Interactive Data File (embedded within the Inline XBRL document contained</w:t>
            </w:r>
          </w:p>
        </w:tc>
        <w:tc>
          <w:tcPr>
            <w:tcW w:w="28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6600" w:type="dxa"/>
            <w:vAlign w:val="bottom"/>
            <w:tcBorders>
              <w:bottom w:val="single" w:sz="8" w:color="auto"/>
              <w:right w:val="single" w:sz="8" w:color="auto"/>
            </w:tcBorders>
            <w:gridSpan w:val="9"/>
          </w:tcPr>
          <w:p>
            <w:pPr>
              <w:spacing w:after="0"/>
              <w:rPr>
                <w:sz w:val="20"/>
                <w:szCs w:val="20"/>
                <w:color w:val="auto"/>
              </w:rPr>
            </w:pPr>
            <w:r>
              <w:rPr>
                <w:rFonts w:ascii="Arial" w:cs="Arial" w:eastAsia="Arial" w:hAnsi="Arial"/>
                <w:sz w:val="18"/>
                <w:szCs w:val="18"/>
                <w:color w:val="auto"/>
              </w:rPr>
              <w:t>in Exhibit 101)</w:t>
            </w: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jc w:val="both"/>
        <w:ind w:left="360" w:right="40" w:hanging="334"/>
        <w:spacing w:after="0" w:line="263" w:lineRule="auto"/>
        <w:tabs>
          <w:tab w:leader="none" w:pos="3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pursuance to Item 601(a)(5) of Regulation S-K because such schedules and exhibits do not contain information which is material to an investment decision, or which is not otherwise disclosed in the filed agreements. The Company will furnish the omitted schedules and exhibits to the SEC upon request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5" w:right="31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20"/>
        <w:spacing w:after="0"/>
        <w:tabs>
          <w:tab w:leader="none" w:pos="4200" w:val="left"/>
          <w:tab w:leader="none" w:pos="4660" w:val="left"/>
        </w:tabs>
        <w:rPr>
          <w:sz w:val="20"/>
          <w:szCs w:val="20"/>
          <w:color w:val="auto"/>
        </w:rPr>
      </w:pPr>
      <w:r>
        <w:rPr>
          <w:rFonts w:ascii="Arial" w:cs="Arial" w:eastAsia="Arial" w:hAnsi="Arial"/>
          <w:sz w:val="18"/>
          <w:szCs w:val="18"/>
          <w:color w:val="auto"/>
        </w:rPr>
        <w:t>Dated: October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Fernando Castro-Caratini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14605</wp:posOffset>
            </wp:positionV>
            <wp:extent cx="36175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6" w:lineRule="exact"/>
        <w:rPr>
          <w:sz w:val="20"/>
          <w:szCs w:val="20"/>
          <w:color w:val="auto"/>
        </w:rPr>
      </w:pPr>
    </w:p>
    <w:p>
      <w:pPr>
        <w:ind w:left="4680" w:right="920"/>
        <w:spacing w:after="0" w:line="235" w:lineRule="auto"/>
        <w:rPr>
          <w:sz w:val="20"/>
          <w:szCs w:val="20"/>
          <w:color w:val="auto"/>
        </w:rPr>
      </w:pPr>
      <w:r>
        <w:rPr>
          <w:rFonts w:ascii="Arial" w:cs="Arial" w:eastAsia="Arial" w:hAnsi="Arial"/>
          <w:sz w:val="18"/>
          <w:szCs w:val="18"/>
          <w:color w:val="auto"/>
        </w:rPr>
        <w:t>Executive Vice President, Chief Financial Officer, Treasurer and Secretary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364"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List of Issuers of Guaranteed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26, 2023, the debt instruments indicated below are fully and unconditionally guaranteed by Sun Communities, Inc.</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Debt Instrument</w:t>
            </w:r>
          </w:p>
        </w:tc>
        <w:tc>
          <w:tcPr>
            <w:tcW w:w="4920" w:type="dxa"/>
            <w:vAlign w:val="bottom"/>
            <w:gridSpan w:val="2"/>
          </w:tcPr>
          <w:p>
            <w:pPr>
              <w:ind w:left="20"/>
              <w:spacing w:after="0"/>
              <w:rPr>
                <w:sz w:val="20"/>
                <w:szCs w:val="20"/>
                <w:color w:val="auto"/>
              </w:rPr>
            </w:pPr>
            <w:r>
              <w:rPr>
                <w:rFonts w:ascii="Arial" w:cs="Arial" w:eastAsia="Arial" w:hAnsi="Arial"/>
                <w:sz w:val="18"/>
                <w:szCs w:val="18"/>
                <w:b w:val="1"/>
                <w:bCs w:val="1"/>
                <w:color w:val="auto"/>
              </w:rPr>
              <w:t>Issuer</w:t>
            </w: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Jurisdiction of Organization</w:t>
            </w:r>
          </w:p>
        </w:tc>
      </w:tr>
      <w:tr>
        <w:trPr>
          <w:trHeight w:val="223"/>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2.3% Senior Notes due 2028</w:t>
            </w:r>
          </w:p>
        </w:tc>
        <w:tc>
          <w:tcPr>
            <w:tcW w:w="80" w:type="dxa"/>
            <w:vAlign w:val="bottom"/>
            <w:tcBorders>
              <w:top w:val="single" w:sz="8" w:color="CCEEFF"/>
            </w:tcBorders>
            <w:shd w:val="clear" w:color="auto" w:fill="CCEEFF"/>
          </w:tcPr>
          <w:p>
            <w:pPr>
              <w:spacing w:after="0"/>
              <w:rPr>
                <w:sz w:val="19"/>
                <w:szCs w:val="19"/>
                <w:color w:val="auto"/>
              </w:rPr>
            </w:pPr>
          </w:p>
        </w:tc>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Sun Communities Operating Limited Partnership</w:t>
            </w:r>
          </w:p>
        </w:tc>
        <w:tc>
          <w:tcPr>
            <w:tcW w:w="10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Michigan</w:t>
            </w: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2.7% Senior Notes due 2031</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Sun Communities Operating Limited Partnership</w:t>
            </w:r>
          </w:p>
        </w:tc>
        <w:tc>
          <w:tcPr>
            <w:tcW w:w="3040" w:type="dxa"/>
            <w:vAlign w:val="bottom"/>
          </w:tcPr>
          <w:p>
            <w:pPr>
              <w:ind w:left="20"/>
              <w:spacing w:after="0"/>
              <w:rPr>
                <w:sz w:val="20"/>
                <w:szCs w:val="20"/>
                <w:color w:val="auto"/>
              </w:rPr>
            </w:pPr>
            <w:r>
              <w:rPr>
                <w:rFonts w:ascii="Arial" w:cs="Arial" w:eastAsia="Arial" w:hAnsi="Arial"/>
                <w:sz w:val="18"/>
                <w:szCs w:val="18"/>
                <w:color w:val="auto"/>
              </w:rPr>
              <w:t>Michigan</w:t>
            </w:r>
          </w:p>
        </w:tc>
      </w:tr>
      <w:tr>
        <w:trPr>
          <w:trHeight w:val="22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4.2% Senior Notes due 2032</w:t>
            </w: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Sun Communities Operating Limited Partnership</w:t>
            </w: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Michigan</w:t>
            </w: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5.7% Senior Notes due 2033</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Sun Communities Operating Limited Partnership</w:t>
            </w:r>
          </w:p>
        </w:tc>
        <w:tc>
          <w:tcPr>
            <w:tcW w:w="3040" w:type="dxa"/>
            <w:vAlign w:val="bottom"/>
          </w:tcPr>
          <w:p>
            <w:pPr>
              <w:ind w:left="20"/>
              <w:spacing w:after="0"/>
              <w:rPr>
                <w:sz w:val="20"/>
                <w:szCs w:val="20"/>
                <w:color w:val="auto"/>
              </w:rPr>
            </w:pPr>
            <w:r>
              <w:rPr>
                <w:rFonts w:ascii="Arial" w:cs="Arial" w:eastAsia="Arial" w:hAnsi="Arial"/>
                <w:sz w:val="18"/>
                <w:szCs w:val="18"/>
                <w:color w:val="auto"/>
              </w:rPr>
              <w:t>Michigan</w:t>
            </w:r>
          </w:p>
        </w:tc>
      </w:tr>
    </w:tbl>
    <w:p>
      <w:pPr>
        <w:sectPr>
          <w:pgSz w:w="11900" w:h="16838" w:orient="portrait"/>
          <w:cols w:equalWidth="0" w:num="1">
            <w:col w:w="11240"/>
          </w:cols>
          <w:pgMar w:left="320" w:top="140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Gary A. Shiffman, certify that:</w:t>
      </w:r>
    </w:p>
    <w:p>
      <w:pPr>
        <w:spacing w:after="0" w:line="252"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4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right="20" w:hanging="323"/>
        <w:spacing w:after="0" w:line="263" w:lineRule="auto"/>
        <w:tabs>
          <w:tab w:leader="none" w:pos="1083"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323"/>
        <w:spacing w:after="0" w:line="263" w:lineRule="auto"/>
        <w:tabs>
          <w:tab w:leader="none" w:pos="112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323"/>
        <w:spacing w:after="0" w:line="342" w:lineRule="auto"/>
        <w:tabs>
          <w:tab w:leader="none" w:pos="1147"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323"/>
        <w:spacing w:after="0" w:line="263" w:lineRule="auto"/>
        <w:tabs>
          <w:tab w:leader="none" w:pos="11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0" w:lineRule="exact"/>
        <w:rPr>
          <w:rFonts w:ascii="Arial" w:cs="Arial" w:eastAsia="Arial" w:hAnsi="Arial"/>
          <w:sz w:val="18"/>
          <w:szCs w:val="18"/>
          <w:color w:val="auto"/>
        </w:rPr>
      </w:pPr>
    </w:p>
    <w:p>
      <w:pPr>
        <w:ind w:left="340" w:hanging="332"/>
        <w:spacing w:after="0" w:line="308" w:lineRule="auto"/>
        <w:tabs>
          <w:tab w:leader="none" w:pos="35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1100" w:right="20" w:hanging="323"/>
        <w:spacing w:after="0" w:line="308" w:lineRule="auto"/>
        <w:tabs>
          <w:tab w:leader="none" w:pos="1214" w:val="left"/>
        </w:tabs>
        <w:numPr>
          <w:ilvl w:val="2"/>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00" w:hanging="323"/>
        <w:spacing w:after="0" w:line="277" w:lineRule="auto"/>
        <w:tabs>
          <w:tab w:leader="none" w:pos="1164"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20"/>
        <w:spacing w:after="0"/>
        <w:tabs>
          <w:tab w:leader="none" w:pos="4800" w:val="left"/>
        </w:tabs>
        <w:rPr>
          <w:sz w:val="20"/>
          <w:szCs w:val="20"/>
          <w:color w:val="auto"/>
        </w:rPr>
      </w:pPr>
      <w:r>
        <w:rPr>
          <w:rFonts w:ascii="Arial" w:cs="Arial" w:eastAsia="Arial" w:hAnsi="Arial"/>
          <w:sz w:val="18"/>
          <w:szCs w:val="18"/>
          <w:color w:val="auto"/>
        </w:rPr>
        <w:t>Dated: October 26, 2023</w:t>
      </w:r>
      <w:r>
        <w:rPr>
          <w:sz w:val="20"/>
          <w:szCs w:val="20"/>
          <w:color w:val="auto"/>
        </w:rPr>
        <w:tab/>
      </w:r>
      <w:r>
        <w:rPr>
          <w:rFonts w:ascii="Arial" w:cs="Arial" w:eastAsia="Arial" w:hAnsi="Arial"/>
          <w:sz w:val="16"/>
          <w:szCs w:val="16"/>
          <w:color w:val="auto"/>
        </w:rPr>
        <w:t>/s/ Gary A. Shiffman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14605</wp:posOffset>
            </wp:positionV>
            <wp:extent cx="36436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3643630" cy="825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Gary A. Shiffman, Chief Executive Officer</w:t>
      </w:r>
    </w:p>
    <w:p>
      <w:pPr>
        <w:sectPr>
          <w:pgSz w:w="11900" w:h="16838" w:orient="portrait"/>
          <w:cols w:equalWidth="0" w:num="1">
            <w:col w:w="11240"/>
          </w:cols>
          <w:pgMar w:left="320" w:top="89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Fernando Castro-Caratini, certify that:</w:t>
      </w:r>
    </w:p>
    <w:p>
      <w:pPr>
        <w:spacing w:after="0" w:line="252"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4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right="20" w:hanging="323"/>
        <w:spacing w:after="0" w:line="263" w:lineRule="auto"/>
        <w:tabs>
          <w:tab w:leader="none" w:pos="1083"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323"/>
        <w:spacing w:after="0" w:line="263" w:lineRule="auto"/>
        <w:tabs>
          <w:tab w:leader="none" w:pos="112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right="20" w:hanging="323"/>
        <w:spacing w:after="0" w:line="342" w:lineRule="auto"/>
        <w:tabs>
          <w:tab w:leader="none" w:pos="1142"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323"/>
        <w:spacing w:after="0" w:line="263" w:lineRule="auto"/>
        <w:tabs>
          <w:tab w:leader="none" w:pos="1141"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0" w:lineRule="exact"/>
        <w:rPr>
          <w:rFonts w:ascii="Arial" w:cs="Arial" w:eastAsia="Arial" w:hAnsi="Arial"/>
          <w:sz w:val="18"/>
          <w:szCs w:val="18"/>
          <w:color w:val="auto"/>
        </w:rPr>
      </w:pPr>
    </w:p>
    <w:p>
      <w:pPr>
        <w:ind w:left="340" w:hanging="332"/>
        <w:spacing w:after="0" w:line="308" w:lineRule="auto"/>
        <w:tabs>
          <w:tab w:leader="none" w:pos="354"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1100" w:right="20" w:hanging="323"/>
        <w:spacing w:after="0" w:line="308" w:lineRule="auto"/>
        <w:tabs>
          <w:tab w:leader="none" w:pos="1214" w:val="left"/>
        </w:tabs>
        <w:numPr>
          <w:ilvl w:val="2"/>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00" w:hanging="323"/>
        <w:spacing w:after="0" w:line="277" w:lineRule="auto"/>
        <w:tabs>
          <w:tab w:leader="none" w:pos="1162"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300" w:val="left"/>
        </w:tabs>
        <w:rPr>
          <w:sz w:val="20"/>
          <w:szCs w:val="20"/>
          <w:color w:val="auto"/>
        </w:rPr>
      </w:pPr>
      <w:r>
        <w:rPr>
          <w:rFonts w:ascii="Arial" w:cs="Arial" w:eastAsia="Arial" w:hAnsi="Arial"/>
          <w:sz w:val="18"/>
          <w:szCs w:val="18"/>
          <w:color w:val="auto"/>
        </w:rPr>
        <w:t>Dated: October 26, 2023</w:t>
      </w:r>
      <w:r>
        <w:rPr>
          <w:sz w:val="20"/>
          <w:szCs w:val="20"/>
          <w:color w:val="auto"/>
        </w:rPr>
        <w:tab/>
      </w:r>
      <w:r>
        <w:rPr>
          <w:rFonts w:ascii="Arial" w:cs="Arial" w:eastAsia="Arial" w:hAnsi="Arial"/>
          <w:sz w:val="16"/>
          <w:szCs w:val="16"/>
          <w:color w:val="auto"/>
        </w:rPr>
        <w:t>/s/ Fernando Castro-Caratini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5833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Fernando Castro-Caratini, Chief Financial Officer</w:t>
      </w:r>
    </w:p>
    <w:p>
      <w:pPr>
        <w:sectPr>
          <w:pgSz w:w="11900" w:h="16838" w:orient="portrait"/>
          <w:cols w:equalWidth="0" w:num="1">
            <w:col w:w="11240"/>
          </w:cols>
          <w:pgMar w:left="320" w:top="773"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(Adopted Under 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officers, Gary A. Shiffman and Fernando Castro-Caratini, hereby certify that to the best of their knowledge: (a) this Quarterly Report on Form 10-Q of Sun Communities, Inc., for the period ended September 30, 2023,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60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Gary A. Shiffman</w:t>
            </w:r>
          </w:p>
        </w:tc>
        <w:tc>
          <w:tcPr>
            <w:tcW w:w="2700" w:type="dxa"/>
            <w:vAlign w:val="bottom"/>
            <w:gridSpan w:val="3"/>
          </w:tcPr>
          <w:p>
            <w:pPr>
              <w:jc w:val="center"/>
              <w:ind w:left="1350"/>
              <w:spacing w:after="0"/>
              <w:rPr>
                <w:sz w:val="20"/>
                <w:szCs w:val="20"/>
                <w:color w:val="auto"/>
              </w:rPr>
            </w:pPr>
            <w:r>
              <w:rPr>
                <w:rFonts w:ascii="Arial" w:cs="Arial" w:eastAsia="Arial" w:hAnsi="Arial"/>
                <w:sz w:val="18"/>
                <w:szCs w:val="18"/>
                <w:color w:val="auto"/>
                <w:w w:val="90"/>
              </w:rPr>
              <w:t>October 26, 2023</w:t>
            </w:r>
          </w:p>
        </w:tc>
      </w:tr>
      <w:tr>
        <w:trPr>
          <w:trHeight w:val="224"/>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Gary A. Shiffman, Chief Executive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99"/>
        </w:trPr>
        <w:tc>
          <w:tcPr>
            <w:tcW w:w="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Fernando Castro-Caratini</w:t>
            </w:r>
          </w:p>
        </w:tc>
        <w:tc>
          <w:tcPr>
            <w:tcW w:w="2700" w:type="dxa"/>
            <w:vAlign w:val="bottom"/>
            <w:gridSpan w:val="3"/>
          </w:tcPr>
          <w:p>
            <w:pPr>
              <w:jc w:val="center"/>
              <w:ind w:left="1350"/>
              <w:spacing w:after="0"/>
              <w:rPr>
                <w:sz w:val="20"/>
                <w:szCs w:val="20"/>
                <w:color w:val="auto"/>
              </w:rPr>
            </w:pPr>
            <w:r>
              <w:rPr>
                <w:rFonts w:ascii="Arial" w:cs="Arial" w:eastAsia="Arial" w:hAnsi="Arial"/>
                <w:sz w:val="18"/>
                <w:szCs w:val="18"/>
                <w:color w:val="auto"/>
                <w:w w:val="90"/>
              </w:rPr>
              <w:t>October 26, 2023</w:t>
            </w:r>
          </w:p>
        </w:tc>
      </w:tr>
      <w:tr>
        <w:trPr>
          <w:trHeight w:val="224"/>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Fernando Castro-Caratini, Chief Financial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Sun Communities, Inc. and will be retained by Sun Communities, Inc. and furnished to the Securities and Exchange Commission or its staff upon request.</w:t>
      </w:r>
    </w:p>
    <w:sectPr>
      <w:pgSz w:w="11900" w:h="16838" w:orient="portrait"/>
      <w:cols w:equalWidth="0" w:num="1">
        <w:col w:w="11240"/>
      </w:cols>
      <w:pgMar w:left="320" w:top="6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1)"/>
      <w:numFmt w:val="lowerRoman"/>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lowerLetter"/>
      <w:start w:val="2"/>
    </w:lvl>
  </w:abstractNum>
  <w:abstractNum w:abstractNumId="30">
    <w:nsid w:val="5C482A97"/>
    <w:multiLevelType w:val="hybridMultilevel"/>
    <w:lvl w:ilvl="0">
      <w:lvlJc w:val="left"/>
      <w:lvlText w:val="(%1)"/>
      <w:numFmt w:val="lowerLetter"/>
      <w:start w:val="3"/>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4"/>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1" Type="http://schemas.openxmlformats.org/officeDocument/2006/relationships/hyperlink" Target="http://www.sec.gov/Archives/edgar/data/912593/000091259318000049/exhibit31-suncommunitiesin.htm" TargetMode="External"/><Relationship Id="rId112" Type="http://schemas.openxmlformats.org/officeDocument/2006/relationships/hyperlink" Target="https://www.sec.gov/Archives/edgar/data/912593/000091259323000066/suncommunitiesinc-fourtham.htm" TargetMode="External"/><Relationship Id="rId113" Type="http://schemas.openxmlformats.org/officeDocument/2006/relationships/hyperlink" Target="https://www.sec.gov/Archives/edgar/data/912593/000091259323000182/articlesofamendment-incre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2023-10-26T14:42:40Z</dcterms:created>
  <dcterms:modified xsi:type="dcterms:W3CDTF">2023-10-26T14:42:40Z</dcterms:modified>
</cp:coreProperties>
</file>