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UNITED STATES</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before="0" w:after="0"/>
        <w:jc w:val="left"/>
        <w:rPr/>
      </w:pPr>
      <w:r>
        <w:rPr/>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 to ______</w:t>
      </w:r>
    </w:p>
    <w:tbl>
      <w:tblPr>
        <w:tblW w:w="39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19"/>
        <w:gridCol w:w="719"/>
        <w:gridCol w:w="721"/>
        <w:gridCol w:w="264"/>
        <w:gridCol w:w="264"/>
        <w:gridCol w:w="2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1-12616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0097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5429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before="0" w:after="0"/>
        <w:jc w:val="center"/>
        <w:rPr/>
      </w:pPr>
      <w:r>
        <w:rPr/>
      </w:r>
    </w:p>
    <w:tbl>
      <w:tblPr>
        <w:tblW w:w="5365" w:type="dxa"/>
        <w:jc w:val="center"/>
        <w:tblInd w:w="0" w:type="dxa"/>
        <w:tblLayout w:type="fixed"/>
        <w:tblCellMar>
          <w:top w:w="28" w:type="dxa"/>
          <w:left w:w="28" w:type="dxa"/>
          <w:bottom w:w="28" w:type="dxa"/>
          <w:right w:w="28" w:type="dxa"/>
        </w:tblCellMar>
      </w:tblPr>
      <w:tblGrid>
        <w:gridCol w:w="726"/>
        <w:gridCol w:w="640"/>
        <w:gridCol w:w="643"/>
        <w:gridCol w:w="109"/>
        <w:gridCol w:w="109"/>
        <w:gridCol w:w="109"/>
        <w:gridCol w:w="884"/>
        <w:gridCol w:w="884"/>
        <w:gridCol w:w="126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38-2730780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5981" w:type="dxa"/>
        <w:jc w:val="center"/>
        <w:tblInd w:w="0" w:type="dxa"/>
        <w:tblLayout w:type="fixed"/>
        <w:tblCellMar>
          <w:top w:w="28" w:type="dxa"/>
          <w:left w:w="28" w:type="dxa"/>
          <w:bottom w:w="28" w:type="dxa"/>
          <w:right w:w="28" w:type="dxa"/>
        </w:tblCellMar>
      </w:tblPr>
      <w:tblGrid>
        <w:gridCol w:w="640"/>
        <w:gridCol w:w="563"/>
        <w:gridCol w:w="567"/>
        <w:gridCol w:w="309"/>
        <w:gridCol w:w="309"/>
        <w:gridCol w:w="311"/>
        <w:gridCol w:w="334"/>
        <w:gridCol w:w="334"/>
        <w:gridCol w:w="336"/>
        <w:gridCol w:w="305"/>
        <w:gridCol w:w="305"/>
        <w:gridCol w:w="306"/>
        <w:gridCol w:w="109"/>
        <w:gridCol w:w="109"/>
        <w:gridCol w:w="109"/>
        <w:gridCol w:w="303"/>
        <w:gridCol w:w="303"/>
        <w:gridCol w:w="429"/>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27777 Franklin Rd,</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Suite 300,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Southfield,</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48034</w:t>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(248) 208-2500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707" w:type="dxa"/>
        <w:jc w:val="center"/>
        <w:tblInd w:w="0" w:type="dxa"/>
        <w:tblLayout w:type="fixed"/>
        <w:tblCellMar>
          <w:top w:w="28" w:type="dxa"/>
          <w:left w:w="28" w:type="dxa"/>
          <w:bottom w:w="28" w:type="dxa"/>
          <w:right w:w="28" w:type="dxa"/>
        </w:tblCellMar>
      </w:tblPr>
      <w:tblGrid>
        <w:gridCol w:w="988"/>
        <w:gridCol w:w="865"/>
        <w:gridCol w:w="876"/>
        <w:gridCol w:w="109"/>
        <w:gridCol w:w="109"/>
        <w:gridCol w:w="109"/>
        <w:gridCol w:w="539"/>
        <w:gridCol w:w="539"/>
        <w:gridCol w:w="541"/>
        <w:gridCol w:w="109"/>
        <w:gridCol w:w="109"/>
        <w:gridCol w:w="109"/>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821" w:type="dxa"/>
        <w:jc w:val="center"/>
        <w:tblInd w:w="0" w:type="dxa"/>
        <w:tblLayout w:type="fixed"/>
        <w:tblCellMar>
          <w:top w:w="28" w:type="dxa"/>
          <w:left w:w="28" w:type="dxa"/>
          <w:bottom w:w="28" w:type="dxa"/>
          <w:right w:w="28" w:type="dxa"/>
        </w:tblCellMar>
      </w:tblPr>
      <w:tblGrid>
        <w:gridCol w:w="695"/>
        <w:gridCol w:w="611"/>
        <w:gridCol w:w="613"/>
        <w:gridCol w:w="479"/>
        <w:gridCol w:w="479"/>
        <w:gridCol w:w="481"/>
        <w:gridCol w:w="599"/>
        <w:gridCol w:w="599"/>
        <w:gridCol w:w="601"/>
        <w:gridCol w:w="769"/>
        <w:gridCol w:w="769"/>
        <w:gridCol w:w="772"/>
        <w:gridCol w:w="689"/>
        <w:gridCol w:w="689"/>
        <w:gridCol w:w="976"/>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Number of shares of Common Stock, $0.01 par value per share, outstanding as of October 31, 2024: 127,390,307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341"/>
        <w:gridCol w:w="300"/>
        <w:gridCol w:w="300"/>
        <w:gridCol w:w="2914"/>
        <w:gridCol w:w="2654"/>
        <w:gridCol w:w="2660"/>
        <w:gridCol w:w="300"/>
        <w:gridCol w:w="300"/>
        <w:gridCol w:w="436"/>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br/>
              <w:t> </w:t>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September 30, 2024 (Unaudited) and December 31, 2023</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8d9938ef72412495a588b2bb9ea105_16">
              <w:r>
                <w:rPr>
                  <w:rStyle w:val="InternetLink"/>
                  <w:rFonts w:ascii="Times New Roman;sans-serif" w:hAnsi="Times New Roman;sans-serif"/>
                  <w:b w:val="false"/>
                  <w:color w:val="000000"/>
                  <w:sz w:val="20"/>
                  <w:u w:val="single"/>
                </w:rPr>
                <w:t>1</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for the Three and Nine Months Ended September 30, 2024 and 2023 (Unaudited)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8d9938ef72412495a588b2bb9ea105_19">
              <w:r>
                <w:rPr>
                  <w:rStyle w:val="InternetLink"/>
                  <w:rFonts w:ascii="Times New Roman;sans-serif" w:hAnsi="Times New Roman;sans-serif"/>
                  <w:b w:val="false"/>
                  <w:color w:val="000000"/>
                  <w:sz w:val="20"/>
                  <w:u w:val="single"/>
                </w:rPr>
                <w:t>2</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 (Loss) for the Three and Nine Months Ended September 30, 2024 and 2023 (Unaudited)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8d9938ef72412495a588b2bb9ea105_22">
              <w:r>
                <w:rPr>
                  <w:rStyle w:val="InternetLink"/>
                  <w:rFonts w:ascii="Times New Roman;sans-serif" w:hAnsi="Times New Roman;sans-serif"/>
                  <w:b w:val="false"/>
                  <w:color w:val="000000"/>
                  <w:sz w:val="20"/>
                  <w:u w:val="single"/>
                </w:rPr>
                <w:t>3</w:t>
              </w:r>
            </w:hyperlink>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Equity for the Three and Nine Months Ended September 30, 2024 and 2023 (Unaudited)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8d9938ef72412495a588b2bb9ea105_25">
              <w:r>
                <w:rPr>
                  <w:rStyle w:val="InternetLink"/>
                  <w:rFonts w:ascii="Times New Roman;sans-serif" w:hAnsi="Times New Roman;sans-serif"/>
                  <w:b w:val="false"/>
                  <w:color w:val="000000"/>
                  <w:sz w:val="20"/>
                  <w:u w:val="single"/>
                </w:rPr>
                <w:t>4</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Nine Months Ended September 30, 2024 and 2023 (Unaudited)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8d9938ef72412495a588b2bb9ea105_28">
              <w:r>
                <w:rPr>
                  <w:rStyle w:val="InternetLink"/>
                  <w:rFonts w:ascii="Times New Roman;sans-serif" w:hAnsi="Times New Roman;sans-serif"/>
                  <w:b w:val="false"/>
                  <w:color w:val="000000"/>
                  <w:sz w:val="20"/>
                  <w:u w:val="single"/>
                </w:rPr>
                <w:t>6</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8d9938ef72412495a588b2bb9ea105_34">
              <w:r>
                <w:rPr>
                  <w:rStyle w:val="InternetLink"/>
                  <w:rFonts w:ascii="Times New Roman;sans-serif" w:hAnsi="Times New Roman;sans-serif"/>
                  <w:b w:val="false"/>
                  <w:color w:val="000000"/>
                  <w:sz w:val="20"/>
                  <w:u w:val="single"/>
                </w:rPr>
                <w:t>7</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8d9938ef72412495a588b2bb9ea105_100">
              <w:r>
                <w:rPr>
                  <w:rStyle w:val="InternetLink"/>
                  <w:rFonts w:ascii="Times New Roman;sans-serif" w:hAnsi="Times New Roman;sans-serif"/>
                  <w:b w:val="false"/>
                  <w:color w:val="000000"/>
                  <w:sz w:val="20"/>
                  <w:u w:val="single"/>
                </w:rPr>
                <w:t>43</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8d9938ef72412495a588b2bb9ea105_130">
              <w:r>
                <w:rPr>
                  <w:rStyle w:val="InternetLink"/>
                  <w:rFonts w:ascii="Times New Roman;sans-serif" w:hAnsi="Times New Roman;sans-serif"/>
                  <w:b w:val="false"/>
                  <w:color w:val="000000"/>
                  <w:sz w:val="20"/>
                  <w:u w:val="single"/>
                </w:rPr>
                <w:t>65</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8d9938ef72412495a588b2bb9ea105_136">
              <w:r>
                <w:rPr>
                  <w:rStyle w:val="InternetLink"/>
                  <w:rFonts w:ascii="Times New Roman;sans-serif" w:hAnsi="Times New Roman;sans-serif"/>
                  <w:b w:val="false"/>
                  <w:color w:val="000000"/>
                  <w:sz w:val="20"/>
                  <w:u w:val="single"/>
                </w:rPr>
                <w:t>66</w:t>
              </w:r>
            </w:hyperlink>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br/>
              <w:t> </w:t>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8d9938ef72412495a588b2bb9ea105_142">
              <w:r>
                <w:rPr>
                  <w:rStyle w:val="InternetLink"/>
                  <w:rFonts w:ascii="Times New Roman;sans-serif" w:hAnsi="Times New Roman;sans-serif"/>
                  <w:b w:val="false"/>
                  <w:color w:val="000000"/>
                  <w:sz w:val="20"/>
                  <w:u w:val="single"/>
                </w:rPr>
                <w:t>67</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8d9938ef72412495a588b2bb9ea105_145">
              <w:r>
                <w:rPr>
                  <w:rStyle w:val="InternetLink"/>
                  <w:rFonts w:ascii="Times New Roman;sans-serif" w:hAnsi="Times New Roman;sans-serif"/>
                  <w:b w:val="false"/>
                  <w:color w:val="000000"/>
                  <w:sz w:val="20"/>
                  <w:u w:val="single"/>
                </w:rPr>
                <w:t>67</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8d9938ef72412495a588b2bb9ea105_148">
              <w:r>
                <w:rPr>
                  <w:rStyle w:val="InternetLink"/>
                  <w:rFonts w:ascii="Times New Roman;sans-serif" w:hAnsi="Times New Roman;sans-serif"/>
                  <w:b w:val="false"/>
                  <w:color w:val="000000"/>
                  <w:sz w:val="20"/>
                  <w:u w:val="single"/>
                </w:rPr>
                <w:t>68</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8d9938ef72412495a588b2bb9ea105_154">
              <w:r>
                <w:rPr>
                  <w:rStyle w:val="InternetLink"/>
                  <w:rFonts w:ascii="Times New Roman;sans-serif" w:hAnsi="Times New Roman;sans-serif"/>
                  <w:b w:val="false"/>
                  <w:color w:val="000000"/>
                  <w:sz w:val="20"/>
                  <w:u w:val="single"/>
                </w:rPr>
                <w:t>69</w:t>
              </w:r>
            </w:hyperlink>
          </w:p>
        </w:tc>
      </w:tr>
      <w:tr>
        <w:trPr/>
        <w:tc>
          <w:tcPr>
            <w:tcW w:w="941" w:type="dxa"/>
            <w:gridSpan w:val="3"/>
            <w:tcBorders/>
            <w:vAlign w:val="center"/>
          </w:tcPr>
          <w:p>
            <w:pPr>
              <w:pStyle w:val="TableContents"/>
              <w:bidi w:val="0"/>
              <w:spacing w:before="0" w:after="283"/>
              <w:jc w:val="left"/>
              <w:rPr>
                <w:sz w:val="4"/>
                <w:szCs w:val="4"/>
              </w:rPr>
            </w:pPr>
            <w:r>
              <w:rPr>
                <w:sz w:val="4"/>
                <w:szCs w:val="4"/>
              </w:rPr>
            </w:r>
          </w:p>
        </w:tc>
        <w:tc>
          <w:tcPr>
            <w:tcW w:w="822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8d9938ef72412495a588b2bb9ea105_157">
              <w:r>
                <w:rPr>
                  <w:rStyle w:val="InternetLink"/>
                  <w:rFonts w:ascii="Times New Roman;sans-serif" w:hAnsi="Times New Roman;sans-serif"/>
                  <w:b w:val="false"/>
                  <w:color w:val="000000"/>
                  <w:sz w:val="20"/>
                  <w:u w:val="single"/>
                </w:rPr>
                <w:t>70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for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78"/>
        <w:gridCol w:w="2246"/>
        <w:gridCol w:w="2271"/>
        <w:gridCol w:w="249"/>
        <w:gridCol w:w="994"/>
        <w:gridCol w:w="138"/>
        <w:gridCol w:w="109"/>
        <w:gridCol w:w="109"/>
        <w:gridCol w:w="109"/>
        <w:gridCol w:w="241"/>
        <w:gridCol w:w="966"/>
        <w:gridCol w:w="195"/>
      </w:tblGrid>
      <w:tr>
        <w:trPr/>
        <w:tc>
          <w:tcPr>
            <w:tcW w:w="2578"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Land</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4,646.2 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4,278.2 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Land improvements and buildings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11,608.6 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11,682.2 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Rental homes and improvements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744.4 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Furniture, fixtures and equipment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1,011.7 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18,127.2 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17,716.5 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depreciation</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(3,635.7)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(3,272.9)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 net (see Note 8 at VIEs)</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14,491.5 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14,443.6 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 (see Note 8 at VIEs)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Inventory of manufactured homes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Notes and other receivables, net (includes $212.8 and $154.1 at fair value)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421.6 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Collateralized receivables, net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733.0 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intangible assets, net (see Note 8 at VIEs)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 (see Note 8 at VIEs)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668.5 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17,085.1 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16,940.7 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w:t>
            </w:r>
          </w:p>
        </w:tc>
        <w:tc>
          <w:tcPr>
            <w:tcW w:w="13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Mortgage loans payable (see Note 9; Note 8 at VIEs)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3,344.5 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3,478.9 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Secured borrowings on collateralized receivables (see Note 5)</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 (see Note 9)</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3,927.5 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4,242.6 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payable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Advanced reservation deposits and rent (see Note 8 at VIEs)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344.5 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 and accounts payable (see Note 8 at VIEs)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953.1 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9,245.7 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9,506.8 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(see Note 17)</w:t>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Temporary equity (see Note 10; Note 8 at VIEs)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Shareholders' Equity</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Authorized: 360.0 shares; Issued and outstanding: 127.4 at September 30, 2024 and 124.4 at December 31, 2023</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9,853.6 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9,466.9 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income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in excess of accumulated earnings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(2,433.3)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(2,397.5)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SUI Shareholders' Equity</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7,455.5 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7,082.8 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Noncontrolling interests</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and preferred OP units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Consolidated entities (see Note 8 at VIEs)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noncontrolling interests</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Shareholders' Equity</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7,576.1 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7,173.0 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Temporary Equity and Shareholders' Equity</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17,085.1 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16,940.7 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72465"/>
                <wp:effectExtent l="0" t="0" r="0" b="0"/>
                <wp:wrapNone/>
                <wp:docPr id="4" name="Frame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for per share amounts)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16"/>
        <w:gridCol w:w="1259"/>
        <w:gridCol w:w="1276"/>
        <w:gridCol w:w="285"/>
        <w:gridCol w:w="809"/>
        <w:gridCol w:w="159"/>
        <w:gridCol w:w="109"/>
        <w:gridCol w:w="109"/>
        <w:gridCol w:w="109"/>
        <w:gridCol w:w="285"/>
        <w:gridCol w:w="809"/>
        <w:gridCol w:w="159"/>
        <w:gridCol w:w="109"/>
        <w:gridCol w:w="109"/>
        <w:gridCol w:w="109"/>
        <w:gridCol w:w="257"/>
        <w:gridCol w:w="907"/>
        <w:gridCol w:w="143"/>
        <w:gridCol w:w="109"/>
        <w:gridCol w:w="109"/>
        <w:gridCol w:w="109"/>
        <w:gridCol w:w="254"/>
        <w:gridCol w:w="898"/>
        <w:gridCol w:w="208"/>
      </w:tblGrid>
      <w:tr>
        <w:trPr/>
        <w:tc>
          <w:tcPr>
            <w:tcW w:w="151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4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Revenues</w:t>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1,586.4 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498.9 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net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Total Revenues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939.9 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2,475.2 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2,497.9 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Expenses</w:t>
            </w:r>
          </w:p>
        </w:tc>
        <w:tc>
          <w:tcPr>
            <w:tcW w:w="12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Property operating and maintenance</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532.9 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Real estate tax</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costs and selling</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203.0 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233.5 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438.2 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Catastrophic event-related charges, net</w:t>
            </w:r>
            <w:r>
              <w:rPr>
                <w:color w:val="000000"/>
              </w:rPr>
              <w:t xml:space="preserve"> </w:t>
            </w:r>
            <w:r>
              <w:rPr>
                <w:rFonts w:ascii="Times New Roman;sans-serif" w:hAnsi="Times New Roman;sans-serif"/>
                <w:b w:val="false"/>
                <w:color w:val="000000"/>
                <w:sz w:val="17"/>
              </w:rPr>
              <w:t>(see Note 17)</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Business combinations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482.3 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Asset impairments</w:t>
            </w:r>
            <w:r>
              <w:rPr>
                <w:color w:val="000000"/>
              </w:rPr>
              <w:t xml:space="preserve"> </w:t>
            </w:r>
            <w:r>
              <w:rPr>
                <w:rFonts w:ascii="Times New Roman;sans-serif" w:hAnsi="Times New Roman;sans-serif"/>
                <w:b w:val="false"/>
                <w:color w:val="000000"/>
                <w:sz w:val="17"/>
              </w:rPr>
              <w:t>(see Note 16)</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Goodwill impairment</w:t>
            </w:r>
            <w:r>
              <w:rPr>
                <w:color w:val="000000"/>
              </w:rPr>
              <w:t xml:space="preserve"> </w:t>
            </w:r>
            <w:r>
              <w:rPr>
                <w:rFonts w:ascii="Times New Roman;sans-serif" w:hAnsi="Times New Roman;sans-serif"/>
                <w:b w:val="false"/>
                <w:color w:val="000000"/>
                <w:sz w:val="17"/>
              </w:rPr>
              <w:t>(see Note 6)</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 (see Note 9)</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mandatorily redeemable preferred OP units / equity</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Total Expenses</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819.5 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2,345.1 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2,593.5 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Income / (Loss) Before Other Items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(95.6)</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marketable securities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foreign currency exchanges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Gain / (loss) on dispositions of properties</w:t>
            </w:r>
            <w:r>
              <w:rPr>
                <w:color w:val="000000"/>
              </w:rPr>
              <w:t xml:space="preserve"> </w:t>
            </w:r>
            <w:r>
              <w:rPr>
                <w:rFonts w:ascii="Times New Roman;sans-serif" w:hAnsi="Times New Roman;sans-serif"/>
                <w:b w:val="false"/>
                <w:color w:val="000000"/>
                <w:sz w:val="17"/>
              </w:rPr>
              <w:t>(see Note 3)</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income / (expense), net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 (see Note 4)</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Income from nonconsolidated affiliates</w:t>
            </w:r>
            <w:r>
              <w:rPr>
                <w:color w:val="000000"/>
              </w:rPr>
              <w:t xml:space="preserve"> </w:t>
            </w:r>
            <w:r>
              <w:rPr>
                <w:rFonts w:ascii="Times New Roman;sans-serif" w:hAnsi="Times New Roman;sans-serif"/>
                <w:b w:val="false"/>
                <w:color w:val="000000"/>
                <w:sz w:val="17"/>
              </w:rPr>
              <w:t>(see Note 7)</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Gain / (loss) on remeasurement of investment in nonconsolidated affiliates</w:t>
            </w:r>
            <w:r>
              <w:rPr>
                <w:color w:val="000000"/>
              </w:rPr>
              <w:t xml:space="preserve"> </w:t>
            </w:r>
            <w:r>
              <w:rPr>
                <w:rFonts w:ascii="Times New Roman;sans-serif" w:hAnsi="Times New Roman;sans-serif"/>
                <w:b w:val="false"/>
                <w:color w:val="000000"/>
                <w:sz w:val="17"/>
              </w:rPr>
              <w:t>(see Note 7)</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Current tax benefit / (expense)</w:t>
            </w:r>
            <w:r>
              <w:rPr>
                <w:color w:val="000000"/>
              </w:rPr>
              <w:t xml:space="preserve"> </w:t>
            </w:r>
            <w:r>
              <w:rPr>
                <w:rFonts w:ascii="Times New Roman;sans-serif" w:hAnsi="Times New Roman;sans-serif"/>
                <w:b w:val="false"/>
                <w:color w:val="000000"/>
                <w:sz w:val="17"/>
              </w:rPr>
              <w:t>(see Note 13)</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 (see Note 13)</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Net Income / (Loss)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(124.9)</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Less: Preferred return to preferred OP units / equity interests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Less: Income / (loss) attributable to noncontrolling interests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Net Income / (Loss) Attributable to SUI Common Shareholders</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(132.4)</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Weighted average common shares outstanding - basic</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Weighted average common shares outstanding - diluted</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Basic earnings / (loss) per share (see Note 14)</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Diluted earnings / (loss) per share</w:t>
            </w:r>
            <w:r>
              <w:rPr>
                <w:color w:val="000000"/>
              </w:rPr>
              <w:t xml:space="preserve"> </w:t>
            </w:r>
            <w:r>
              <w:rPr>
                <w:rFonts w:ascii="Times New Roman;sans-serif" w:hAnsi="Times New Roman;sans-serif"/>
                <w:b w:val="false"/>
                <w:color w:val="000000"/>
                <w:sz w:val="17"/>
              </w:rPr>
              <w:t>(see Note 14)</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72465"/>
                <wp:effectExtent l="0" t="0" r="0" b="0"/>
                <wp:wrapNone/>
                <wp:docPr id="5" name="Frame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 (LOSS)</w:t>
      </w:r>
    </w:p>
    <w:p>
      <w:pPr>
        <w:pStyle w:val="TextBody"/>
        <w:bidi w:val="0"/>
        <w:spacing w:lineRule="auto" w:line="288" w:before="0" w:after="0"/>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(In millions)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42"/>
        <w:gridCol w:w="1227"/>
        <w:gridCol w:w="1237"/>
        <w:gridCol w:w="288"/>
        <w:gridCol w:w="817"/>
        <w:gridCol w:w="161"/>
        <w:gridCol w:w="109"/>
        <w:gridCol w:w="109"/>
        <w:gridCol w:w="109"/>
        <w:gridCol w:w="288"/>
        <w:gridCol w:w="817"/>
        <w:gridCol w:w="161"/>
        <w:gridCol w:w="109"/>
        <w:gridCol w:w="109"/>
        <w:gridCol w:w="109"/>
        <w:gridCol w:w="288"/>
        <w:gridCol w:w="817"/>
        <w:gridCol w:w="161"/>
        <w:gridCol w:w="109"/>
        <w:gridCol w:w="109"/>
        <w:gridCol w:w="109"/>
        <w:gridCol w:w="267"/>
        <w:gridCol w:w="836"/>
        <w:gridCol w:w="217"/>
      </w:tblGrid>
      <w:tr>
        <w:trPr/>
        <w:tc>
          <w:tcPr>
            <w:tcW w:w="164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1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41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Net Income / (Loss)</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gain / (loss) arising during period</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Adjustment for accumulated foreign currency translation loss reclassified into earnings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Net foreign currency translation gain / (loss)</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30.2 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 Hedges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Change in unrealized gain / (loss) on interest rate derivatives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Less: Interest rate derivative gain reclassified to earnings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Net unrealized loss on interest rate derivatives</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Total Comprehensive Income / (Loss)</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359.3 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(98.0)</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Less: Comprehensive (income) / loss attributable to noncontrolling interests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Comprehensive Income / (Loss) Attributable to SUI</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319.8 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344.7 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(97.1)</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72465"/>
                <wp:effectExtent l="0" t="0" r="0" b="0"/>
                <wp:wrapNone/>
                <wp:docPr id="6" name="Frame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(Unaudited)</w:t>
      </w:r>
    </w:p>
    <w:p>
      <w:pPr>
        <w:pStyle w:val="TextBody"/>
        <w:bidi w:val="0"/>
        <w:spacing w:before="0" w:after="0"/>
        <w:jc w:val="center"/>
        <w:rPr/>
      </w:pPr>
      <w:r>
        <w:rPr/>
      </w:r>
    </w:p>
    <w:tbl>
      <w:tblPr>
        <w:tblW w:w="11262" w:type="dxa"/>
        <w:jc w:val="center"/>
        <w:tblInd w:w="0" w:type="dxa"/>
        <w:tblLayout w:type="fixed"/>
        <w:tblCellMar>
          <w:top w:w="28" w:type="dxa"/>
          <w:left w:w="28" w:type="dxa"/>
          <w:bottom w:w="28" w:type="dxa"/>
          <w:right w:w="28" w:type="dxa"/>
        </w:tblCellMar>
      </w:tblPr>
      <w:tblGrid>
        <w:gridCol w:w="634"/>
        <w:gridCol w:w="268"/>
        <w:gridCol w:w="269"/>
        <w:gridCol w:w="211"/>
        <w:gridCol w:w="601"/>
        <w:gridCol w:w="119"/>
        <w:gridCol w:w="109"/>
        <w:gridCol w:w="109"/>
        <w:gridCol w:w="109"/>
        <w:gridCol w:w="301"/>
        <w:gridCol w:w="255"/>
        <w:gridCol w:w="256"/>
        <w:gridCol w:w="109"/>
        <w:gridCol w:w="109"/>
        <w:gridCol w:w="109"/>
        <w:gridCol w:w="220"/>
        <w:gridCol w:w="422"/>
        <w:gridCol w:w="124"/>
        <w:gridCol w:w="196"/>
        <w:gridCol w:w="691"/>
        <w:gridCol w:w="109"/>
        <w:gridCol w:w="196"/>
        <w:gridCol w:w="746"/>
        <w:gridCol w:w="109"/>
        <w:gridCol w:w="309"/>
        <w:gridCol w:w="734"/>
        <w:gridCol w:w="173"/>
        <w:gridCol w:w="273"/>
        <w:gridCol w:w="775"/>
        <w:gridCol w:w="153"/>
        <w:gridCol w:w="215"/>
        <w:gridCol w:w="760"/>
        <w:gridCol w:w="121"/>
        <w:gridCol w:w="109"/>
        <w:gridCol w:w="109"/>
        <w:gridCol w:w="109"/>
        <w:gridCol w:w="196"/>
        <w:gridCol w:w="69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($Value)</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in Excess of Accumulated Earnings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 (Loss)</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7,173.0 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and common OP units, net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 amortization and forfeitures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 / (loss)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 units accretion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March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7,023.6 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7,283.3 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and common OP units, net</w:t>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5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 amortization and forfeitures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 units accretion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June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6,969.8 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and common OP units, net</w:t>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31.4 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393.1 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393.1 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Sale of consolidated affiliates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 amortization and forfeitures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 /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 units accretion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September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127.4 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7,576.1 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7,839.4 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72465"/>
                <wp:effectExtent l="0" t="0" r="0" b="0"/>
                <wp:wrapNone/>
                <wp:docPr id="7" name="Frame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tbl>
      <w:tblPr>
        <w:tblW w:w="11262" w:type="dxa"/>
        <w:jc w:val="center"/>
        <w:tblInd w:w="0" w:type="dxa"/>
        <w:tblLayout w:type="fixed"/>
        <w:tblCellMar>
          <w:top w:w="28" w:type="dxa"/>
          <w:left w:w="28" w:type="dxa"/>
          <w:bottom w:w="28" w:type="dxa"/>
          <w:right w:w="28" w:type="dxa"/>
        </w:tblCellMar>
      </w:tblPr>
      <w:tblGrid>
        <w:gridCol w:w="634"/>
        <w:gridCol w:w="268"/>
        <w:gridCol w:w="269"/>
        <w:gridCol w:w="211"/>
        <w:gridCol w:w="601"/>
        <w:gridCol w:w="119"/>
        <w:gridCol w:w="109"/>
        <w:gridCol w:w="109"/>
        <w:gridCol w:w="109"/>
        <w:gridCol w:w="301"/>
        <w:gridCol w:w="255"/>
        <w:gridCol w:w="256"/>
        <w:gridCol w:w="109"/>
        <w:gridCol w:w="109"/>
        <w:gridCol w:w="109"/>
        <w:gridCol w:w="220"/>
        <w:gridCol w:w="422"/>
        <w:gridCol w:w="124"/>
        <w:gridCol w:w="196"/>
        <w:gridCol w:w="691"/>
        <w:gridCol w:w="109"/>
        <w:gridCol w:w="196"/>
        <w:gridCol w:w="746"/>
        <w:gridCol w:w="109"/>
        <w:gridCol w:w="309"/>
        <w:gridCol w:w="734"/>
        <w:gridCol w:w="173"/>
        <w:gridCol w:w="305"/>
        <w:gridCol w:w="725"/>
        <w:gridCol w:w="171"/>
        <w:gridCol w:w="215"/>
        <w:gridCol w:w="760"/>
        <w:gridCol w:w="121"/>
        <w:gridCol w:w="109"/>
        <w:gridCol w:w="109"/>
        <w:gridCol w:w="109"/>
        <w:gridCol w:w="196"/>
        <w:gridCol w:w="69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($Value)</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in Excess of Accumulated Earnings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 (loss)</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7,888.5 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and common OP units, net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third party equity interests in consolidated entities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 amortization and forfeitures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Series K preferred OP units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 units accretion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March 31, 2023, As Restated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7,754.6 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8,053.4 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and common OP units, net</w:t>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third party equity interests in consolidated entities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redeemable noncontrolling interests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 amortization and forfeitures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Series K preferred OP units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 units accretion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June 30, 2023, As Restated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294.0 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7,466.2 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7,760.2 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and common OP units, net</w:t>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 amortization and forfeitures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 units accretion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September 30, 2023, As Restated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299.8 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124.4 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9,581.6 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7,481.9 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7,781.7 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72465"/>
                <wp:effectExtent l="0" t="0" r="0" b="0"/>
                <wp:wrapNone/>
                <wp:docPr id="8" name="Frame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79"/>
        <w:gridCol w:w="2159"/>
        <w:gridCol w:w="2176"/>
        <w:gridCol w:w="342"/>
        <w:gridCol w:w="974"/>
        <w:gridCol w:w="192"/>
        <w:gridCol w:w="109"/>
        <w:gridCol w:w="109"/>
        <w:gridCol w:w="109"/>
        <w:gridCol w:w="335"/>
        <w:gridCol w:w="954"/>
        <w:gridCol w:w="267"/>
      </w:tblGrid>
      <w:tr>
        <w:trPr/>
        <w:tc>
          <w:tcPr>
            <w:tcW w:w="247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6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6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Operating Activities</w:t>
            </w:r>
          </w:p>
        </w:tc>
        <w:tc>
          <w:tcPr>
            <w:tcW w:w="15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Provided By Operating Activities</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743.0 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Investing Activities</w:t>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properties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(790.3)</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net of cash acquired</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(51.4)</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 (payment) from deposit on acquisition</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insurance</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disposition of assets and depreciated homes, net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related to disposition of properties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382.1 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notes and other receivables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(33.4)</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Repayments of notes and other receivables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Investments in nonconsolidated affiliates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of capital from nonconsolidated affiliates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Used For Investing Activities</w:t>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(165.6)</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(817.8)</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Financing Activities</w:t>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and costs of common stock, OP units and preferred OP units, net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361.0 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Borrowings on lines of credit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1,288.6 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lines of credit</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(3,028.6)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(1,342.8)</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issuance of other debt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499.8 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583.0 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Contributions from noncontrolling interest</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other debt</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(42.5)</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(368.0)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(355.2)</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for deferred financing costs, net of prepaid return</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Provided By / (Used For) Financing Activities</w:t>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(538.9)</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Effect of exchange rate changes on cash, cash equivalents and restricted cash</w:t>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change in cash, cash equivalents and restricted cash</w:t>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 beginning of period</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Cash Equivalents and Restricted Cash, End of Period</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81.8 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62.0 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100" w:type="dxa"/>
        <w:jc w:val="left"/>
        <w:tblInd w:w="0" w:type="dxa"/>
        <w:tblLayout w:type="fixed"/>
        <w:tblCellMar>
          <w:top w:w="28" w:type="dxa"/>
          <w:left w:w="28" w:type="dxa"/>
          <w:bottom w:w="28" w:type="dxa"/>
          <w:right w:w="28" w:type="dxa"/>
        </w:tblCellMar>
      </w:tblPr>
      <w:tblGrid>
        <w:gridCol w:w="2043"/>
        <w:gridCol w:w="1797"/>
        <w:gridCol w:w="1799"/>
        <w:gridCol w:w="351"/>
        <w:gridCol w:w="997"/>
        <w:gridCol w:w="197"/>
        <w:gridCol w:w="109"/>
        <w:gridCol w:w="109"/>
        <w:gridCol w:w="109"/>
        <w:gridCol w:w="343"/>
        <w:gridCol w:w="976"/>
        <w:gridCol w:w="270"/>
      </w:tblGrid>
      <w:tr>
        <w:trPr/>
        <w:tc>
          <w:tcPr>
            <w:tcW w:w="2043"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Supplemental Information</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interest (net of capitalized interest of $6.8 and $8.9, respectively)</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interest on mandatorily redeemable debt</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income taxes</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Noncash investing and financing activities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Reduction in secured borrowing balance</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distributions declared and outstanding</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 of common and preferred OP units</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Assets held for sale, net (included within Other Assets, net and Other Liabilities)</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ROU asset obtained from new operating lease liabilities</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notes and other receivables in relation to disposition of properties</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Noncash investing and financing activities at the date of acquisition</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 Common stock and OP units issued</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 Series K preferred interest</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72465"/>
                <wp:effectExtent l="0" t="0" r="0" b="0"/>
                <wp:wrapNone/>
                <wp:docPr id="9" name="Frame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Sun Communities, Inc., and all wholly-owned or majority-owned and controlled subsidiaries, including Sun Communities Operating Limited Partnership (the "Operating Partnership"), Sun Home Services, Inc. ("SHS"), Safe Harbor Marinas, LLC ("Safe Harbor") and the entities through which we operate our business in the United Kingdom (collectively, "Park Holidays") are referred to herein as the "Company," "SUI," "us," "we," or "our."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significant intercompany transactions have been eliminated in consolidation. Certain reclassifications have been made to prior period financial statements in order to conform to current period presentation. There was no impact to prior period net income for any of the reclassifications.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2023 as filed with the SEC on February 28, 2024 (our "2023 Annual Report"). These statements have been prepared on a basis that is substantially consistent with the accounting principles applied in our 2023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Reportable Segments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expanded our organizational structure from three segments, which consisted of (i) manufactured home ("MH") communities, (ii) recreational vehicle ("RV") communities, and (iii) Marinas, to a four-segment structure that now includes (iv) communities in the United Kingdom ("UK"). The new structure reflects how the chief operating decision maker manages the business, makes operating decisions, allocates resources and evaluates operating performance. Beginning with the three months ended March 31, 2024, we are reporting our financial results consistent with our newly realigned operating segments and have recast prior period amounts to conform to the way we internally manage our business and monitor segment performance. Certain reclassifications have been made to the prior period financial statements and related notes in order to conform to the current period presentation. There was no impact to prior period net income, shareholders' equity or cash flows for any of the reclassifications.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Restatement of Previously Issued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disclosed in our 2023 Annual Report, we restated the unaudited financial information as of and for the three months ended March 31, 2023, the three and six months ended June 30, 2023, and the three and nine months ended September 30, 2023 (collectively, the "2023 Interim Financial Statements"). Accordingly, certain prior period balances within our consolidated financial statements and the accompanying notes have been restated, where applicable.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2022, we acquired a portfolio of holiday park properties located in the United Kingdom, which we refer to as our Park Holidays business, classified within our UK reporting segment. As disclosed in our Current Report on Form 8-K filed with the SEC on February 20, 2024, during the course of management's 2023 year-end procedures, we reviewed the controls relating to the valuation of the Park Holidays business and the associated goodwill at March 31, 2023, June 30, 2023 and September 30, 2023. In connection with that review, we concluded that there were triggering events relevant to the valuation of the Park Holidays business, including reduced financial projections and a higher weighted average cost of capital due to increases in interest rates, that should have been taken into account when preparing the 2023 Interim Financial Statements. Management undertook a full review of the valuations and determined that at each of March 31, 2023, June 30, 2023 and September 30, 2023, we should have recognized non-cash impairments to goodwill for the Park Holidays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72465"/>
                <wp:effectExtent l="0" t="0" r="0" b="0"/>
                <wp:wrapNone/>
                <wp:docPr id="10" name="Frame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we recorded non-cash goodwill impairment charges of $15.4 million, which increased Net loss on our Consolidated Statements of Operations. For the three and six months ended June 30, 2023, we recorded non-cash goodwill impairment charges of $309.7 million and $325.1 million, respectively, which changed Net income to Net loss on our Consolidated Statements of Operations by these corresponding amounts. For the three and nine months ended September 30, 2023, we recorded non-cash goodwill impairment charges of $44.8 million and $369.9 million, respectively, which reduced Net income on our Consolidated Statements of Operations during the three months ended September 30, 2023, and changed Net income to Net loss on our Consolidated Statements of Operations during the nine months ended September 30, 2023, by these corresponding amounts.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Revenue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consists of real property revenue at our MH, RV, Marina and UK properties, revenue from home sales, revenue from service, retail, dining and entertainment, interest income, and brokerage commissions and other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our revenue by major source and segment (in millions):</w:t>
      </w:r>
    </w:p>
    <w:p>
      <w:pPr>
        <w:pStyle w:val="TextBody"/>
        <w:bidi w:val="0"/>
        <w:spacing w:before="0" w:after="0"/>
        <w:jc w:val="both"/>
        <w:rPr/>
      </w:pPr>
      <w:r>
        <w:rPr/>
      </w:r>
    </w:p>
    <w:tbl>
      <w:tblPr>
        <w:tblW w:w="13044" w:type="dxa"/>
        <w:jc w:val="center"/>
        <w:tblInd w:w="0" w:type="dxa"/>
        <w:tblLayout w:type="fixed"/>
        <w:tblCellMar>
          <w:top w:w="28" w:type="dxa"/>
          <w:left w:w="28" w:type="dxa"/>
          <w:bottom w:w="28" w:type="dxa"/>
          <w:right w:w="28" w:type="dxa"/>
        </w:tblCellMar>
      </w:tblPr>
      <w:tblGrid>
        <w:gridCol w:w="385"/>
        <w:gridCol w:w="338"/>
        <w:gridCol w:w="34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9"/>
        <w:gridCol w:w="678"/>
        <w:gridCol w:w="134"/>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7"/>
        <w:gridCol w:w="672"/>
        <w:gridCol w:w="18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pPr>
            <w:r>
              <w:rPr>
                <w:rFonts w:ascii="Times New Roman;sans-serif" w:hAnsi="Times New Roman;sans-serif"/>
                <w:b/>
                <w:color w:val="000000"/>
                <w:sz w:val="17"/>
              </w:rPr>
              <w:t>September 30, 2023</w:t>
            </w:r>
            <w:r>
              <w:rPr>
                <w:rFonts w:ascii="Times New Roman;sans-serif" w:hAnsi="Times New Roman;sans-serif"/>
                <w:b/>
                <w:color w:val="000000"/>
                <w:sz w:val="10"/>
              </w:rPr>
              <w:t>(1)</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618.8 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939.9 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983.3 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Recast to reflect segment changes.</w:t>
      </w:r>
    </w:p>
    <w:p>
      <w:pPr>
        <w:pStyle w:val="TextBody"/>
        <w:bidi w:val="0"/>
        <w:spacing w:before="20" w:after="283"/>
        <w:ind w:left="0" w:right="0" w:hanging="180"/>
        <w:jc w:val="both"/>
        <w:rPr/>
      </w:pPr>
      <w:r>
        <w:rPr/>
      </w:r>
    </w:p>
    <w:tbl>
      <w:tblPr>
        <w:tblW w:w="13044" w:type="dxa"/>
        <w:jc w:val="left"/>
        <w:tblInd w:w="0" w:type="dxa"/>
        <w:tblLayout w:type="fixed"/>
        <w:tblCellMar>
          <w:top w:w="28" w:type="dxa"/>
          <w:left w:w="28" w:type="dxa"/>
          <w:bottom w:w="28" w:type="dxa"/>
          <w:right w:w="28" w:type="dxa"/>
        </w:tblCellMar>
      </w:tblPr>
      <w:tblGrid>
        <w:gridCol w:w="385"/>
        <w:gridCol w:w="338"/>
        <w:gridCol w:w="34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6"/>
        <w:gridCol w:w="729"/>
        <w:gridCol w:w="11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6"/>
        <w:gridCol w:w="727"/>
        <w:gridCol w:w="16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September 30, 2023</w:t>
            </w:r>
            <w:r>
              <w:rPr>
                <w:rFonts w:ascii="Times New Roman;sans-serif" w:hAnsi="Times New Roman;sans-serif"/>
                <w:b/>
                <w:color w:val="000000"/>
                <w:sz w:val="11"/>
              </w:rPr>
              <w:t>(1)</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2,475.2 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2,497.9 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Recast to reflect segment changes.</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majority of our revenue is derived from site and home leases, and wet slip and dry storage space leases that are accounted for pursuant to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We account for all revenue from contracts with customers following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except for those that are within the scope of other topics in the FASB ASC. For additional information, refer to Note 1, "Significant Accounting Policies" in our 2023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72465"/>
                <wp:effectExtent l="0" t="0" r="0" b="0"/>
                <wp:wrapNone/>
                <wp:docPr id="11" name="Frame1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Real Estate Acquisitions and Dispositions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2024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we acquired the following properties:</w:t>
      </w:r>
    </w:p>
    <w:p>
      <w:pPr>
        <w:pStyle w:val="TextBody"/>
        <w:bidi w:val="0"/>
        <w:spacing w:before="0" w:after="0"/>
        <w:jc w:val="both"/>
        <w:rPr/>
      </w:pPr>
      <w:r>
        <w:rPr/>
      </w:r>
    </w:p>
    <w:tbl>
      <w:tblPr>
        <w:tblW w:w="9296" w:type="dxa"/>
        <w:jc w:val="center"/>
        <w:tblInd w:w="0" w:type="dxa"/>
        <w:tblLayout w:type="fixed"/>
        <w:tblCellMar>
          <w:top w:w="28" w:type="dxa"/>
          <w:left w:w="28" w:type="dxa"/>
          <w:bottom w:w="28" w:type="dxa"/>
          <w:right w:w="28" w:type="dxa"/>
        </w:tblCellMar>
      </w:tblPr>
      <w:tblGrid>
        <w:gridCol w:w="777"/>
        <w:gridCol w:w="681"/>
        <w:gridCol w:w="687"/>
        <w:gridCol w:w="109"/>
        <w:gridCol w:w="109"/>
        <w:gridCol w:w="109"/>
        <w:gridCol w:w="199"/>
        <w:gridCol w:w="199"/>
        <w:gridCol w:w="203"/>
        <w:gridCol w:w="109"/>
        <w:gridCol w:w="109"/>
        <w:gridCol w:w="109"/>
        <w:gridCol w:w="519"/>
        <w:gridCol w:w="519"/>
        <w:gridCol w:w="521"/>
        <w:gridCol w:w="109"/>
        <w:gridCol w:w="109"/>
        <w:gridCol w:w="109"/>
        <w:gridCol w:w="109"/>
        <w:gridCol w:w="109"/>
        <w:gridCol w:w="709"/>
        <w:gridCol w:w="709"/>
        <w:gridCol w:w="712"/>
        <w:gridCol w:w="109"/>
        <w:gridCol w:w="109"/>
        <w:gridCol w:w="109"/>
        <w:gridCol w:w="390"/>
        <w:gridCol w:w="390"/>
        <w:gridCol w:w="555"/>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Sites, Wet Slips and </w:t>
              <w:br/>
              <w:t>Dry Storage Spaces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State, Province or Country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Month Acquired</w:t>
            </w:r>
          </w:p>
        </w:tc>
      </w:tr>
      <w:tr>
        <w:trPr/>
        <w:tc>
          <w:tcPr>
            <w:tcW w:w="2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Port Milford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Oak Leaf</w:t>
            </w:r>
            <w:r>
              <w:rPr>
                <w:rFonts w:ascii="Times New Roman;sans-serif" w:hAnsi="Times New Roman;sans-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Berth One Palm Beach</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Marina Village Yacht Harbor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732 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September</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Ventura Harbor Fuel</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September</w:t>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917</w:t>
            </w:r>
            <w:r>
              <w:rPr>
                <w:color w:val="000000"/>
              </w:rPr>
              <w:t> </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Combined with an existing property.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of assets acquired, net of liabilities assumed, at the acquisition date and the consideration paid for the acquisitions completed during the nine months ended September 30, 2024 (in millions):</w:t>
      </w:r>
    </w:p>
    <w:p>
      <w:pPr>
        <w:pStyle w:val="TextBody"/>
        <w:bidi w:val="0"/>
        <w:spacing w:before="0" w:after="0"/>
        <w:jc w:val="both"/>
        <w:rPr/>
      </w:pPr>
      <w:r>
        <w:rPr/>
      </w:r>
    </w:p>
    <w:tbl>
      <w:tblPr>
        <w:tblW w:w="10801" w:type="dxa"/>
        <w:jc w:val="left"/>
        <w:tblInd w:w="0" w:type="dxa"/>
        <w:tblLayout w:type="fixed"/>
        <w:tblCellMar>
          <w:top w:w="28" w:type="dxa"/>
          <w:left w:w="28" w:type="dxa"/>
          <w:bottom w:w="28" w:type="dxa"/>
          <w:right w:w="28" w:type="dxa"/>
        </w:tblCellMar>
      </w:tblPr>
      <w:tblGrid>
        <w:gridCol w:w="337"/>
        <w:gridCol w:w="296"/>
        <w:gridCol w:w="298"/>
        <w:gridCol w:w="221"/>
        <w:gridCol w:w="526"/>
        <w:gridCol w:w="124"/>
        <w:gridCol w:w="109"/>
        <w:gridCol w:w="109"/>
        <w:gridCol w:w="109"/>
        <w:gridCol w:w="293"/>
        <w:gridCol w:w="608"/>
        <w:gridCol w:w="165"/>
        <w:gridCol w:w="109"/>
        <w:gridCol w:w="109"/>
        <w:gridCol w:w="109"/>
        <w:gridCol w:w="229"/>
        <w:gridCol w:w="439"/>
        <w:gridCol w:w="128"/>
        <w:gridCol w:w="109"/>
        <w:gridCol w:w="109"/>
        <w:gridCol w:w="109"/>
        <w:gridCol w:w="262"/>
        <w:gridCol w:w="523"/>
        <w:gridCol w:w="146"/>
        <w:gridCol w:w="109"/>
        <w:gridCol w:w="109"/>
        <w:gridCol w:w="109"/>
        <w:gridCol w:w="232"/>
        <w:gridCol w:w="553"/>
        <w:gridCol w:w="131"/>
        <w:gridCol w:w="109"/>
        <w:gridCol w:w="109"/>
        <w:gridCol w:w="109"/>
        <w:gridCol w:w="196"/>
        <w:gridCol w:w="466"/>
        <w:gridCol w:w="109"/>
        <w:gridCol w:w="109"/>
        <w:gridCol w:w="109"/>
        <w:gridCol w:w="109"/>
        <w:gridCol w:w="109"/>
        <w:gridCol w:w="109"/>
        <w:gridCol w:w="225"/>
        <w:gridCol w:w="535"/>
        <w:gridCol w:w="126"/>
        <w:gridCol w:w="109"/>
        <w:gridCol w:w="109"/>
        <w:gridCol w:w="109"/>
        <w:gridCol w:w="270"/>
        <w:gridCol w:w="643"/>
        <w:gridCol w:w="213"/>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At 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Consideration</w:t>
            </w:r>
          </w:p>
        </w:tc>
        <w:tc>
          <w:tcPr>
            <w:tcW w:w="1453" w:type="dxa"/>
            <w:gridSpan w:val="6"/>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Investment in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Inventory of manufactured homes, boat parts</w:t>
              <w:br/>
              <w:t>and retail</w:t>
              <w:br/>
              <w:t>related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Goodwill and other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Other assets / (liabilities),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identifiable assets acquired net of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Cash and escrow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7"/>
              </w:rPr>
              <w:t>Temporary and permanent equity</w:t>
            </w:r>
            <w:r>
              <w:rPr>
                <w:rFonts w:ascii="Times New Roman;sans-serif" w:hAnsi="Times New Roman;sans-serif"/>
                <w:b w:val="false"/>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consideration</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 Acquisition</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Port Milford</w:t>
            </w:r>
            <w:r>
              <w:rPr>
                <w:rFonts w:ascii="Times New Roman;sans-serif" w:hAnsi="Times New Roman;sans-serif"/>
                <w:b w:val="false"/>
                <w:color w:val="000000"/>
                <w:sz w:val="11"/>
              </w:rPr>
              <w:t>(2)</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Berth One Palm Beach</w:t>
            </w:r>
            <w:r>
              <w:rPr>
                <w:rFonts w:ascii="Times New Roman;sans-serif" w:hAnsi="Times New Roman;sans-serif"/>
                <w:b w:val="false"/>
                <w:color w:val="000000"/>
                <w:sz w:val="11"/>
              </w:rPr>
              <w:t>(3)</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Marina Village Yacht Harbor</w:t>
            </w:r>
            <w:r>
              <w:rPr>
                <w:rFonts w:ascii="Times New Roman;sans-serif" w:hAnsi="Times New Roman;sans-serif"/>
                <w:b w:val="false"/>
                <w:color w:val="000000"/>
                <w:sz w:val="11"/>
              </w:rPr>
              <w:t>(4)</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Oak Leaf</w:t>
            </w:r>
            <w:r>
              <w:rPr>
                <w:rFonts w:ascii="Times New Roman;sans-serif" w:hAnsi="Times New Roman;sans-serif"/>
                <w:b w:val="false"/>
                <w:color w:val="000000"/>
                <w:sz w:val="11"/>
              </w:rPr>
              <w:t>(3)</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Venture Harbor Fuel</w:t>
            </w:r>
            <w:r>
              <w:rPr>
                <w:rFonts w:ascii="Times New Roman;sans-serif" w:hAnsi="Times New Roman;sans-serif"/>
                <w:b w:val="false"/>
                <w:color w:val="000000"/>
                <w:sz w:val="11"/>
              </w:rPr>
              <w:t>(3)(5)</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Refer to Note 10, "Equity and Temporary Equity," for additional detail.</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In conjunction with this acquisition, we issued 19,326 common Operating Partnership units ("OP units") valued at $2.5 million.</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Combined with an existing property.</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In conjunction with this acquisition, we issued 243,273 common OP units valued at $31.5 million.</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(5) </w:t>
      </w:r>
      <w:r>
        <w:rPr>
          <w:rFonts w:ascii="Times New Roman;sans-serif" w:hAnsi="Times New Roman;sans-serif"/>
          <w:b w:val="false"/>
          <w:color w:val="000000"/>
          <w:sz w:val="16"/>
        </w:rPr>
        <w:t>The purchase price allocation is preliminary as of September 30, 2024, subject to revision based on the final purchase price allocations to be finalized one year from the acquisition date.</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entered into a ground lease that can support one marina with eight wet slips and dry storage spaces.</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2024 Development and Expansion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we acquired two land parcels located in the United States ("U.S.") for an aggregate purchase price of $12.9 million. In conjunction with one of the land parcel acquisitions, we issued 4,452 common OP units valued at $0.6 million. We also acquired two buildings related to our marinas located in the U.S. for an aggregate purchase price of $13.7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we acquired one land parcel located in the United Kingdom ("U.K.") for an aggregate purchase price of $9.6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72465"/>
                <wp:effectExtent l="0" t="0" r="0" b="0"/>
                <wp:wrapNone/>
                <wp:docPr id="12" name="Frame1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2024 Disposition Activity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dispositions of real estate properties occurred during the</w:t>
      </w:r>
      <w:r>
        <w:rPr>
          <w:color w:val="000000"/>
        </w:rPr>
        <w:t xml:space="preserve"> </w:t>
      </w:r>
      <w:r>
        <w:rPr>
          <w:rFonts w:ascii="Times New Roman;sans-serif" w:hAnsi="Times New Roman;sans-serif"/>
          <w:b w:val="false"/>
          <w:color w:val="000000"/>
          <w:sz w:val="20"/>
        </w:rPr>
        <w:t>nine months ended September 30, 2024:</w:t>
      </w:r>
    </w:p>
    <w:p>
      <w:pPr>
        <w:pStyle w:val="TextBody"/>
        <w:bidi w:val="0"/>
        <w:spacing w:before="0" w:after="0"/>
        <w:jc w:val="both"/>
        <w:rPr/>
      </w:pPr>
      <w:r>
        <w:rPr/>
      </w:r>
    </w:p>
    <w:tbl>
      <w:tblPr>
        <w:tblW w:w="10220" w:type="dxa"/>
        <w:jc w:val="left"/>
        <w:tblInd w:w="0" w:type="dxa"/>
        <w:tblLayout w:type="fixed"/>
        <w:tblCellMar>
          <w:top w:w="28" w:type="dxa"/>
          <w:left w:w="28" w:type="dxa"/>
          <w:bottom w:w="28" w:type="dxa"/>
          <w:right w:w="28" w:type="dxa"/>
        </w:tblCellMar>
      </w:tblPr>
      <w:tblGrid>
        <w:gridCol w:w="448"/>
        <w:gridCol w:w="248"/>
        <w:gridCol w:w="250"/>
        <w:gridCol w:w="109"/>
        <w:gridCol w:w="109"/>
        <w:gridCol w:w="109"/>
        <w:gridCol w:w="240"/>
        <w:gridCol w:w="240"/>
        <w:gridCol w:w="241"/>
        <w:gridCol w:w="109"/>
        <w:gridCol w:w="109"/>
        <w:gridCol w:w="109"/>
        <w:gridCol w:w="285"/>
        <w:gridCol w:w="285"/>
        <w:gridCol w:w="286"/>
        <w:gridCol w:w="109"/>
        <w:gridCol w:w="109"/>
        <w:gridCol w:w="109"/>
        <w:gridCol w:w="180"/>
        <w:gridCol w:w="165"/>
        <w:gridCol w:w="166"/>
        <w:gridCol w:w="109"/>
        <w:gridCol w:w="109"/>
        <w:gridCol w:w="109"/>
        <w:gridCol w:w="240"/>
        <w:gridCol w:w="240"/>
        <w:gridCol w:w="241"/>
        <w:gridCol w:w="109"/>
        <w:gridCol w:w="109"/>
        <w:gridCol w:w="109"/>
        <w:gridCol w:w="350"/>
        <w:gridCol w:w="245"/>
        <w:gridCol w:w="246"/>
        <w:gridCol w:w="109"/>
        <w:gridCol w:w="109"/>
        <w:gridCol w:w="109"/>
        <w:gridCol w:w="196"/>
        <w:gridCol w:w="556"/>
        <w:gridCol w:w="109"/>
        <w:gridCol w:w="109"/>
        <w:gridCol w:w="109"/>
        <w:gridCol w:w="109"/>
        <w:gridCol w:w="266"/>
        <w:gridCol w:w="756"/>
        <w:gridCol w:w="149"/>
        <w:gridCol w:w="109"/>
        <w:gridCol w:w="109"/>
        <w:gridCol w:w="109"/>
        <w:gridCol w:w="211"/>
        <w:gridCol w:w="598"/>
        <w:gridCol w:w="167"/>
      </w:tblGrid>
      <w:tr>
        <w:trPr/>
        <w:tc>
          <w:tcPr>
            <w:tcW w:w="4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Number of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State, Province or 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Month 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Gross Sales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Cash Consideration, net</w:t>
            </w:r>
            <w:r>
              <w:rPr>
                <w:rFonts w:ascii="Times New Roman;sans-serif" w:hAnsi="Times New Roman;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Gain on Disposition</w:t>
            </w:r>
            <w:r>
              <w:rPr>
                <w:rFonts w:ascii="Times New Roman;sans-serif" w:hAnsi="Times New Roman;sans-serif"/>
                <w:b/>
                <w:color w:val="000000"/>
                <w:sz w:val="11"/>
              </w:rPr>
              <w:t>(2)</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Spanish Trails and Sundance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MH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AZ &amp;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February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Littondale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May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Six Community MH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MH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July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Lake Pointe Village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MH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July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Reserve at Fox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MH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September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Cash consideration, net of settlement of the associated mortgage debt and other closing adjustments. Refer to Note 9, "Debt and Line of Credit," for additional detail.</w:t>
      </w:r>
    </w:p>
    <w:p>
      <w:pPr>
        <w:pStyle w:val="TextBody"/>
        <w:bidi w:val="0"/>
        <w:spacing w:lineRule="auto" w:line="288" w:before="20" w:after="283"/>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Recorded in Gain / (loss) on dispositions of properties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September 2024, we sold two development properties in the U.S. for total consideration of $37.2 million and recorded a gain on sale of $0.6 million. The two development properties were previously classified as held for sale. During the three months ended June 30, 2024, we recognized asset impairment charges of $10.8 million within the MH segment to reduce the carrying value of the two properties to an aggregate fair value of $36.1 million, driven by our change in strategic plan for these properties. The fair value measurement was determined using an income approach and Level 3 inputs based on a probability weighted holding period and estimated sale price for the assets. The asset impairment charges were recorded within Asset impairments on our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Disposition Activity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we sold one MH community located in Maine with 155 developed sites at its net carrying value for cash consideration of $6.8 million. The property was previously classified as held for sale during the three months ended June 30, 2023, with its net carrying value of $13.1 million written down by $6.3 million within Asset impairments on our Consolidated Statements of Operations, to a fair value less cost to sell of $6.8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sold two parcels of land in the United Kingdom for total consideration of $111.5 million. The consideration consisted of $108.8 million in the form of an operator note receivable that was added to an existing facility with a weighted average interest rate of 11.9% per annum, due May 31, 2023 and subsequently extended to July 31, 2023 as part of the operator's total facility. On the date of sale, the carrying value of the note receivable approximated its fair value due to its short term nature. The dispositions resulted in a loss on sale totaling $2.2 million during the year ended December 31, 2023, net of the release of foreign currency translation losses from Accumulated other comprehensive income ("AOCI") of $11.9 million. The total loss on sale was recorded in Gain / (loss) on dispositions of properties on the Consolidated Statements of Operations. As of December 31, 2023, we have reacquired these two parcels of land at fair value as part of the settlement of the related note receivable, with no remeasurement gain or loss recognized. Refer to Note 4, "Notes and Other Receivables," for additional information on the settlement of the notes receivable.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Notes and Other Receivables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notes and other receivables (in millions):</w:t>
      </w:r>
    </w:p>
    <w:p>
      <w:pPr>
        <w:pStyle w:val="TextBody"/>
        <w:bidi w:val="0"/>
        <w:spacing w:before="0" w:after="0"/>
        <w:jc w:val="both"/>
        <w:rPr/>
      </w:pPr>
      <w:r>
        <w:rPr/>
      </w:r>
    </w:p>
    <w:tbl>
      <w:tblPr>
        <w:tblW w:w="7571" w:type="dxa"/>
        <w:jc w:val="left"/>
        <w:tblInd w:w="0" w:type="dxa"/>
        <w:tblLayout w:type="fixed"/>
        <w:tblCellMar>
          <w:top w:w="28" w:type="dxa"/>
          <w:left w:w="28" w:type="dxa"/>
          <w:bottom w:w="28" w:type="dxa"/>
          <w:right w:w="28" w:type="dxa"/>
        </w:tblCellMar>
      </w:tblPr>
      <w:tblGrid>
        <w:gridCol w:w="1503"/>
        <w:gridCol w:w="1322"/>
        <w:gridCol w:w="1330"/>
        <w:gridCol w:w="351"/>
        <w:gridCol w:w="997"/>
        <w:gridCol w:w="197"/>
        <w:gridCol w:w="109"/>
        <w:gridCol w:w="109"/>
        <w:gridCol w:w="109"/>
        <w:gridCol w:w="334"/>
        <w:gridCol w:w="948"/>
        <w:gridCol w:w="262"/>
      </w:tblGrid>
      <w:tr>
        <w:trPr/>
        <w:tc>
          <w:tcPr>
            <w:tcW w:w="150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Installment notes receivable on manufactured homes, net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receivable from real estate developers and operators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receivables, net</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Notes and Other Receivables, net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494.4 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421.6 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72465"/>
                <wp:effectExtent l="0" t="0" r="0" b="0"/>
                <wp:wrapNone/>
                <wp:docPr id="13" name="Frame1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Installment Notes Receivable on Manufactured Homes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Installment notes receivable are measured at fair value, using indicative pricing models from third party valuation specialists, in accordance with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During the three months ended December 31, 2023, we transferred a group of installment notes receivable to an unrelated party. Refer to Note 5, "Collateralized Receivables and Transfers of Financial Assets," for additional details. The balances of installment notes receivable of $73.7 million (gross installment notes receivable of $74.7 million less fair value adjustment of $1.0 million) and $19.6 million (gross installment notes receivable of $20.4 million less fair value adjustment of $0.8 million) as of September 30, 2024 and December 31, 2023, respectively, are secured by manufactured homes. The notes represent financing to purchasers of manufactured homes located in our communities and require monthly principal and interest payments. The notes had a net weighted average interest rate (net of servicing costs) and maturity of 6.4% and 18.6 years as of September 30, 2024, and 6.9% and 17.2 years as of December 31, 2023, respectively. Refer to Note 16, "Fair Value Measurements," for additional details.</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Notes Receivable from Real Estate Developers and Operators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Notes receivable from real estate developers and operators are measured at fair value, using indicative pricing models from third party valuation specialists, in accordance with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Refer to Note 16, "Fair Value Measurements,"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Receivable from a Real Estate Operator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note receivable from a real estate operator was comprised of a fully drawn loan provided to Royale Holdings Group HoldCo Limited, a real estate development owner and operator in the United Kingdom, and certain other parties, to fund investing and financing activities (the "Note"). The Note was collateralized by a first-priority security interest in three real estate assets and three MH manufacturers in the United Kingdom. As of September 30, 2024, there was no remaining balance due on the note receivable.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After the maturity date of July 31, 2023, the Note became past due. On September 29, 2023, we appointed receivers over the real estate assets. The receivers marketed the real estate assets for sale during the fourth quarter of 2023. Upon completion of the marketing process, on December 28, 2023, we appointed administrators over the real estate assets and acquired such assets through a credit bid. During the fourth quarter, we engaged third party valuation specialists to appraise the real estate assets in accordance with ASC 820. The appraisals were completed using the discounted cash flow method (income approach), with the significant assumptions being development density, estimated absorption rate, home sale price and discount rate. The real estate assets appraised at fair value totaling $263.8 million. The Note balance was reduced by this amount, with an offsetting adjustment to Investment property, net on our Consolidated Balance Sheets as of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balance remaining on the Note, which was in nonaccrual status, collateralized by a first-priority security interest in three MH manufacturers in the United Kingdom, was adjusted to fair value totaling $10.8 million (gross notes receivable of $114.3 million, inclusive of accrued interest of $10.4 million, less a fair value adjustment of $103.5 million). The note had a weighted average interest rate of 12.5% as of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completed a receivership process related to the three MH manufacturers in the United Kingdom. The receivers sold such assets for a total consideration of $10.7 million, resulting in cash proceeds to the Company of $7.0 million, net of non-cash consideration and fees. The sale of these assets resulted in an incremental fair value remeasurement adjustment of $0.8 million that was recorded in Loss on remeasurement of notes receivable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Notes Receivable from Real Estate Developers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acquisition and construction loans provided to real estate developers total $139.1 million with a net weighted average interest rate and maturity of 9.3% and 2.1 years as of September 30, 2024, and total $123.7 million with a net weighted average interest rate and maturity of 9.2% and 2.6 years as of December 31, 2023. As of September 30, 2024 and December 31, 2023, the additional acquisition and construction loans provided to real estate developers had $36.8 million and $39.5 million of undrawn funds, respectively. There were no adjustments to the fair value of notes receivable from real estate developers during the nine months ended September 30, 2024 and the year ended December 31, 2023.</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72465"/>
                <wp:effectExtent l="0" t="0" r="0" b="0"/>
                <wp:wrapNone/>
                <wp:docPr id="14" name="Frame1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Receivables,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receivables, net were comprised of amounts due from the following categories (in millions):</w:t>
      </w:r>
    </w:p>
    <w:p>
      <w:pPr>
        <w:pStyle w:val="TextBody"/>
        <w:bidi w:val="0"/>
        <w:spacing w:before="0" w:after="0"/>
        <w:jc w:val="both"/>
        <w:rPr/>
      </w:pPr>
      <w:r>
        <w:rPr/>
      </w:r>
    </w:p>
    <w:tbl>
      <w:tblPr>
        <w:tblW w:w="10165" w:type="dxa"/>
        <w:jc w:val="left"/>
        <w:tblInd w:w="0" w:type="dxa"/>
        <w:tblLayout w:type="fixed"/>
        <w:tblCellMar>
          <w:top w:w="28" w:type="dxa"/>
          <w:left w:w="28" w:type="dxa"/>
          <w:bottom w:w="28" w:type="dxa"/>
          <w:right w:w="28" w:type="dxa"/>
        </w:tblCellMar>
      </w:tblPr>
      <w:tblGrid>
        <w:gridCol w:w="2446"/>
        <w:gridCol w:w="2148"/>
        <w:gridCol w:w="2155"/>
        <w:gridCol w:w="351"/>
        <w:gridCol w:w="997"/>
        <w:gridCol w:w="197"/>
        <w:gridCol w:w="109"/>
        <w:gridCol w:w="109"/>
        <w:gridCol w:w="109"/>
        <w:gridCol w:w="334"/>
        <w:gridCol w:w="948"/>
        <w:gridCol w:w="262"/>
      </w:tblGrid>
      <w:tr>
        <w:trPr/>
        <w:tc>
          <w:tcPr>
            <w:tcW w:w="2446"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MH and annual RV residents for rent, utility charges, fees and other pass-through charges, net</w:t>
            </w:r>
            <w:r>
              <w:rPr>
                <w:rFonts w:ascii="Times New Roman;sans-serif" w:hAnsi="Times New Roman;sans-serif"/>
                <w:b w:val="false"/>
                <w:color w:val="000000"/>
                <w:sz w:val="11"/>
              </w:rPr>
              <w:t>(1)</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Insurance receivables</w:t>
            </w:r>
            <w:r>
              <w:rPr>
                <w:rFonts w:ascii="Times New Roman;sans-serif" w:hAnsi="Times New Roman;sans-serif"/>
                <w:b w:val="false"/>
                <w:color w:val="000000"/>
                <w:sz w:val="11"/>
              </w:rPr>
              <w:t>(2)</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Marina customers for storage, service and lease payments, net</w:t>
            </w:r>
            <w:r>
              <w:rPr>
                <w:rFonts w:ascii="Times New Roman;sans-serif" w:hAnsi="Times New Roman;sans-serif"/>
                <w:b w:val="false"/>
                <w:color w:val="000000"/>
                <w:sz w:val="11"/>
              </w:rPr>
              <w:t>(3)</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Home sale proceeds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receivables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Other Receivables, net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281.6 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267.5 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Net of allowance of $4.8 million and $4.8 million as of September 30, 2024 and December 31, 2023, respectively.</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During the three months ended September 30, 2024, we recorded a charge of $8.9 million to write off a receivable balance related to expected insurance proceeds from a prior litigation matter. We concluded that the loss recovery was no longer probable of being realized and recorded the charge within General and administrative expense on the Consolidated Statements of Operations.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Net of allowance of $3.0 million and $2.9 million as of September 30, 2024 and December 31, 2023,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Collateralized Receivables and Transfers of Financial Assets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During the three months ended December 31, 2023, we completed a transfer of our installment notes receivable to an unrelated entity and received net cash proceeds of $53.4 million from the third-party servicer, in exchange for relinquishing our right, title and interest in the receivables. During the nine months ended September 30, 2024, we received a subsequent cash payment of $1.1 million from the servicer in accordance with the terms of the transfer. We have no further obligations or rights with respect to the control, management, administration, servicing or collection of the installment notes receivables. However, we are subject to certain recourse provisions requiring us to purchase the underlying manufactured homes collateralizing such notes at a price calculated based on the agreed upon terms, in the event of a note default and subsequent repossession of the home by the unrelated entity. The recourse provisions are considered to be a form of continuing involvement which precluded establishing legal isolation, and therefore these transferred loans do not meet the requirements for sale accounting under ASC 860, "</w:t>
      </w:r>
      <w:r>
        <w:rPr>
          <w:rFonts w:ascii="Times New Roman;sans-serif" w:hAnsi="Times New Roman;sans-serif"/>
          <w:b w:val="false"/>
          <w:i/>
          <w:color w:val="000000"/>
          <w:sz w:val="20"/>
        </w:rPr>
        <w:t>Transfers and Servicing</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transaction has been accounted for in accordance with ASC 860-30, with the transferred assets classified as Collateralized receivables, net and the cash proceeds received from this transaction classified as Secured borrowings on collateralized receivables within the Consolidated Balance Sheets. We have elected to apply the fair value option to the collateralized receivables and related secured borrowings under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The balance of collateralized receivables was $52.8 million (gross collateralized receivable of $53.6 million less fair value adjustments of $0.8 million) and $56.2 million (gross collateralized receivable of $59.1 million less fair value adjustments of $2.9 million) as of September 30, 2024 and December 31, 2023, respectively. The balance of secured borrowings on collateralized receivables was $52.8 million (gross secured borrowings of $48.8 million plus fair value adjustments of $4.0 million) and $55.8 million (gross secured borrowings of $53.9 million plus fair value adjustments of $1.9 million) as of September 30, 2024 and December 31, 2023, respectively. The notes represent financing to purchasers of manufactured homes located in our communities and require monthly principal and interest payments. The notes had a net weighted average interest rate and maturity of 8.6% and 13.5 years as of September 30, 2024 and 8.6% and 14.2 years as of December 31, 2023. Refer to Note 16, "Fair Value Measurements," for additional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collateralized receivables earn interest income and the secured borrowings accrue interest expense at the same amount. The amount of interest income and interest expense recognized during the three and nine months ended September 30, 2024 was $1.1 million and $3.5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72465"/>
                <wp:effectExtent l="0" t="0" r="0" b="0"/>
                <wp:wrapNone/>
                <wp:docPr id="15" name="Frame1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Goodwill and Other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intangible assets include goodwill, in-place leases, non-competition agreements, trademarks and trade names, customer relationships, franchise agreements and other intangible assets. These intangible assets are recorded in Goodwill and Other intangible assets, net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measurement periods for the valuation of assets acquired and liabilities assumed in a business combination end as soon as information on the facts and circumstances that existed as of the acquisition dates becomes available on the earlier of (i) the dates of acquisition, or (ii) 12 months after the acquisition dates. Adjustments in purchase price allocations may require a change in the amounts allocated to goodwill during the periods in which the adjustments are determined. Changes in the carrying amount of goodwill during the nine months ended September 30, 2024 by reportable segment were as follows (in millions):</w:t>
      </w:r>
    </w:p>
    <w:p>
      <w:pPr>
        <w:pStyle w:val="TextBody"/>
        <w:bidi w:val="0"/>
        <w:spacing w:before="0" w:after="0"/>
        <w:jc w:val="both"/>
        <w:rPr/>
      </w:pPr>
      <w:r>
        <w:rPr/>
      </w:r>
    </w:p>
    <w:tbl>
      <w:tblPr>
        <w:tblW w:w="9016" w:type="dxa"/>
        <w:jc w:val="left"/>
        <w:tblInd w:w="0" w:type="dxa"/>
        <w:tblLayout w:type="fixed"/>
        <w:tblCellMar>
          <w:top w:w="28" w:type="dxa"/>
          <w:left w:w="28" w:type="dxa"/>
          <w:bottom w:w="28" w:type="dxa"/>
          <w:right w:w="28" w:type="dxa"/>
        </w:tblCellMar>
      </w:tblPr>
      <w:tblGrid>
        <w:gridCol w:w="1543"/>
        <w:gridCol w:w="1356"/>
        <w:gridCol w:w="1361"/>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82" w:type="dxa"/>
            <w:gridSpan w:val="15"/>
            <w:tcBorders/>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Balance as of December 31, 2023</w:t>
            </w:r>
            <w:r>
              <w:rPr>
                <w:rFonts w:ascii="Times New Roman;sans-serif" w:hAnsi="Times New Roman;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Acquisitions</w:t>
            </w:r>
            <w:r>
              <w:rPr>
                <w:rFonts w:ascii="Times New Roman;sans-serif" w:hAnsi="Times New Roman;sans-serif"/>
                <w:b w:val="false"/>
                <w:color w:val="000000"/>
                <w:sz w:val="11"/>
              </w:rPr>
              <w:t>(2)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Balance as of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Accumulated impairment losses as of September 30, 2024</w:t>
            </w:r>
            <w:r>
              <w:rPr>
                <w:rFonts w:ascii="Times New Roman;sans-serif" w:hAnsi="Times New Roman;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Recast to reflect segment changes.</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During the three months ended September 30, 2024, we recorded goodwill of $0.2 million in the Marina segment related to the acquisition of Oak Leaf, primarily attributed to the enterprise value. The total recognized goodwill of $0.2 million is expected to be deductible for income tax purposes.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During the three and nine months ended September 30, 2023, we recorded aggregate non-cash goodwill impairment charges of $44.8 million and $369.9 million, respectively, within Goodwill impairment on the Consolidated Statements of Operations. The decline in fair value of the UK reporting segment was primarily driven by a higher weighted average cost of capital due to increases in interest rates, as well as inflationary pressures in the UK causing a decline in financial projections.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Intangible Assets,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amounts and accumulated amortization of our intangible assets were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46"/>
        <w:gridCol w:w="725"/>
        <w:gridCol w:w="649"/>
        <w:gridCol w:w="109"/>
        <w:gridCol w:w="109"/>
        <w:gridCol w:w="109"/>
        <w:gridCol w:w="331"/>
        <w:gridCol w:w="292"/>
        <w:gridCol w:w="294"/>
        <w:gridCol w:w="109"/>
        <w:gridCol w:w="109"/>
        <w:gridCol w:w="109"/>
        <w:gridCol w:w="276"/>
        <w:gridCol w:w="784"/>
        <w:gridCol w:w="153"/>
        <w:gridCol w:w="109"/>
        <w:gridCol w:w="109"/>
        <w:gridCol w:w="109"/>
        <w:gridCol w:w="317"/>
        <w:gridCol w:w="928"/>
        <w:gridCol w:w="179"/>
        <w:gridCol w:w="109"/>
        <w:gridCol w:w="109"/>
        <w:gridCol w:w="109"/>
        <w:gridCol w:w="276"/>
        <w:gridCol w:w="784"/>
        <w:gridCol w:w="153"/>
        <w:gridCol w:w="109"/>
        <w:gridCol w:w="109"/>
        <w:gridCol w:w="109"/>
        <w:gridCol w:w="312"/>
        <w:gridCol w:w="912"/>
        <w:gridCol w:w="259"/>
      </w:tblGrid>
      <w:tr>
        <w:trPr/>
        <w:tc>
          <w:tcPr>
            <w:tcW w:w="9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2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Intangible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Amortization</w:t>
            </w:r>
          </w:p>
        </w:tc>
      </w:tr>
      <w:tr>
        <w:trPr/>
        <w:tc>
          <w:tcPr>
            <w:tcW w:w="2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2 months - 13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(146.2)</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Non-competition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3 - 15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4 - 17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Franchise agreements and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1 - 27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finite-lived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444.4 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(237.7)</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441.8 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(216.3)</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Indefinite-lived assets - Trademarks, trade names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indefinite-lived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588.4 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(237.7)</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585.8 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(216.3)</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72465"/>
                <wp:effectExtent l="0" t="0" r="0" b="0"/>
                <wp:wrapNone/>
                <wp:docPr id="16" name="Frame1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expenses related to our Other intangible assets were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37"/>
        <w:gridCol w:w="972"/>
        <w:gridCol w:w="974"/>
        <w:gridCol w:w="109"/>
        <w:gridCol w:w="109"/>
        <w:gridCol w:w="109"/>
        <w:gridCol w:w="413"/>
        <w:gridCol w:w="794"/>
        <w:gridCol w:w="233"/>
        <w:gridCol w:w="109"/>
        <w:gridCol w:w="109"/>
        <w:gridCol w:w="109"/>
        <w:gridCol w:w="413"/>
        <w:gridCol w:w="794"/>
        <w:gridCol w:w="233"/>
        <w:gridCol w:w="109"/>
        <w:gridCol w:w="109"/>
        <w:gridCol w:w="109"/>
        <w:gridCol w:w="365"/>
        <w:gridCol w:w="870"/>
        <w:gridCol w:w="205"/>
        <w:gridCol w:w="109"/>
        <w:gridCol w:w="109"/>
        <w:gridCol w:w="109"/>
        <w:gridCol w:w="357"/>
        <w:gridCol w:w="849"/>
        <w:gridCol w:w="288"/>
      </w:tblGrid>
      <w:tr>
        <w:trPr/>
        <w:tc>
          <w:tcPr>
            <w:tcW w:w="113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3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Intangible Asset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3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Non-competition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Franchise fees and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27.3 </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amortization expense for Other intangible assets to be as follows for the next five years (in millions):</w:t>
      </w:r>
    </w:p>
    <w:p>
      <w:pPr>
        <w:pStyle w:val="TextBody"/>
        <w:bidi w:val="0"/>
        <w:spacing w:before="0" w:after="0"/>
        <w:jc w:val="both"/>
        <w:rPr/>
      </w:pPr>
      <w:r>
        <w:rPr/>
      </w:r>
    </w:p>
    <w:tbl>
      <w:tblPr>
        <w:tblW w:w="10014" w:type="dxa"/>
        <w:jc w:val="left"/>
        <w:tblInd w:w="0" w:type="dxa"/>
        <w:tblLayout w:type="fixed"/>
        <w:tblCellMar>
          <w:top w:w="28" w:type="dxa"/>
          <w:left w:w="28" w:type="dxa"/>
          <w:bottom w:w="28" w:type="dxa"/>
          <w:right w:w="28" w:type="dxa"/>
        </w:tblCellMar>
      </w:tblPr>
      <w:tblGrid>
        <w:gridCol w:w="1429"/>
        <w:gridCol w:w="1256"/>
        <w:gridCol w:w="1260"/>
        <w:gridCol w:w="109"/>
        <w:gridCol w:w="109"/>
        <w:gridCol w:w="109"/>
        <w:gridCol w:w="375"/>
        <w:gridCol w:w="720"/>
        <w:gridCol w:w="210"/>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Intangible Asset Future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Remainder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2028</w:t>
            </w:r>
          </w:p>
        </w:tc>
      </w:tr>
      <w:tr>
        <w:trPr/>
        <w:tc>
          <w:tcPr>
            <w:tcW w:w="3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Non-competition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Franchise agreements and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7. Investments in Nonconsolidated Affiliates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Investments in joint ventures that are not consolidated, nor recorded at cost, are accounted for using the equity method of accounting as prescribed in ASC 323, "</w:t>
      </w:r>
      <w:r>
        <w:rPr>
          <w:rFonts w:ascii="Times New Roman;sans-serif" w:hAnsi="Times New Roman;sans-serif"/>
          <w:b w:val="false"/>
          <w:i/>
          <w:color w:val="000000"/>
          <w:sz w:val="20"/>
        </w:rPr>
        <w:t>Investments - Equity Method and Joint Ventures</w:t>
      </w:r>
      <w:r>
        <w:rPr>
          <w:rFonts w:ascii="Times New Roman;sans-serif" w:hAnsi="Times New Roman;sans-serif"/>
          <w:b w:val="false"/>
          <w:color w:val="000000"/>
          <w:sz w:val="20"/>
        </w:rPr>
        <w:t>." Investments in nonconsolidated affiliates are recorded within Other assets, net on the Consolidated Balance Sheets. Equity income and loss are recorded in Income from nonconsolidated affiliates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Sungenia Joint Venture ("Sungenia JV")</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and December 31, 2023, we had a 50.0% ownership interest in Sungenia JV, a joint venture formed between us and Ingenia Communities Group (ASX:INA) ("Ingenia") in November 2018, to establish and grow a manufactured housing community development program in Australia.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GTSC LLC </w:t>
      </w:r>
      <w:r>
        <w:rPr>
          <w:rFonts w:ascii="Times New Roman;sans-serif" w:hAnsi="Times New Roman;sans-serif"/>
          <w:b w:val="false"/>
          <w:color w:val="000000"/>
          <w:sz w:val="20"/>
        </w:rPr>
        <w:t>(</w:t>
      </w:r>
      <w:r>
        <w:rPr>
          <w:rFonts w:ascii="Times New Roman;sans-serif" w:hAnsi="Times New Roman;sans-serif"/>
          <w:b w:val="false"/>
          <w:i/>
          <w:color w:val="000000"/>
          <w:sz w:val="20"/>
        </w:rPr>
        <w:t>"GTSC"</w:t>
      </w:r>
      <w:r>
        <w:rPr>
          <w:rFonts w:ascii="Times New Roman;sans-serif" w:hAnsi="Times New Roman;sans-serif"/>
          <w:b w:val="false"/>
          <w:color w:val="000000"/>
          <w:sz w:val="2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and December 31, 2023, we had a 40.0% ownership interest in GTSC, which engages in acquiring, holding and selling loans secured, directly or indirectly, by manufactured homes located in our communities.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SV Lift, LLC ("SV Lift")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and December 31, 2023, we had a 50.0% ownership interest in SV Lift, which owns, operates and leases an aircraft.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 balance in each nonconsolidated affiliate was as follows (in millions):</w:t>
      </w:r>
    </w:p>
    <w:p>
      <w:pPr>
        <w:pStyle w:val="TextBody"/>
        <w:bidi w:val="0"/>
        <w:spacing w:before="0" w:after="0"/>
        <w:jc w:val="both"/>
        <w:rPr/>
      </w:pPr>
      <w:r>
        <w:rPr/>
      </w:r>
    </w:p>
    <w:tbl>
      <w:tblPr>
        <w:tblW w:w="5723" w:type="dxa"/>
        <w:jc w:val="center"/>
        <w:tblInd w:w="0" w:type="dxa"/>
        <w:tblLayout w:type="fixed"/>
        <w:tblCellMar>
          <w:top w:w="28" w:type="dxa"/>
          <w:left w:w="28" w:type="dxa"/>
          <w:bottom w:w="28" w:type="dxa"/>
          <w:right w:w="28" w:type="dxa"/>
        </w:tblCellMar>
      </w:tblPr>
      <w:tblGrid>
        <w:gridCol w:w="718"/>
        <w:gridCol w:w="629"/>
        <w:gridCol w:w="633"/>
        <w:gridCol w:w="109"/>
        <w:gridCol w:w="109"/>
        <w:gridCol w:w="109"/>
        <w:gridCol w:w="351"/>
        <w:gridCol w:w="997"/>
        <w:gridCol w:w="197"/>
        <w:gridCol w:w="109"/>
        <w:gridCol w:w="109"/>
        <w:gridCol w:w="109"/>
        <w:gridCol w:w="334"/>
        <w:gridCol w:w="948"/>
        <w:gridCol w:w="262"/>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Sungenia JV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GTSC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SV Lift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121.0 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118.9 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72465"/>
                <wp:effectExtent l="0" t="0" r="0" b="0"/>
                <wp:wrapNone/>
                <wp:docPr id="17" name="Frame1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 (loss) from each nonconsolidated affiliate is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9"/>
        <w:gridCol w:w="1064"/>
        <w:gridCol w:w="1067"/>
        <w:gridCol w:w="109"/>
        <w:gridCol w:w="109"/>
        <w:gridCol w:w="109"/>
        <w:gridCol w:w="379"/>
        <w:gridCol w:w="786"/>
        <w:gridCol w:w="211"/>
        <w:gridCol w:w="109"/>
        <w:gridCol w:w="109"/>
        <w:gridCol w:w="109"/>
        <w:gridCol w:w="387"/>
        <w:gridCol w:w="773"/>
        <w:gridCol w:w="216"/>
        <w:gridCol w:w="109"/>
        <w:gridCol w:w="109"/>
        <w:gridCol w:w="109"/>
        <w:gridCol w:w="379"/>
        <w:gridCol w:w="786"/>
        <w:gridCol w:w="211"/>
        <w:gridCol w:w="109"/>
        <w:gridCol w:w="109"/>
        <w:gridCol w:w="109"/>
        <w:gridCol w:w="376"/>
        <w:gridCol w:w="750"/>
        <w:gridCol w:w="303"/>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334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color w:val="000000"/>
                <w:sz w:val="17"/>
              </w:rPr>
            </w:pPr>
            <w:r>
              <w:rPr>
                <w:rFonts w:ascii="Times New Roman;sans-serif" w:hAnsi="Times New Roman;sans-serif"/>
                <w:b/>
                <w:color w:val="000000"/>
                <w:sz w:val="17"/>
              </w:rPr>
              <w:t>Income / (Loss) from Nonconsolidated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3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7"/>
              </w:rPr>
              <w:t>RezPlot Systems LLC equity loss</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Sungenia JV equity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GTSC equity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SV Lift equity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Income / (Loss) from Nonconsolidated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Represents an RV reservation software technology company, operating under the Campspot brand, which we invested into in January 2019 and disposed of our ownership interest in December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Sungenia JV investment balance is as follows (in millions):</w:t>
      </w:r>
    </w:p>
    <w:p>
      <w:pPr>
        <w:pStyle w:val="TextBody"/>
        <w:bidi w:val="0"/>
        <w:spacing w:before="0" w:after="0"/>
        <w:jc w:val="both"/>
        <w:rPr/>
      </w:pPr>
      <w:r>
        <w:rPr/>
      </w:r>
    </w:p>
    <w:tbl>
      <w:tblPr>
        <w:tblW w:w="6217" w:type="dxa"/>
        <w:jc w:val="left"/>
        <w:tblInd w:w="0" w:type="dxa"/>
        <w:tblLayout w:type="fixed"/>
        <w:tblCellMar>
          <w:top w:w="28" w:type="dxa"/>
          <w:left w:w="28" w:type="dxa"/>
          <w:bottom w:w="28" w:type="dxa"/>
          <w:right w:w="28" w:type="dxa"/>
        </w:tblCellMar>
      </w:tblPr>
      <w:tblGrid>
        <w:gridCol w:w="895"/>
        <w:gridCol w:w="788"/>
        <w:gridCol w:w="791"/>
        <w:gridCol w:w="109"/>
        <w:gridCol w:w="109"/>
        <w:gridCol w:w="109"/>
        <w:gridCol w:w="392"/>
        <w:gridCol w:w="934"/>
        <w:gridCol w:w="218"/>
        <w:gridCol w:w="109"/>
        <w:gridCol w:w="109"/>
        <w:gridCol w:w="109"/>
        <w:gridCol w:w="371"/>
        <w:gridCol w:w="883"/>
        <w:gridCol w:w="291"/>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Beginning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Cumulative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75.3 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56.8 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GTSC investment balance is as follows (in millions):</w:t>
      </w:r>
    </w:p>
    <w:p>
      <w:pPr>
        <w:pStyle w:val="TextBody"/>
        <w:bidi w:val="0"/>
        <w:spacing w:before="0" w:after="0"/>
        <w:jc w:val="both"/>
        <w:rPr/>
      </w:pPr>
      <w:r>
        <w:rPr/>
      </w:r>
    </w:p>
    <w:tbl>
      <w:tblPr>
        <w:tblW w:w="5347"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392"/>
        <w:gridCol w:w="934"/>
        <w:gridCol w:w="218"/>
        <w:gridCol w:w="109"/>
        <w:gridCol w:w="109"/>
        <w:gridCol w:w="109"/>
        <w:gridCol w:w="371"/>
        <w:gridCol w:w="883"/>
        <w:gridCol w:w="291"/>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Beginning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(20.7)</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Fair value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60.4 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 xml:space="preserve">8. Consolidated Variable Interest Entities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Operating Partnership</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consolidate the Operating Partnership under the guidance set forth in ASC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We evaluated whether the Operating Partnership met the criteria for classification as a variable interest entity ("VIE") or, alternatively, as a voting interest entity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Consolidated VIEs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consolidate Sun NG Cisco Grove RV LLC, Sun NG Coyote Ranch RV LLC, Sun NG Kittatinny RV LLC, Sun NG River Beach LLC, Sun NG Beaver Brook LLC, Solar Energy Project LLC, Solar Energy Project CA II LLC and Solar Energy Project III LLC under the guidance set forth in ASC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We concluded that each entity is a VIE where we are the primary beneficiary, as we have the power to direct the significant activities of and absorb the significant losses and receive the significant benefits from each entity. Refer to Note 10, "Equity and Temporary Equity," for additional information on consolidated VIEs.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72465"/>
                <wp:effectExtent l="0" t="0" r="0" b="0"/>
                <wp:wrapNone/>
                <wp:docPr id="18" name="Frame1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Sun NG Cisco Grove RV LLC, Sun NG Coyote Ranch RV LLC, </w:t>
      </w:r>
      <w:r>
        <w:rPr>
          <w:rFonts w:ascii="Times New Roman;sans-serif" w:hAnsi="Times New Roman;sans-serif"/>
          <w:b w:val="false"/>
          <w:color w:val="000000"/>
          <w:sz w:val="20"/>
        </w:rPr>
        <w:t>S</w:t>
      </w:r>
      <w:r>
        <w:rPr>
          <w:rFonts w:ascii="Times New Roman;sans-serif" w:hAnsi="Times New Roman;sans-serif"/>
          <w:b w:val="false"/>
          <w:i/>
          <w:color w:val="000000"/>
          <w:sz w:val="20"/>
        </w:rPr>
        <w:t xml:space="preserve">un NG Kittatinny RV LLC and Sun NG River Beach RV LLC </w:t>
      </w:r>
      <w:r>
        <w:rPr>
          <w:rFonts w:ascii="Times New Roman;sans-serif" w:hAnsi="Times New Roman;sans-serif"/>
          <w:b w:val="false"/>
          <w:color w:val="000000"/>
          <w:sz w:val="20"/>
        </w:rPr>
        <w:t>were formed in December 2023 and Sun NG Beaver Brook RV LLC was formed in September 2022 to engage in the sourcing, due diligence, acquisition, management, construction, leasing and disposition of certain RV parks and resorts (collectively, "the Sun NG Resorts joint ventures"). The table below shows their respective ownership percentages as of September 30, 2024, representing the common equity interests:</w:t>
      </w:r>
    </w:p>
    <w:p>
      <w:pPr>
        <w:pStyle w:val="TextBody"/>
        <w:bidi w:val="0"/>
        <w:spacing w:before="0" w:after="0"/>
        <w:jc w:val="both"/>
        <w:rPr/>
      </w:pPr>
      <w:r>
        <w:rPr/>
      </w:r>
    </w:p>
    <w:tbl>
      <w:tblPr>
        <w:tblW w:w="5319" w:type="dxa"/>
        <w:jc w:val="left"/>
        <w:tblInd w:w="0" w:type="dxa"/>
        <w:tblLayout w:type="fixed"/>
        <w:tblCellMar>
          <w:top w:w="28" w:type="dxa"/>
          <w:left w:w="28" w:type="dxa"/>
          <w:bottom w:w="28" w:type="dxa"/>
          <w:right w:w="28" w:type="dxa"/>
        </w:tblCellMar>
      </w:tblPr>
      <w:tblGrid>
        <w:gridCol w:w="840"/>
        <w:gridCol w:w="740"/>
        <w:gridCol w:w="744"/>
        <w:gridCol w:w="249"/>
        <w:gridCol w:w="249"/>
        <w:gridCol w:w="551"/>
        <w:gridCol w:w="109"/>
        <w:gridCol w:w="109"/>
        <w:gridCol w:w="109"/>
        <w:gridCol w:w="348"/>
        <w:gridCol w:w="348"/>
        <w:gridCol w:w="923"/>
      </w:tblGrid>
      <w:tr>
        <w:trPr/>
        <w:tc>
          <w:tcPr>
            <w:tcW w:w="8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Sun 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Third Party Interest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Sun NG Cisco Grove RV LLC</w:t>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95.8 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Sun NG Coyote Ranch RV LLC</w:t>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Sun NG Kittatinny RV LLC</w:t>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Sun NG River Beach RV LLC</w:t>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Sun NG Beaver Brook RV LLC</w:t>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assets and liabilities of our consolidated VIEs after eliminations, with the exception of the Operating Partnership, included in our Consolidated Balance Sheets (in millions):</w:t>
      </w:r>
    </w:p>
    <w:p>
      <w:pPr>
        <w:pStyle w:val="TextBody"/>
        <w:bidi w:val="0"/>
        <w:spacing w:before="0" w:after="0"/>
        <w:jc w:val="both"/>
        <w:rPr/>
      </w:pPr>
      <w:r>
        <w:rPr/>
      </w:r>
    </w:p>
    <w:tbl>
      <w:tblPr>
        <w:tblW w:w="6401" w:type="dxa"/>
        <w:jc w:val="left"/>
        <w:tblInd w:w="0" w:type="dxa"/>
        <w:tblLayout w:type="fixed"/>
        <w:tblCellMar>
          <w:top w:w="28" w:type="dxa"/>
          <w:left w:w="28" w:type="dxa"/>
          <w:bottom w:w="28" w:type="dxa"/>
          <w:right w:w="28" w:type="dxa"/>
        </w:tblCellMar>
      </w:tblPr>
      <w:tblGrid>
        <w:gridCol w:w="1079"/>
        <w:gridCol w:w="950"/>
        <w:gridCol w:w="956"/>
        <w:gridCol w:w="351"/>
        <w:gridCol w:w="997"/>
        <w:gridCol w:w="197"/>
        <w:gridCol w:w="109"/>
        <w:gridCol w:w="109"/>
        <w:gridCol w:w="109"/>
        <w:gridCol w:w="334"/>
        <w:gridCol w:w="948"/>
        <w:gridCol w:w="262"/>
      </w:tblGrid>
      <w:tr>
        <w:trPr/>
        <w:tc>
          <w:tcPr>
            <w:tcW w:w="107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 net</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intangible assets, net</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135.7 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 and Other Equity</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Mortgage loans payable</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Advanced reservation deposits and rent</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 and accounts payable</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w:t>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27.7 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Temporary equity</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Noncontrolling interests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and Other Equity</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38.4 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related to the consolidated VIEs, with the exception of the Operating Partnership, comprised 0.6% and 0.8% of our consolidated total assets at September 30, 2024 and December 31, 2023, respectively. Total liabilities comprised less than 1.0% of our consolidated total liabilities at September 30, 2024 and December 31, 2023, respectively. Equity Interests and Noncontrolling interests related to the consolidated VIEs, on an absolute basis, comprised less than 1.0% of our consolidated total equity at September 30, 2024 and December 31, 2023,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72465"/>
                <wp:effectExtent l="0" t="0" r="0" b="0"/>
                <wp:wrapNone/>
                <wp:docPr id="19" name="Frame1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9. Debt and Line of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debt, including premiums, discounts and deferred financing costs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00"/>
        <w:gridCol w:w="486"/>
        <w:gridCol w:w="487"/>
        <w:gridCol w:w="226"/>
        <w:gridCol w:w="799"/>
        <w:gridCol w:w="126"/>
        <w:gridCol w:w="109"/>
        <w:gridCol w:w="109"/>
        <w:gridCol w:w="109"/>
        <w:gridCol w:w="224"/>
        <w:gridCol w:w="790"/>
        <w:gridCol w:w="124"/>
        <w:gridCol w:w="109"/>
        <w:gridCol w:w="109"/>
        <w:gridCol w:w="109"/>
        <w:gridCol w:w="353"/>
        <w:gridCol w:w="353"/>
        <w:gridCol w:w="355"/>
        <w:gridCol w:w="125"/>
        <w:gridCol w:w="125"/>
        <w:gridCol w:w="125"/>
        <w:gridCol w:w="338"/>
        <w:gridCol w:w="338"/>
        <w:gridCol w:w="340"/>
        <w:gridCol w:w="109"/>
        <w:gridCol w:w="109"/>
        <w:gridCol w:w="109"/>
        <w:gridCol w:w="354"/>
        <w:gridCol w:w="251"/>
        <w:gridCol w:w="560"/>
        <w:gridCol w:w="114"/>
        <w:gridCol w:w="114"/>
        <w:gridCol w:w="114"/>
        <w:gridCol w:w="333"/>
        <w:gridCol w:w="254"/>
        <w:gridCol w:w="616"/>
      </w:tblGrid>
      <w:tr>
        <w:trPr/>
        <w:tc>
          <w:tcPr>
            <w:tcW w:w="80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Weighted Average </w:t>
              <w:b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Weighted Average </w:t>
              <w:br/>
              <w:t>Interest Rates</w:t>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Secured Debt</w:t>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Mortgage loans payable</w:t>
            </w:r>
            <w:r>
              <w:rPr>
                <w:rFonts w:ascii="Times New Roman;sans-serif" w:hAnsi="Times New Roman;sans-serif"/>
                <w:b w:val="false"/>
                <w:color w:val="000000"/>
                <w:sz w:val="11"/>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3,344.5 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3,478.9 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3.993 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3.994 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Secured borrowings on collateralized receivables</w:t>
            </w:r>
            <w:r>
              <w:rPr>
                <w:rFonts w:ascii="Times New Roman;sans-serif" w:hAnsi="Times New Roman;sans-serif"/>
                <w:b w:val="false"/>
                <w:color w:val="000000"/>
                <w:sz w:val="11"/>
              </w:rPr>
              <w:t>(2)</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8.583 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8.556 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Secured Debt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3,397.3 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3,534.7 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Unsecured Debt</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Senior unsecured notes</w:t>
            </w:r>
            <w:r>
              <w:rPr>
                <w:rFonts w:ascii="Times New Roman;sans-serif" w:hAnsi="Times New Roman;sans-serif"/>
                <w:b w:val="false"/>
                <w:color w:val="000000"/>
                <w:sz w:val="11"/>
              </w:rPr>
              <w:t>(3)</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3.778 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3.375 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7"/>
              </w:rPr>
              <w:t>Line of credit and other debt</w:t>
            </w:r>
            <w:r>
              <w:rPr>
                <w:rFonts w:ascii="Times New Roman;sans-serif" w:hAnsi="Times New Roman;sans-serif"/>
                <w:b w:val="false"/>
                <w:color w:val="000000"/>
                <w:sz w:val="11"/>
              </w:rPr>
              <w:t>(4)</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4.725 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5.428 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Unsecured Debt</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3,927.5 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4,242.6 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Debt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7,324.8 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7,777.3 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4.072 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4.234 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Balances at September 30, 2024 and December 31, 2023 include zero net debt premiums, as of each such date, and $15.8 million and $16.9 million of deferred financing costs, respectively. Weighted average interest rates include the impact of hedge activity.</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Balances at September 30, 2024 and December 31, 2023 include fair value adjustments of $4.0 million and $1.9 million, respectively.</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Balances at September 30, 2024 and December 31, 2023 include $6.5 million of net debt discount, respectively, and $18.0 million and $16.0 million of deferred financing costs, respectively. Weighted average interest rates include the impact of hedge activity.</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Balances at September 30, 2024 and December 31, 2023 include zero and $1.6 million of deferred financing costs, respectively. Weighted average interest rates include the impact of hedge activity.</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Secured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Mortgage term loans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we paid off or paid down the following mortgage term loans during the quarters presented below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04"/>
        <w:gridCol w:w="707"/>
        <w:gridCol w:w="715"/>
        <w:gridCol w:w="109"/>
        <w:gridCol w:w="109"/>
        <w:gridCol w:w="109"/>
        <w:gridCol w:w="337"/>
        <w:gridCol w:w="805"/>
        <w:gridCol w:w="190"/>
        <w:gridCol w:w="109"/>
        <w:gridCol w:w="109"/>
        <w:gridCol w:w="109"/>
        <w:gridCol w:w="338"/>
        <w:gridCol w:w="282"/>
        <w:gridCol w:w="632"/>
        <w:gridCol w:w="109"/>
        <w:gridCol w:w="109"/>
        <w:gridCol w:w="109"/>
        <w:gridCol w:w="695"/>
        <w:gridCol w:w="679"/>
        <w:gridCol w:w="682"/>
        <w:gridCol w:w="109"/>
        <w:gridCol w:w="109"/>
        <w:gridCol w:w="109"/>
        <w:gridCol w:w="545"/>
        <w:gridCol w:w="1047"/>
        <w:gridCol w:w="439"/>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Repayment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Loss on Extinguishment of Debt</w:t>
            </w:r>
          </w:p>
        </w:tc>
      </w:tr>
      <w:tr>
        <w:trPr/>
        <w:tc>
          <w:tcPr>
            <w:tcW w:w="2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4.10 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December 1, 2024 - January 15, 2044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Includes six mortgage term loans, which included two mortgage term loan payoffs and partial pay downs on four pooled mortgage term loans, that were secured by seven properties. The repayments occurred in conjunction with the disposition of real estate assets. Refer to Note 3, "Real Estate Acquisitions and Dispositions,"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we did not enter into any mortgage term loans.</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mortgage term loans, which total $3.3 billion as of September 30, 2024, are secured by 149 properties comprised of 60,389 sites representing approximately $2.6 billion of net book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Secured Borrowings on Collateralized Receivables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5, "Collateralized Receivables and Transfers of Financial Assets," for information on Secured borrowings on collateralized receivables.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72465"/>
                <wp:effectExtent l="0" t="0" r="0" b="0"/>
                <wp:wrapNone/>
                <wp:docPr id="20" name="Frame1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Unsecured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outstanding senior unsecured notes (in millions, except for statistical information). All senior unsecured notes include interest payments on a semi-annual basis in arrears, and are recorded within the Unsecured debt line item on the Consolidated Balance Sheets.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65"/>
        <w:gridCol w:w="1537"/>
        <w:gridCol w:w="1553"/>
        <w:gridCol w:w="109"/>
        <w:gridCol w:w="109"/>
        <w:gridCol w:w="109"/>
        <w:gridCol w:w="267"/>
        <w:gridCol w:w="945"/>
        <w:gridCol w:w="148"/>
        <w:gridCol w:w="109"/>
        <w:gridCol w:w="109"/>
        <w:gridCol w:w="109"/>
        <w:gridCol w:w="295"/>
        <w:gridCol w:w="1041"/>
        <w:gridCol w:w="164"/>
        <w:gridCol w:w="109"/>
        <w:gridCol w:w="109"/>
        <w:gridCol w:w="109"/>
        <w:gridCol w:w="283"/>
        <w:gridCol w:w="999"/>
        <w:gridCol w:w="227"/>
      </w:tblGrid>
      <w:tr>
        <w:trPr/>
        <w:tc>
          <w:tcPr>
            <w:tcW w:w="1765"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4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4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5.5% notes, issued in January 2024 and due in January 2029</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500.0 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5.7% notes, issued in January 2023 and due in January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395.7</w:t>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4.2% notes, issued in April 2022 and due in April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592.6 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2.3% notes, issued in October 2021 and due in November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2.7% notes, issued in June 2021 and October 2021, and due in July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742.4 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2,700.0 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2,675.5 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2,177.5 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In January 2024, the Operating Partnership issued $500.0 million of senior unsecured notes with an interest rate of 5.5% and a five-year term, due January 15, 2029 (the "2029 Notes"). Interest on the 2029 Notes is payable semi-annually in arrears on January 15 and July 15 of each year, beginning on July 15, 2024. The net proceeds from the offering were $495.4 million, after deducting underwriters' discounts and offering expenses. We used the majority of the net proceeds to repay borrowings outstanding under our Senior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Line of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Partnership (as borrower), SUI (as guarantor), and certain lenders are parties to a credit agreement which governs our senior credit facility (the "Senior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March 2024, the aggregate amount of our Senior Credit Facility was $4.2 billion with the ability to upsize the total borrowings by an additional $800.0 million, subject to certain conditions. The aggregate amount under the Senior Credit Facility consisted of the following: (a) a revolving loan in an amount up to $3.05 billion and (b) a term loan facility of $1.15 billion, with the ability to draw funds from the combined facilities in U.S. dollars, pound sterling, euros, Canadian dollars and Australian dollars, subject to certain limitations. The maturity date of the revolving loan facility is April 7, 2026. At our option that maturity date may be extended two additional six-month periods.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we terminated the term loan facility and settled the associated $1.1 billion of borrowings outstanding under the term loan by increasing our borrowings under the revolving loan of the Senior Credit Facility. By terminating the term loan, we reduced our aggregate borrowing capacity under the Senior Credit Facility to $3.05 billion under the revolving loan. During the three months ended March 31, 2024, we recognized a Loss on extinguishment of debt in our Consolidated Statements of Operations of $0.6 million related to the termination of the term loan facility. In June 2024, we amended the Senior Credit Facility to replace the Canadian Dollar Offered Rate with the Canadian Overnight Repo Rate Average ("CORRA") as the benchmark rate for borrowings denominated in Canadian dollars, with no other significant changes to the terms of the Senior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bears interest at a floating rate based on the Adjusted Term Secured Overnight Financing Rate ("SOFR"), the Adjusted Eurocurrency Rate, the Australian Bank Bill Swap Bid Rate ("BBSY"), the Daily Sterling Overnight Index Average ("SONIA") Rate or the CORRA, as applicable, plus a margin, in all cases, which can range from 0.725% to 1.6%, subject to certain adjustments. As of September 30, 2024, the margins based on our credit ratings were 0.85% on the revolving loan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lenders' option, the Senior Credit Facility will become immediately due and payable upon an event of default under the Credit Facility Agreement. We had $1.3 billion and $944.1 million of borrowings outstanding under the revolving loan as of September 30, 2024 and December 31, 2023, respectively. The balance is recorded in Unsecured debt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provides us with the ability to issue letters of credit. Our issuance of letters of credit does not increase our borrowings outstanding under the Senior Credit Facility, but does reduce the borrowing amount available. We had $11.3 million and $26.2 million of outstanding letters of credit at September 30, 2024 and December 31, 2023,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72465"/>
                <wp:effectExtent l="0" t="0" r="0" b="0"/>
                <wp:wrapNone/>
                <wp:docPr id="21" name="Frame2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Term Loan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2019, we assumed a $58.0 million secured term loan facility related to an acquisition. The term loan initially had a four-year term ending October 29, 2023, and bore interest at a floating rate based on the Eurodollar rate or Prime rate plus a margin ranging from 1.2% to 2.05%. Effective July 1, 2021, we amended the agreement to release the associated collateral, extend the term loan facility maturity date to October 29, 2025 and adjust the interest rate margin to a range from 0.8% to 1.6%. In August 2022, we amended the unsecured term loan facility to transition from the Eurodollar rate to SOFR. During the three months ended June 30, 2024, we settled the term loan facility and had no balance outstanding as of September 30, 2024. The outstanding balance was $7.8 million at December 31, 2023 and was recorded in Unsecured debt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mortgage term loans, senior unsecured notes and Senior Credit Facility are subject to various financial and other covenants. The most restrictive covenants are pursuant to (a) the terms of the Senior Credit Facility, which contains a maximum leverage ratio, minimum fixed charge coverage ratio and maximum secured leverage ratio, and (b) the terms of the senior unsecured notes, which contain a total debt to total assets ratio, secured debt to total assets ratio, consolidated income available for debt service to debt service ratio and unencumbered total asset value to unsecured debt ratio. At September 30, 2024, we were in compliance with all financial 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or any of our other subsidiaries or any other person or entity.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Capitalized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interest during the construction and development of our communities. Capitalized interest costs associated with construction and development activities during the three and nine months ended September 30, 2024 and 2023 were as follows (in millions):</w:t>
      </w:r>
    </w:p>
    <w:p>
      <w:pPr>
        <w:pStyle w:val="TextBody"/>
        <w:bidi w:val="0"/>
        <w:spacing w:before="0" w:after="0"/>
        <w:jc w:val="both"/>
        <w:rPr/>
      </w:pPr>
      <w:r>
        <w:rPr/>
      </w:r>
    </w:p>
    <w:tbl>
      <w:tblPr>
        <w:tblW w:w="8939"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43"/>
        <w:gridCol w:w="851"/>
        <w:gridCol w:w="250"/>
        <w:gridCol w:w="109"/>
        <w:gridCol w:w="109"/>
        <w:gridCol w:w="109"/>
        <w:gridCol w:w="443"/>
        <w:gridCol w:w="851"/>
        <w:gridCol w:w="250"/>
        <w:gridCol w:w="109"/>
        <w:gridCol w:w="109"/>
        <w:gridCol w:w="109"/>
        <w:gridCol w:w="443"/>
        <w:gridCol w:w="851"/>
        <w:gridCol w:w="250"/>
        <w:gridCol w:w="109"/>
        <w:gridCol w:w="109"/>
        <w:gridCol w:w="109"/>
        <w:gridCol w:w="429"/>
        <w:gridCol w:w="823"/>
        <w:gridCol w:w="338"/>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7"/>
              </w:rPr>
            </w:pPr>
            <w:r>
              <w:rPr>
                <w:rFonts w:ascii="Times New Roman;sans-serif" w:hAnsi="Times New Roman;sans-serif"/>
                <w:b w:val="false"/>
                <w:color w:val="000000"/>
                <w:sz w:val="17"/>
              </w:rPr>
              <w:t>Interest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72465"/>
                <wp:effectExtent l="0" t="0" r="0" b="0"/>
                <wp:wrapNone/>
                <wp:docPr id="22" name="Frame2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Equity and Temporary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Temporary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Redeemable Preferred OP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Temporary equity includes preferred securities that are redeemable for cash at the holder's option or upon the occurrence of an event that is not solely within our control based on a fixed or determinable price. These securities are not mandatorily redeemable for cash nor do they contain a fixed maturity date. The following table sets forth the various series of redeemable preferred OP units that were outstanding as of September 30, 2024 and December 31, 2023 and the related terms, and summarizes the balance included within Temporary equity on our Consolidated Balance Sheets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49"/>
        <w:gridCol w:w="307"/>
        <w:gridCol w:w="309"/>
        <w:gridCol w:w="109"/>
        <w:gridCol w:w="109"/>
        <w:gridCol w:w="109"/>
        <w:gridCol w:w="536"/>
        <w:gridCol w:w="339"/>
        <w:gridCol w:w="340"/>
        <w:gridCol w:w="109"/>
        <w:gridCol w:w="109"/>
        <w:gridCol w:w="109"/>
        <w:gridCol w:w="273"/>
        <w:gridCol w:w="273"/>
        <w:gridCol w:w="274"/>
        <w:gridCol w:w="109"/>
        <w:gridCol w:w="109"/>
        <w:gridCol w:w="109"/>
        <w:gridCol w:w="239"/>
        <w:gridCol w:w="235"/>
        <w:gridCol w:w="524"/>
        <w:gridCol w:w="109"/>
        <w:gridCol w:w="109"/>
        <w:gridCol w:w="109"/>
        <w:gridCol w:w="338"/>
        <w:gridCol w:w="338"/>
        <w:gridCol w:w="339"/>
        <w:gridCol w:w="109"/>
        <w:gridCol w:w="109"/>
        <w:gridCol w:w="109"/>
        <w:gridCol w:w="365"/>
        <w:gridCol w:w="365"/>
        <w:gridCol w:w="366"/>
        <w:gridCol w:w="109"/>
        <w:gridCol w:w="109"/>
        <w:gridCol w:w="109"/>
        <w:gridCol w:w="200"/>
        <w:gridCol w:w="570"/>
        <w:gridCol w:w="112"/>
        <w:gridCol w:w="109"/>
        <w:gridCol w:w="109"/>
        <w:gridCol w:w="109"/>
        <w:gridCol w:w="198"/>
        <w:gridCol w:w="563"/>
        <w:gridCol w:w="164"/>
      </w:tblGrid>
      <w:tr>
        <w:trP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OP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Exchange Rate</w:t>
            </w:r>
            <w:r>
              <w:rPr>
                <w:rFonts w:ascii="Times New Roman;sans-serif" w:hAnsi="Times New Roman;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Annual Distribution Rate</w:t>
            </w:r>
            <w:r>
              <w:rPr>
                <w:rFonts w:ascii="Times New Roman;sans-serif" w:hAnsi="Times New Roman;sans-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Cash Redemption</w:t>
            </w:r>
            <w:r>
              <w:rPr>
                <w:rFonts w:ascii="Times New Roman;sans-serif" w:hAnsi="Times New Roman;sans-serif"/>
                <w:b/>
                <w:color w:val="000000"/>
                <w:sz w:val="11"/>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Redemption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9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D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488,958 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F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90,000 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 after earlier of May 14, 2025 or death of holder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G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205,812 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 after earlier of September 30, 2025 or death of holder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H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581,229 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 after earlier of October 30, 2025 or death of holder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J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236,000 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During the 30-day period following a change of control of the Company or any time after April 21,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K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1,000,000 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Within 60 days after March 23,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2,601,999 </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Exchange rates are subject to adjustment upon stock splits, recapitalizations and similar events. The exchange rates of certain series of OP units are approximated to four decimal places.</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Distributions are payable on the issue price of each OP unit, which is $100.00 per unit for all these preferred OP units.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The redemption price for each preferred OP unit redeemed will be equal to its issue price plus all accrued but unpaid distributions.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72465"/>
                <wp:effectExtent l="0" t="0" r="0" b="0"/>
                <wp:wrapNone/>
                <wp:docPr id="23" name="Frame2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Redeemable Equity Interests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redeemable equity interests included in Temporary equity on our Consolidated Balance Sheets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03"/>
        <w:gridCol w:w="507"/>
        <w:gridCol w:w="509"/>
        <w:gridCol w:w="109"/>
        <w:gridCol w:w="109"/>
        <w:gridCol w:w="109"/>
        <w:gridCol w:w="1701"/>
        <w:gridCol w:w="1693"/>
        <w:gridCol w:w="1714"/>
        <w:gridCol w:w="109"/>
        <w:gridCol w:w="109"/>
        <w:gridCol w:w="109"/>
        <w:gridCol w:w="303"/>
        <w:gridCol w:w="722"/>
        <w:gridCol w:w="170"/>
        <w:gridCol w:w="109"/>
        <w:gridCol w:w="109"/>
        <w:gridCol w:w="109"/>
        <w:gridCol w:w="286"/>
        <w:gridCol w:w="683"/>
        <w:gridCol w:w="233"/>
      </w:tblGrid>
      <w:tr>
        <w:trPr/>
        <w:tc>
          <w:tcPr>
            <w:tcW w:w="70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Equity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1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Solar Energy Project CA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 joint venture that operates and maintains solar energy equipment in select California communities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Solar Energy Project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 joint venture that operates and maintains solar energy equipment in select California communities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Solar Energy Project III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 joint venture that operates and maintains solar energy equipment in select Arizona and California communities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Other stand-alone joint ventures</w:t>
            </w:r>
            <w:r>
              <w:rPr>
                <w:rFonts w:ascii="Times New Roman;sans-serif" w:hAnsi="Times New Roman;sans-serif"/>
                <w:b w:val="false"/>
                <w:color w:val="000000"/>
                <w:sz w:val="11"/>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 connection with investments in land for future development and joint ventures that operate portfolios of RV communities in the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Refer to Note 8, "Consolidated Variable Interest Entities," for more information on the consolidated VIEs.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During the three months ended September 30, 2024, we sold two development parcels of land in the U.S. and settled the redeemable equity interest of $0.2 million associated with the land parcels. Refer to Note 3, "Real Estate Acquisitions and Dispositions," for additional details related to the sale.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Permanent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Universal Shelf Registration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we filed a new universal shelf registration statement on Form S-3 with the SEC. The shelf registration statement was deemed automatically effective and provides for the registration of unspecified amounts of equity and debt securities. The authorized number of shares of our capital stock is 380,000,000 shares, of which 360,000,000 shares are common stock and 20,000,000 shares are preferred stock. As of September 30, 2024, we had 127,396,596 shares of common stock issued and outstanding and no shares of preferred stock were issued and outstanding.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At the Market Offering Sales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May 2024, we renewed our 2021 At the Market Offering Sales Agreement (the "ATM") with certain sales agents and forward sellers pursuant to which we may sell, from time to time, up to an aggregate gross sales price of $1.25 billion of our common stock. During the three months ended September 30, 2024, we entered into forward sale agreements with respect to 2,713,571 shares of common stock under the ATM. We completed the physical settlement of these shares for an aggregate gross sales price of $364.3 million and received net proceeds of $361.7 million, or $133.31 per share. The net proceeds were used to repay borrowings outstanding under the Senior Credit Facility. Through September 30, 2024, we had entered into and settled forward sales agreements under the ATM for an aggregate gross sales price of $524.8 million, leaving $725.2 million available for sale under the ATM.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Issuances of Common OP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and 2023, we issued common OP units in connection with the acquisition of certain properties:</w:t>
      </w:r>
    </w:p>
    <w:p>
      <w:pPr>
        <w:pStyle w:val="TextBody"/>
        <w:bidi w:val="0"/>
        <w:spacing w:before="0" w:after="0"/>
        <w:jc w:val="both"/>
        <w:rPr/>
      </w:pPr>
      <w:r>
        <w:rPr/>
      </w:r>
    </w:p>
    <w:tbl>
      <w:tblPr>
        <w:tblW w:w="8991" w:type="dxa"/>
        <w:jc w:val="left"/>
        <w:tblInd w:w="0" w:type="dxa"/>
        <w:tblLayout w:type="fixed"/>
        <w:tblCellMar>
          <w:top w:w="28" w:type="dxa"/>
          <w:left w:w="28" w:type="dxa"/>
          <w:bottom w:w="28" w:type="dxa"/>
          <w:right w:w="28" w:type="dxa"/>
        </w:tblCellMar>
      </w:tblPr>
      <w:tblGrid>
        <w:gridCol w:w="455"/>
        <w:gridCol w:w="400"/>
        <w:gridCol w:w="405"/>
        <w:gridCol w:w="109"/>
        <w:gridCol w:w="109"/>
        <w:gridCol w:w="109"/>
        <w:gridCol w:w="649"/>
        <w:gridCol w:w="649"/>
        <w:gridCol w:w="652"/>
        <w:gridCol w:w="109"/>
        <w:gridCol w:w="109"/>
        <w:gridCol w:w="109"/>
        <w:gridCol w:w="667"/>
        <w:gridCol w:w="1587"/>
        <w:gridCol w:w="371"/>
        <w:gridCol w:w="109"/>
        <w:gridCol w:w="109"/>
        <w:gridCol w:w="109"/>
        <w:gridCol w:w="636"/>
        <w:gridCol w:w="636"/>
        <w:gridCol w:w="903"/>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OP Units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Fair Value at Issuance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Related Acquisition</w:t>
            </w:r>
          </w:p>
        </w:tc>
      </w:tr>
      <w:tr>
        <w:trPr/>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September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243,273 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31.5 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Village Yacht Harbor</w:t>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April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19,326 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Port Milford</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March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4,452 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Land for development</w:t>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January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31,289 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Fox Run</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AOCI attributable to SUI common shareholders is separately presented on our Consolidated Balance Sheets as a component of total SUI shareholders' equity. Other Comprehensive Income ("OCI") attributable to noncontrolling interests is allocated to, and included within, Noncontrolling interests on our Consolidated Balance Sheets. Refer to the Statements of Comprehensive Income / (Loss) for complete details related to OCI activity in the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72465"/>
                <wp:effectExtent l="0" t="0" r="0" b="0"/>
                <wp:wrapNone/>
                <wp:docPr id="24" name="Frame2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AOCI attributable to SUI common shareholders consisted of the following, net of tax (in millions):</w:t>
      </w:r>
    </w:p>
    <w:p>
      <w:pPr>
        <w:pStyle w:val="TextBody"/>
        <w:bidi w:val="0"/>
        <w:spacing w:before="0" w:after="0"/>
        <w:jc w:val="both"/>
        <w:rPr/>
      </w:pPr>
      <w:r>
        <w:rPr/>
      </w:r>
    </w:p>
    <w:tbl>
      <w:tblPr>
        <w:tblW w:w="7133" w:type="dxa"/>
        <w:jc w:val="left"/>
        <w:tblInd w:w="0" w:type="dxa"/>
        <w:tblLayout w:type="fixed"/>
        <w:tblCellMar>
          <w:top w:w="28" w:type="dxa"/>
          <w:left w:w="28" w:type="dxa"/>
          <w:bottom w:w="28" w:type="dxa"/>
          <w:right w:w="28" w:type="dxa"/>
        </w:tblCellMar>
      </w:tblPr>
      <w:tblGrid>
        <w:gridCol w:w="1225"/>
        <w:gridCol w:w="1080"/>
        <w:gridCol w:w="1084"/>
        <w:gridCol w:w="109"/>
        <w:gridCol w:w="109"/>
        <w:gridCol w:w="109"/>
        <w:gridCol w:w="392"/>
        <w:gridCol w:w="933"/>
        <w:gridCol w:w="220"/>
        <w:gridCol w:w="109"/>
        <w:gridCol w:w="109"/>
        <w:gridCol w:w="109"/>
        <w:gridCol w:w="340"/>
        <w:gridCol w:w="938"/>
        <w:gridCol w:w="267"/>
      </w:tblGrid>
      <w:tr>
        <w:trPr/>
        <w:tc>
          <w:tcPr>
            <w:tcW w:w="122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foreign currency translation gains /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(29.5)</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net gains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33.9 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Interests - Common and Preferred OP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common and preferred OP units included within Noncontrolling interests on our Consolidated Balance Sheets (in millions, except for units and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61"/>
        <w:gridCol w:w="317"/>
        <w:gridCol w:w="319"/>
        <w:gridCol w:w="109"/>
        <w:gridCol w:w="109"/>
        <w:gridCol w:w="109"/>
        <w:gridCol w:w="537"/>
        <w:gridCol w:w="345"/>
        <w:gridCol w:w="346"/>
        <w:gridCol w:w="109"/>
        <w:gridCol w:w="109"/>
        <w:gridCol w:w="109"/>
        <w:gridCol w:w="277"/>
        <w:gridCol w:w="277"/>
        <w:gridCol w:w="278"/>
        <w:gridCol w:w="109"/>
        <w:gridCol w:w="109"/>
        <w:gridCol w:w="109"/>
        <w:gridCol w:w="251"/>
        <w:gridCol w:w="251"/>
        <w:gridCol w:w="559"/>
        <w:gridCol w:w="109"/>
        <w:gridCol w:w="109"/>
        <w:gridCol w:w="109"/>
        <w:gridCol w:w="330"/>
        <w:gridCol w:w="330"/>
        <w:gridCol w:w="331"/>
        <w:gridCol w:w="109"/>
        <w:gridCol w:w="109"/>
        <w:gridCol w:w="109"/>
        <w:gridCol w:w="332"/>
        <w:gridCol w:w="332"/>
        <w:gridCol w:w="333"/>
        <w:gridCol w:w="109"/>
        <w:gridCol w:w="109"/>
        <w:gridCol w:w="109"/>
        <w:gridCol w:w="204"/>
        <w:gridCol w:w="580"/>
        <w:gridCol w:w="114"/>
        <w:gridCol w:w="109"/>
        <w:gridCol w:w="109"/>
        <w:gridCol w:w="109"/>
        <w:gridCol w:w="216"/>
        <w:gridCol w:w="513"/>
        <w:gridCol w:w="183"/>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9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OP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Exchange Rate</w:t>
            </w:r>
            <w:r>
              <w:rPr>
                <w:rFonts w:ascii="Times New Roman;sans-serif" w:hAnsi="Times New Roman;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Annual Distribution Rate</w:t>
            </w:r>
            <w:r>
              <w:rPr>
                <w:rFonts w:ascii="Times New Roman;sans-serif" w:hAnsi="Times New Roman;sans-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Cash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Redemption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9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2,921,938 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Same distribution rate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177,581 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A-3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40,268 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C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296,745 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E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80,000 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L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3,536,532 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90.2 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Exchange rates are subject to adjustment upon stock splits, recapitalizations and similar events. The exchange rates of certain series of OP units are approximated to four decimal places.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Distributions are payable on the issue price of each OP unit which is $100.00 per unit for all these preferred OP units.</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Conversions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Conversions to Common Stock and Common OP Units</w:t>
      </w:r>
      <w:r>
        <w:rPr>
          <w:color w:val="000000"/>
        </w:rPr>
        <w:t xml:space="preserve"> </w:t>
      </w:r>
      <w:r>
        <w:rPr>
          <w:rFonts w:ascii="Times New Roman;sans-serif" w:hAnsi="Times New Roman;sans-serif"/>
          <w:b w:val="false"/>
          <w:color w:val="000000"/>
          <w:sz w:val="20"/>
        </w:rPr>
        <w:t>- Subject to certain limitations, holders can convert certain series of OP units to shares of our common stock and to common OP units at any time. Below is the activity of conversions during the nine months ended September 30, 2024 and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10"/>
        <w:gridCol w:w="359"/>
        <w:gridCol w:w="364"/>
        <w:gridCol w:w="109"/>
        <w:gridCol w:w="109"/>
        <w:gridCol w:w="109"/>
        <w:gridCol w:w="363"/>
        <w:gridCol w:w="344"/>
        <w:gridCol w:w="345"/>
        <w:gridCol w:w="109"/>
        <w:gridCol w:w="109"/>
        <w:gridCol w:w="109"/>
        <w:gridCol w:w="429"/>
        <w:gridCol w:w="380"/>
        <w:gridCol w:w="382"/>
        <w:gridCol w:w="125"/>
        <w:gridCol w:w="125"/>
        <w:gridCol w:w="125"/>
        <w:gridCol w:w="405"/>
        <w:gridCol w:w="304"/>
        <w:gridCol w:w="306"/>
        <w:gridCol w:w="109"/>
        <w:gridCol w:w="111"/>
        <w:gridCol w:w="111"/>
        <w:gridCol w:w="111"/>
        <w:gridCol w:w="111"/>
        <w:gridCol w:w="495"/>
        <w:gridCol w:w="380"/>
        <w:gridCol w:w="382"/>
        <w:gridCol w:w="111"/>
        <w:gridCol w:w="111"/>
        <w:gridCol w:w="111"/>
        <w:gridCol w:w="444"/>
        <w:gridCol w:w="332"/>
        <w:gridCol w:w="306"/>
        <w:gridCol w:w="109"/>
        <w:gridCol w:w="109"/>
        <w:gridCol w:w="109"/>
        <w:gridCol w:w="478"/>
        <w:gridCol w:w="316"/>
        <w:gridCol w:w="439"/>
      </w:tblGrid>
      <w:tr>
        <w:trPr/>
        <w:tc>
          <w:tcPr>
            <w:tcW w:w="4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c>
          <w:tcPr>
            <w:tcW w:w="1560" w:type="dxa"/>
            <w:gridSpan w:val="6"/>
            <w:tcBorders/>
          </w:tcPr>
          <w:p>
            <w:pPr>
              <w:pStyle w:val="TableContents"/>
              <w:bidi w:val="0"/>
              <w:spacing w:before="0" w:after="283"/>
              <w:jc w:val="left"/>
              <w:rPr>
                <w:sz w:val="4"/>
                <w:szCs w:val="4"/>
              </w:rPr>
            </w:pPr>
            <w:r>
              <w:rPr>
                <w:sz w:val="4"/>
                <w:szCs w:val="4"/>
              </w:rPr>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1560" w:type="dxa"/>
            <w:gridSpan w:val="6"/>
            <w:tcBorders/>
          </w:tcPr>
          <w:p>
            <w:pPr>
              <w:pStyle w:val="TableContents"/>
              <w:bidi w:val="0"/>
              <w:spacing w:before="0" w:after="283"/>
              <w:jc w:val="left"/>
              <w:rPr>
                <w:sz w:val="4"/>
                <w:szCs w:val="4"/>
              </w:rPr>
            </w:pPr>
            <w:r>
              <w:rPr>
                <w:sz w:val="4"/>
                <w:szCs w:val="4"/>
              </w:rPr>
            </w:r>
          </w:p>
        </w:tc>
      </w:tr>
      <w:tr>
        <w:trPr/>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Conversion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Units / Shares Converted</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Common Stock</w:t>
            </w:r>
            <w:r>
              <w:rPr>
                <w:rFonts w:ascii="Times New Roman;sans-serif" w:hAnsi="Times New Roman;sans-serif"/>
                <w:b/>
                <w:color w:val="000000"/>
                <w:sz w:val="11"/>
              </w:rPr>
              <w:t>(1)</w:t>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Units / Shares Converted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Common Stock</w:t>
            </w:r>
            <w:r>
              <w:rPr>
                <w:rFonts w:ascii="Times New Roman;sans-serif" w:hAnsi="Times New Roman;sans-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Common OP Units</w:t>
            </w:r>
            <w:r>
              <w:rPr>
                <w:rFonts w:ascii="Times New Roman;sans-serif" w:hAnsi="Times New Roman;sans-serif"/>
                <w:b/>
                <w:color w:val="000000"/>
                <w:sz w:val="11"/>
              </w:rPr>
              <w:t>(1)</w:t>
            </w:r>
          </w:p>
        </w:tc>
      </w:tr>
      <w:tr>
        <w:trPr/>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Aspen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943,885 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113,972 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191,223 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80,096 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80,096 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8,848 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8,848 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A-1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2.4390 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24,563 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59,900 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5,404 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13,177 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C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1.1100 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9,103 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10,104 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G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4,898 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3,160 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30,000 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19,353 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H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J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Calculation may yield minor differences due to rounding incorporated in the above numbers.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72465"/>
                <wp:effectExtent l="0" t="0" r="0" b="0"/>
                <wp:wrapNone/>
                <wp:docPr id="25" name="Frame2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Distributions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Distributions declared for the nine months ended September 30, 2024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33"/>
        <w:gridCol w:w="1168"/>
        <w:gridCol w:w="1175"/>
        <w:gridCol w:w="109"/>
        <w:gridCol w:w="109"/>
        <w:gridCol w:w="109"/>
        <w:gridCol w:w="292"/>
        <w:gridCol w:w="292"/>
        <w:gridCol w:w="293"/>
        <w:gridCol w:w="109"/>
        <w:gridCol w:w="109"/>
        <w:gridCol w:w="109"/>
        <w:gridCol w:w="332"/>
        <w:gridCol w:w="332"/>
        <w:gridCol w:w="333"/>
        <w:gridCol w:w="109"/>
        <w:gridCol w:w="109"/>
        <w:gridCol w:w="109"/>
        <w:gridCol w:w="371"/>
        <w:gridCol w:w="882"/>
        <w:gridCol w:w="207"/>
        <w:gridCol w:w="109"/>
        <w:gridCol w:w="109"/>
        <w:gridCol w:w="109"/>
        <w:gridCol w:w="404"/>
        <w:gridCol w:w="1152"/>
        <w:gridCol w:w="331"/>
      </w:tblGrid>
      <w:tr>
        <w:trPr/>
        <w:tc>
          <w:tcPr>
            <w:tcW w:w="133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Common Stock, Common OP units and Restricted Stock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Distribution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Distribution (in Millions)</w:t>
            </w:r>
          </w:p>
        </w:tc>
      </w:tr>
      <w:tr>
        <w:trPr/>
        <w:tc>
          <w:tcPr>
            <w:tcW w:w="3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11. Share-Based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two share-based compensation plans: the Sun Communities, Inc. 2015 Equity Incentive Plan (as amended, the "2015 Equity Incentive Plan") and the First Amended and Restated 2004 Non-Employee Director Option Plan (as amended, the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 Time based awards for directors generally vest over three years. Time based awards for key employees and executives generally vest over five years. Market condition awards for executives generally vest after three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and 2023, shares were granted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01"/>
        <w:gridCol w:w="265"/>
        <w:gridCol w:w="267"/>
        <w:gridCol w:w="109"/>
        <w:gridCol w:w="109"/>
        <w:gridCol w:w="109"/>
        <w:gridCol w:w="371"/>
        <w:gridCol w:w="371"/>
        <w:gridCol w:w="376"/>
        <w:gridCol w:w="109"/>
        <w:gridCol w:w="109"/>
        <w:gridCol w:w="109"/>
        <w:gridCol w:w="830"/>
        <w:gridCol w:w="612"/>
        <w:gridCol w:w="620"/>
        <w:gridCol w:w="109"/>
        <w:gridCol w:w="109"/>
        <w:gridCol w:w="109"/>
        <w:gridCol w:w="414"/>
        <w:gridCol w:w="365"/>
        <w:gridCol w:w="323"/>
        <w:gridCol w:w="109"/>
        <w:gridCol w:w="109"/>
        <w:gridCol w:w="109"/>
        <w:gridCol w:w="350"/>
        <w:gridCol w:w="1154"/>
        <w:gridCol w:w="194"/>
        <w:gridCol w:w="109"/>
        <w:gridCol w:w="109"/>
        <w:gridCol w:w="109"/>
        <w:gridCol w:w="393"/>
        <w:gridCol w:w="331"/>
        <w:gridCol w:w="325"/>
        <w:gridCol w:w="109"/>
        <w:gridCol w:w="109"/>
        <w:gridCol w:w="109"/>
        <w:gridCol w:w="109"/>
        <w:gridCol w:w="109"/>
        <w:gridCol w:w="163"/>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Grant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Vesting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Key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205,540 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132.10 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41,400 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Market Condition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2004 Non-Employee Director Option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129.47 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Key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220,858 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62,800 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82,200 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Market Condition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2004 Non-Employee Director Option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Represents the weighted average fair value per share of the closing price of our common stock on the dates the shares were awarded.</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Represents the weighted average fair value per share of the Monte Carlo simulation fair value price of our market condition awards on the dates the shares were awarded.</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Share-based compensation for restricted stock awards with market conditions is measured based on shares expected to vest using a Monte Carlo simulation to determine fair value.</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Includes 6,000 shares that were deferred under the 2021 Non-Employee Directors Deferred Compensation Plan.</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(5)</w:t>
      </w:r>
      <w:r>
        <w:rPr>
          <w:rFonts w:ascii="Times New Roman;sans-serif" w:hAnsi="Times New Roman;sans-serif"/>
          <w:b w:val="false"/>
          <w:color w:val="000000"/>
          <w:sz w:val="16"/>
        </w:rPr>
        <w:t>Includes 2,000 shares that were deferred under the 2021 Non-Employee Directors Deferred Compensation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vesting requirements for 198,244 and 225,879 restricted shares granted to our executives, directors and employees were satisfied during the nine months ended September 30, 2024 and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the following share-based compensation costs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12"/>
        <w:gridCol w:w="889"/>
        <w:gridCol w:w="895"/>
        <w:gridCol w:w="109"/>
        <w:gridCol w:w="109"/>
        <w:gridCol w:w="109"/>
        <w:gridCol w:w="434"/>
        <w:gridCol w:w="833"/>
        <w:gridCol w:w="245"/>
        <w:gridCol w:w="109"/>
        <w:gridCol w:w="109"/>
        <w:gridCol w:w="109"/>
        <w:gridCol w:w="434"/>
        <w:gridCol w:w="833"/>
        <w:gridCol w:w="245"/>
        <w:gridCol w:w="109"/>
        <w:gridCol w:w="109"/>
        <w:gridCol w:w="109"/>
        <w:gridCol w:w="384"/>
        <w:gridCol w:w="914"/>
        <w:gridCol w:w="215"/>
        <w:gridCol w:w="109"/>
        <w:gridCol w:w="109"/>
        <w:gridCol w:w="109"/>
        <w:gridCol w:w="374"/>
        <w:gridCol w:w="890"/>
        <w:gridCol w:w="300"/>
      </w:tblGrid>
      <w:tr>
        <w:trPr/>
        <w:tc>
          <w:tcPr>
            <w:tcW w:w="101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2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7"/>
              </w:rPr>
              <w:t>Share-based compensation - expensed</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29.4 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Recorded within General and administrative expense on the Consolidated Income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72465"/>
                <wp:effectExtent l="0" t="0" r="0" b="0"/>
                <wp:wrapNone/>
                <wp:docPr id="26" name="Frame2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12. Segment Reporting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ASC 280,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establishes standards for the way that business enterprises report information about operating segments in its financial statements. As described in Note 1, "Basis of Presentation,"</w:t>
      </w:r>
      <w:r>
        <w:rPr>
          <w:color w:val="000000"/>
        </w:rPr>
        <w:t xml:space="preserve"> </w:t>
      </w:r>
      <w:r>
        <w:rPr>
          <w:rFonts w:ascii="Times New Roman;sans-serif" w:hAnsi="Times New Roman;sans-serif"/>
          <w:b w:val="false"/>
          <w:color w:val="000000"/>
          <w:sz w:val="20"/>
        </w:rPr>
        <w:t>effective January 1, 2024, we expanded our organizational structure from three segments, which consisted of (i) manufactured home ("MH") communities, (ii) recreational vehicle ("RV") communities, and (iii) Marinas to add a fourth segment that includes communities in the United Kingdom ("UK"). The new structure reflects how the chief operating decision maker manages the business, makes operating decisions, allocates resources and evaluates operating performance. Beginning with the three months ended March 31, 2024, we are reporting our financial results consistent with our newly realigned operating segments and have recast prior period amounts to conform to the way we internally manage our business and monitor segment performance. Certain reclassifications have been made to the prior period financial statements and related notes in order to conform to the current period presentation. There was no impact to prior period net income, shareholders' equity or cash flows for any of the reclassifications.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four reportable segments are: (i) MH, (ii) RV, (iii) Marina and (iv) UK.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MH segment owns, operates, develops, or has an interest in, a portfolio of MH communities in the U.S., and is in the business of acquiring, operating and developing ground-up MH communities to provide affordable housing solutions to residents. The MH segment in the U.S. also provides manufactured home sales and leasing services to tenants and prospective tenants of our communities.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RV segment owns, operates, develops, or has an interest in, a portfolio of RV communities and is in the business of acquiring, operating and developing ground-up RV communities in the U.S. and Canada. It also provides leasing services for vacation rentals within the RV communities.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Marina segment owns, operates and develops marinas, and is in the business of acquiring and operating marinas in the U.S., with the majority of such marinas concentrated in coastal regions, and others located in various inland regions.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UK segment owns, operates, develops, or has an interest in, a portfolio of communities, referred to as holiday parks, and is in the business of acquiring, operating and developing communities in the United Kingdom. It also provides home sales and associated site license activities to owners and tenants within the communities.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72465"/>
                <wp:effectExtent l="0" t="0" r="0" b="0"/>
                <wp:wrapNone/>
                <wp:docPr id="27" name="Frame2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presentation of segment financial information is summarized as follows (in millions):</w:t>
      </w:r>
    </w:p>
    <w:p>
      <w:pPr>
        <w:pStyle w:val="TextBody"/>
        <w:bidi w:val="0"/>
        <w:spacing w:before="0" w:after="0"/>
        <w:jc w:val="both"/>
        <w:rPr/>
      </w:pPr>
      <w:r>
        <w:rPr/>
      </w:r>
    </w:p>
    <w:tbl>
      <w:tblPr>
        <w:tblW w:w="13239" w:type="dxa"/>
        <w:jc w:val="left"/>
        <w:tblInd w:w="0" w:type="dxa"/>
        <w:tblLayout w:type="fixed"/>
        <w:tblCellMar>
          <w:top w:w="28" w:type="dxa"/>
          <w:left w:w="28" w:type="dxa"/>
          <w:bottom w:w="28" w:type="dxa"/>
          <w:right w:w="28" w:type="dxa"/>
        </w:tblCellMar>
      </w:tblPr>
      <w:tblGrid>
        <w:gridCol w:w="744"/>
        <w:gridCol w:w="258"/>
        <w:gridCol w:w="25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9"/>
        <w:gridCol w:w="678"/>
        <w:gridCol w:w="134"/>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7"/>
        <w:gridCol w:w="672"/>
        <w:gridCol w:w="187"/>
      </w:tblGrid>
      <w:tr>
        <w:trPr/>
        <w:tc>
          <w:tcPr>
            <w:tcW w:w="7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7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925.6 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942.1 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expenses / 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483.3 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NOI</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443.1 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458.8 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arrive at net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income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revenues,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Business combination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 impairment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 (see Note 9)</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mandatorily redeemable preferred OP units / equity</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remeasurement of marketable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foreign currency exchanges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dispositions of properties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from nonconsolidated affiliates (see Note 7)</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remeasurement of investment in nonconsolidated affiliates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tax benefit /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Preferred return to preferred OP units / equity interests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Income attributable to noncontrolling interests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Attributable to SUI Common Shareholders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288.7 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120.1 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72465"/>
                <wp:effectExtent l="0" t="0" r="0" b="0"/>
                <wp:wrapNone/>
                <wp:docPr id="28" name="Frame2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13239" w:type="dxa"/>
        <w:jc w:val="left"/>
        <w:tblInd w:w="0" w:type="dxa"/>
        <w:tblLayout w:type="fixed"/>
        <w:tblCellMar>
          <w:top w:w="28" w:type="dxa"/>
          <w:left w:w="28" w:type="dxa"/>
          <w:bottom w:w="28" w:type="dxa"/>
          <w:right w:w="28" w:type="dxa"/>
        </w:tblCellMar>
      </w:tblPr>
      <w:tblGrid>
        <w:gridCol w:w="744"/>
        <w:gridCol w:w="258"/>
        <w:gridCol w:w="25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6"/>
        <w:gridCol w:w="729"/>
        <w:gridCol w:w="11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6"/>
        <w:gridCol w:w="727"/>
        <w:gridCol w:w="163"/>
      </w:tblGrid>
      <w:tr>
        <w:trPr/>
        <w:tc>
          <w:tcPr>
            <w:tcW w:w="7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0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2,436.8 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2,412.0 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expenses / 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Operating Income / 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1,118.0 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arrive at net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income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revenues,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Business combination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(510.5)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 impairment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 (see Note 9)</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mandatorily redeemable preferred OP units / equity</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remeasurement of marketable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foreign currency exchanges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dispositions of properties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income /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remeasurement of notes receivable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from nonconsolidated affiliates (see Note 7)</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investment in nonconsolidated affiliates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tax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 (Loss)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Preferred return to preferred OP units / equity interests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Income / (loss) attributable to noncontrolling interests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 (Loss) Attributable to Sun Communities, Inc.</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(132.4)</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72465"/>
                <wp:effectExtent l="0" t="0" r="0" b="0"/>
                <wp:wrapNone/>
                <wp:docPr id="29" name="Frame2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14209" w:type="dxa"/>
        <w:jc w:val="left"/>
        <w:tblInd w:w="0" w:type="dxa"/>
        <w:tblLayout w:type="fixed"/>
        <w:tblCellMar>
          <w:top w:w="28" w:type="dxa"/>
          <w:left w:w="28" w:type="dxa"/>
          <w:bottom w:w="28" w:type="dxa"/>
          <w:right w:w="28" w:type="dxa"/>
        </w:tblCellMar>
      </w:tblPr>
      <w:tblGrid>
        <w:gridCol w:w="477"/>
        <w:gridCol w:w="301"/>
        <w:gridCol w:w="303"/>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7"/>
            <w:tcBorders/>
            <w:tcMar>
              <w:top w:w="0" w:type="dxa"/>
              <w:left w:w="0" w:type="dxa"/>
              <w:bottom w:w="0" w:type="dxa"/>
              <w:right w:w="0" w:type="dxa"/>
            </w:tcMar>
            <w:vAlign w:val="center"/>
          </w:tcPr>
          <w:p>
            <w:pPr>
              <w:pStyle w:val="TableContents"/>
              <w:bidi w:val="0"/>
              <w:spacing w:lineRule="auto" w:line="240" w:before="0" w:after="40"/>
              <w:jc w:val="center"/>
              <w:rPr/>
            </w:pPr>
            <w:r>
              <w:rPr>
                <w:rFonts w:ascii="Times New Roman;sans-serif" w:hAnsi="Times New Roman;sans-serif"/>
                <w:b/>
                <w:color w:val="000000"/>
                <w:sz w:val="17"/>
              </w:rPr>
              <w:t>December 31, 2023</w:t>
            </w:r>
            <w:r>
              <w:rPr>
                <w:rFonts w:ascii="Times New Roman;sans-serif" w:hAnsi="Times New Roman;sans-serif"/>
                <w:b/>
                <w:color w:val="000000"/>
                <w:sz w:val="11"/>
              </w:rPr>
              <w:t>(1)</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Identifiable 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Inventory of manufactured homes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and other receivables,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Collateralized receivables,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intangible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17,085.1 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16,940.7 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Recast to reflect segment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72465"/>
                <wp:effectExtent l="0" t="0" r="0" b="0"/>
                <wp:wrapNone/>
                <wp:docPr id="30" name="Frame2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be taxed as a real estate investment trust ("REIT") pursuant to Section 856(c) of the Internal Revenue Code of 1986, as amended ("Code"). In order for us to qualify as a REIT, at least 95% of our gross income in any year must be derived from qualifying sources. In addition, a REIT must distribute annually at least 90% of its REIT taxable income (calculated without any deduction for dividends paid and excluding capital gains) to its shareholders and meet other tests.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during the nine months ended September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REIT, we generally will not be subject to U.S. federal income taxes at the corporate level on the ordinary taxable income we distribute to our shareholders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Puerto Rico and the United Kingdom due to certain properties located in those jurisdictions. We do not provide for withholding taxes on our undistributed earnings from our Canadian subsidiaries as they are reinvested and will continue to be reinvested indefinitely outside of the U.S. As currently structured, we are not subject to United Kingdom withholding taxes on distributions from our United Kingdom properties.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interest and basis differences between tax and GAAP. Our deferred tax assets that have a full valuation allowance relate to our taxable REIT subsidiaries. As of September 30, 2024, we had $315.4 million of net deferred tax liabilities, comprised of deferred tax assets, net of valuation allowance of $62.3 million, and deferred tax liabilities of $377.7 million. The deferred tax liability balance is comprised primarily of basis differences in our foreign investment in properties in the United Kingdom and Canada. As of December 31, 2023, we had $277.1 million of net deferred tax liabilities, comprised of deferred tax assets, net of valuation allowance of $58.1 million, and deferred tax liabilities of $335.2 million. The net deferred tax assets and deferred tax liabilities are recorded within Other assets, net and Other liabilities, respectively, on our Consolidated Balance Sheets as of September 30, 2024 and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we recorded current tax benefit for federal, state, Canadian, Puerto Rican, and United Kingdom income taxes totaling $0.9 million. For the nine months ended September 30, 2024, we recorded current tax expense for federal, state, Canadian, Puerto Rican, and United Kingdom income taxes totaling $6.5 million. For the three and nine months ended September 30, 2023, we recorded current tax expense for federal, state, Canadian, Puerto Rican, and United Kingdom income taxes and Australian withholding taxes totaling $4.6 million and $13.9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we recorded a deferred tax benefit of $7.1 million and $16.5 million, respectively. For the three and nine months ended September 30, 2023, we recorded a deferred tax benefit of $2.3 million and $14.6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72465"/>
                <wp:effectExtent l="0" t="0" r="0" b="0"/>
                <wp:wrapNone/>
                <wp:docPr id="31" name="Frame3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14. Earnings / (Loss)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Earnings / (loss) per share ("EPS") is computed by dividing net earnings / (loss) by the weighted average number of common shares outstanding during the period on a basic and diluted basis. We calculate diluted EPS using the more dilutive of the treasury stock method and the two-class method for stock option and restricted common shares, the treasury stock method for forward equity sales and the if converted method for convertible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forward equity sales agreements, which are discussed in Note 10, "Equity and Temporary Equity." We considered the potential dilution resulting from the forward equity sales agreements on the EPS calculations. At inception, the agreements do not have an effect on the computation of basic EPS as no shares are delivered unless there is a physical settlement. Common shares issued upon the physical settlement of the forward equity sales agreements, weighted for the period these common shares are outstanding, are included in the denominator of basic EPS. To determine the dilution resulting from the forward equity sales agreements during the period of time prior to settlement, we calculate the number of weighted-average shares outstanding - diluted in accordance with the treasury stock method.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potentially dilutive securities include our potential common shares related to our forward equity offerings, our unvested restricted common shares, and our Operating Partnership outstanding common OP units, Series A-1 preferred OP units, Series A-3 preferred OP units, Series C preferred OP units, Series D preferred OP units, Series E preferred OP units, Series F preferred OP units, Series G preferred OP units, Series H preferred OP units, Series J preferred OP units, Series K preferred OP units, and Series L preferred OP units, which, if converted or exercised, may impact dilution.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Diluted EPS considers the impact of potentially dilutive securities except when the potential common shares have an anti-dilutive effect. Our unvested restricted stock common shares contain rights to receive non-forfeitable distributions and participate equally with common stock with respect to distributions issued or declared, and thus, are participating securities, requiring the two-class method of computing EPS. In calculating the two-class method, undistributed earnings are allocated to both common shares and participating securities based on the weighted average number of shares outstanding during the period. The two-class method determines EPS by (1) dividing the sum of distributed earnings and undistributed earnings allocated to common shareholders by the weighted average number of shares of common stock outstanding for the period; and (2) dividing the sum of distributed earnings and undistributed earnings allocated to participating securities by the weighted average number of shares of participating securities for the period. The remaining potential dilutive common shares do not contain rights to distributions and are included in the computation of diluted EPS.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72465"/>
                <wp:effectExtent l="0" t="0" r="0" b="0"/>
                <wp:wrapNone/>
                <wp:docPr id="32" name="Frame3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Computations of basic and diluted EPS were as follows (in millions, except for per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37"/>
        <w:gridCol w:w="1352"/>
        <w:gridCol w:w="1365"/>
        <w:gridCol w:w="109"/>
        <w:gridCol w:w="109"/>
        <w:gridCol w:w="109"/>
        <w:gridCol w:w="260"/>
        <w:gridCol w:w="741"/>
        <w:gridCol w:w="146"/>
        <w:gridCol w:w="109"/>
        <w:gridCol w:w="109"/>
        <w:gridCol w:w="109"/>
        <w:gridCol w:w="260"/>
        <w:gridCol w:w="741"/>
        <w:gridCol w:w="146"/>
        <w:gridCol w:w="109"/>
        <w:gridCol w:w="109"/>
        <w:gridCol w:w="109"/>
        <w:gridCol w:w="260"/>
        <w:gridCol w:w="741"/>
        <w:gridCol w:w="146"/>
        <w:gridCol w:w="109"/>
        <w:gridCol w:w="109"/>
        <w:gridCol w:w="109"/>
        <w:gridCol w:w="245"/>
        <w:gridCol w:w="757"/>
        <w:gridCol w:w="200"/>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4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Net income / (loss) attributable to SUI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Less: allocation to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Basic earnings - net income / (loss) attributable to common shareholders after allocation to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(131.3)</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Add: allocation to common and preferred OP units dilutive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Add: allocation to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Diluted earnings - net income / (loss) attributable to common shareholders after allocation to common and preferred OP units</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(132.4)</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87" w:type="dxa"/>
        <w:jc w:val="left"/>
        <w:tblInd w:w="0" w:type="dxa"/>
        <w:tblLayout w:type="fixed"/>
        <w:tblCellMar>
          <w:top w:w="28" w:type="dxa"/>
          <w:left w:w="28" w:type="dxa"/>
          <w:bottom w:w="28" w:type="dxa"/>
          <w:right w:w="28" w:type="dxa"/>
        </w:tblCellMar>
      </w:tblPr>
      <w:tblGrid>
        <w:gridCol w:w="1547"/>
        <w:gridCol w:w="1360"/>
        <w:gridCol w:w="1368"/>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541"/>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Add: dilutive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Add: common and preferred OP units dilutive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7"/>
              </w:rPr>
              <w:t>Diluted weighted average common shares and securities</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EPS Available to Common Shareholders After Allocation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Basic earnings /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ans-serif" w:hAnsi="Times New Roman;sans-serif"/>
                <w:b w:val="false"/>
                <w:color w:val="000000"/>
                <w:sz w:val="17"/>
              </w:rPr>
              <w:t>Diluted earnings / (loss) per share</w:t>
            </w:r>
            <w:r>
              <w:rPr>
                <w:rFonts w:ascii="Times New Roman;sans-serif" w:hAnsi="Times New Roman;sans-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For the three and nine months ended September 30, 2024, and the three months ended September 30, 2023, diluted earnings per share was calculated using the two-class method for restricted common shares as the application of this method resulted in a more diluted earnings per share during those periods. For the nine months ended September 30, 2023, diluted loss per share was calculated using the treasury stock method for restricted common shares as the application of this method resulted in a more diluted loss per share during the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excluded certain convertible securities from the computation of diluted EPS because the inclusion of those securities would have been anti-dilutive for the periods presented. The following table presents the outstanding securities that were excluded from the computations of diluted EPS as of September 30, 2024 and 2023 (in thousands):</w:t>
      </w:r>
    </w:p>
    <w:p>
      <w:pPr>
        <w:pStyle w:val="TextBody"/>
        <w:bidi w:val="0"/>
        <w:spacing w:before="0" w:after="0"/>
        <w:jc w:val="both"/>
        <w:rPr/>
      </w:pPr>
      <w:r>
        <w:rPr/>
      </w:r>
    </w:p>
    <w:tbl>
      <w:tblPr>
        <w:tblW w:w="5906" w:type="dxa"/>
        <w:jc w:val="left"/>
        <w:tblInd w:w="0" w:type="dxa"/>
        <w:tblLayout w:type="fixed"/>
        <w:tblCellMar>
          <w:top w:w="28" w:type="dxa"/>
          <w:left w:w="28" w:type="dxa"/>
          <w:bottom w:w="28" w:type="dxa"/>
          <w:right w:w="28" w:type="dxa"/>
        </w:tblCellMar>
      </w:tblPr>
      <w:tblGrid>
        <w:gridCol w:w="727"/>
        <w:gridCol w:w="640"/>
        <w:gridCol w:w="643"/>
        <w:gridCol w:w="109"/>
        <w:gridCol w:w="109"/>
        <w:gridCol w:w="109"/>
        <w:gridCol w:w="514"/>
        <w:gridCol w:w="514"/>
        <w:gridCol w:w="516"/>
        <w:gridCol w:w="109"/>
        <w:gridCol w:w="109"/>
        <w:gridCol w:w="109"/>
        <w:gridCol w:w="514"/>
        <w:gridCol w:w="514"/>
        <w:gridCol w:w="51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2,922 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2,632 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A-3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Aspen preferred OP units</w:t>
            </w:r>
            <w:r>
              <w:rPr>
                <w:rFonts w:ascii="Times New Roman;sans-serif" w:hAnsi="Times New Roman;sans-serif"/>
                <w:b w:val="false"/>
                <w:color w:val="000000"/>
                <w:sz w:val="11"/>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315 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C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D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E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F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G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H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J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K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L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Total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6,139 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6,184 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N/A = Not applicable.</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For the three months ended September 30, 2024, Common OP units were excluded from the computation of diluted earnings per share because the inclusion of those securities would have been anti-dilutive for the period. For the nine months ended September 30, 2024, Common OP units were included in the computation of diluted earnings per share because they were dilutive for the period.</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All of our outstanding Aspen preferred OP units converted during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72465"/>
                <wp:effectExtent l="0" t="0" r="0" b="0"/>
                <wp:wrapNone/>
                <wp:docPr id="33" name="Frame3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15. 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objective and strategy in using interest rate derivatives is to manage exposure to interest rate movements, thereby minimizing the effect of interest rate changes and the effect they could have on future cash outflows (forecasted interest payments), on a forecasted issuance of long-term debt, or on outstanding floating rate debt. We typically enter into treasury rate locks, interest rate swaps, and forward swaps to accomplish this objective. We do not enter into derivative instruments for speculative purposes. We recognize derivative instruments at fair value on a recurring basis on the Consolidated Balance Sheets and classify the derivatives within Level 2 of the fair value hierarchy. We adjust our Consolidated Balance Sheets on a quarterly basis to reflect the current fair market value of the derivative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As of September 30, 2024 and December 31, 2023, we held 11 and 13 derivative contracts, respectively, which have each been designated as cash flow hedges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The risks being hedged are the interest rate risk related to outstanding floating rate debt and forecasted debt issuance transactions, and the benchmark interest rates used are the SOFR and the SONIA Rate. The unrealized gains or losses on the derivative instruments are recorded in AOCI and are reclassified to Interest expense on the Consolidated Statements of Operations during the same period in which the hedged transaction affects earnings. We estimate that $9.0 million will be reclassified as a reduction to Interest expense over the next 12 months for all of our outstanding cash flow hedges. Cash flow from these derivative instruments is classified in the same category as the cash flow items being hedged on the Consolidated Statements of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Contract Activity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and 2023, we entered into the following derivative contracts (with notional amounts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67"/>
        <w:gridCol w:w="499"/>
        <w:gridCol w:w="504"/>
        <w:gridCol w:w="109"/>
        <w:gridCol w:w="109"/>
        <w:gridCol w:w="109"/>
        <w:gridCol w:w="366"/>
        <w:gridCol w:w="366"/>
        <w:gridCol w:w="367"/>
        <w:gridCol w:w="109"/>
        <w:gridCol w:w="109"/>
        <w:gridCol w:w="109"/>
        <w:gridCol w:w="353"/>
        <w:gridCol w:w="353"/>
        <w:gridCol w:w="354"/>
        <w:gridCol w:w="109"/>
        <w:gridCol w:w="109"/>
        <w:gridCol w:w="109"/>
        <w:gridCol w:w="265"/>
        <w:gridCol w:w="265"/>
        <w:gridCol w:w="266"/>
        <w:gridCol w:w="109"/>
        <w:gridCol w:w="109"/>
        <w:gridCol w:w="109"/>
        <w:gridCol w:w="234"/>
        <w:gridCol w:w="664"/>
        <w:gridCol w:w="130"/>
        <w:gridCol w:w="109"/>
        <w:gridCol w:w="109"/>
        <w:gridCol w:w="109"/>
        <w:gridCol w:w="284"/>
        <w:gridCol w:w="214"/>
        <w:gridCol w:w="216"/>
        <w:gridCol w:w="109"/>
        <w:gridCol w:w="109"/>
        <w:gridCol w:w="109"/>
        <w:gridCol w:w="109"/>
        <w:gridCol w:w="109"/>
        <w:gridCol w:w="109"/>
        <w:gridCol w:w="109"/>
        <w:gridCol w:w="109"/>
        <w:gridCol w:w="109"/>
        <w:gridCol w:w="405"/>
        <w:gridCol w:w="375"/>
        <w:gridCol w:w="542"/>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Number of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Instrument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Index 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Hedged Item</w:t>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SOFR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Future Debt Offering</w:t>
            </w:r>
          </w:p>
        </w:tc>
      </w:tr>
      <w:tr>
        <w:trPr/>
        <w:tc>
          <w:tcPr>
            <w:tcW w:w="1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SOFR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Future Debt Offering</w:t>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SOFR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Future Debt Offering</w:t>
            </w:r>
          </w:p>
        </w:tc>
      </w:tr>
      <w:tr>
        <w:trPr/>
        <w:tc>
          <w:tcPr>
            <w:tcW w:w="1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SOFR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Term Loan Senior Credit Facility</w:t>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GBP</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SONIA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Term Loan Senior Credit Facility</w:t>
            </w:r>
          </w:p>
        </w:tc>
      </w:tr>
      <w:tr>
        <w:trPr/>
        <w:tc>
          <w:tcPr>
            <w:tcW w:w="1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SOFR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Future Debt Offering</w:t>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302.3 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notional amount of the swap contract in local currency is £100.0 million. The USD equivalent amount is converted as of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and 2023, we terminated the following derivative contracts (amounts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12"/>
        <w:gridCol w:w="803"/>
        <w:gridCol w:w="820"/>
        <w:gridCol w:w="109"/>
        <w:gridCol w:w="109"/>
        <w:gridCol w:w="109"/>
        <w:gridCol w:w="907"/>
        <w:gridCol w:w="892"/>
        <w:gridCol w:w="908"/>
        <w:gridCol w:w="109"/>
        <w:gridCol w:w="109"/>
        <w:gridCol w:w="109"/>
        <w:gridCol w:w="265"/>
        <w:gridCol w:w="265"/>
        <w:gridCol w:w="266"/>
        <w:gridCol w:w="109"/>
        <w:gridCol w:w="109"/>
        <w:gridCol w:w="109"/>
        <w:gridCol w:w="300"/>
        <w:gridCol w:w="854"/>
        <w:gridCol w:w="166"/>
        <w:gridCol w:w="109"/>
        <w:gridCol w:w="109"/>
        <w:gridCol w:w="109"/>
        <w:gridCol w:w="405"/>
        <w:gridCol w:w="809"/>
        <w:gridCol w:w="325"/>
      </w:tblGrid>
      <w:tr>
        <w:trPr/>
        <w:tc>
          <w:tcPr>
            <w:tcW w:w="9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Cash Settlement </w:t>
              <w:br/>
              <w:t>Receipt / (Payment)</w:t>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Three months ended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Forward Swap</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Treasury Rate Locks &amp; Forward Swap</w:t>
            </w:r>
            <w:r>
              <w:rPr>
                <w:rFonts w:ascii="Times New Roman;sans-serif" w:hAnsi="Times New Roman;sans-serif"/>
                <w:b w:val="false"/>
                <w:color w:val="000000"/>
                <w:sz w:val="11"/>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seven forward swap contracts which were terminated in connection with the 2029 Notes issuance.</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These include two $100.0 million treasury rate locks and one $50.0 million forward swap which were terminated in connection with the issuance of $400.0 million of senior unsecured notes with an interest rate of 5.7% and a 10-year term, due January 15, 2033.</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72465"/>
                <wp:effectExtent l="0" t="0" r="0" b="0"/>
                <wp:wrapNone/>
                <wp:docPr id="34" name="Frame3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gross fair value amounts of our derivative financial instruments and the associated notional amounts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24"/>
        <w:gridCol w:w="813"/>
        <w:gridCol w:w="818"/>
        <w:gridCol w:w="109"/>
        <w:gridCol w:w="109"/>
        <w:gridCol w:w="109"/>
        <w:gridCol w:w="196"/>
        <w:gridCol w:w="556"/>
        <w:gridCol w:w="109"/>
        <w:gridCol w:w="109"/>
        <w:gridCol w:w="109"/>
        <w:gridCol w:w="109"/>
        <w:gridCol w:w="243"/>
        <w:gridCol w:w="468"/>
        <w:gridCol w:w="135"/>
        <w:gridCol w:w="109"/>
        <w:gridCol w:w="109"/>
        <w:gridCol w:w="109"/>
        <w:gridCol w:w="296"/>
        <w:gridCol w:w="568"/>
        <w:gridCol w:w="165"/>
        <w:gridCol w:w="109"/>
        <w:gridCol w:w="109"/>
        <w:gridCol w:w="109"/>
        <w:gridCol w:w="196"/>
        <w:gridCol w:w="691"/>
        <w:gridCol w:w="109"/>
        <w:gridCol w:w="109"/>
        <w:gridCol w:w="109"/>
        <w:gridCol w:w="109"/>
        <w:gridCol w:w="222"/>
        <w:gridCol w:w="530"/>
        <w:gridCol w:w="123"/>
        <w:gridCol w:w="109"/>
        <w:gridCol w:w="109"/>
        <w:gridCol w:w="109"/>
        <w:gridCol w:w="289"/>
        <w:gridCol w:w="556"/>
        <w:gridCol w:w="236"/>
      </w:tblGrid>
      <w:tr>
        <w:trPr/>
        <w:tc>
          <w:tcPr>
            <w:tcW w:w="9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bidi w:val="0"/>
              <w:spacing w:lineRule="auto" w:line="240" w:before="0" w:after="0"/>
              <w:jc w:val="center"/>
              <w:rPr/>
            </w:pPr>
            <w:r>
              <w:rPr>
                <w:rFonts w:ascii="Times New Roman;sans-serif" w:hAnsi="Times New Roman;sans-serif"/>
                <w:b/>
                <w:color w:val="000000"/>
                <w:sz w:val="17"/>
              </w:rPr>
              <w:t>of Assets</w:t>
            </w:r>
            <w:r>
              <w:rPr>
                <w:rFonts w:ascii="Times New Roman;sans-serif" w:hAnsi="Times New Roman;sans-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bidi w:val="0"/>
              <w:spacing w:lineRule="auto" w:line="240" w:before="0" w:after="0"/>
              <w:jc w:val="center"/>
              <w:rPr/>
            </w:pPr>
            <w:r>
              <w:rPr>
                <w:rFonts w:ascii="Times New Roman;sans-serif" w:hAnsi="Times New Roman;sans-serif"/>
                <w:b/>
                <w:color w:val="000000"/>
                <w:sz w:val="17"/>
              </w:rPr>
              <w:t>of Liabilities</w:t>
            </w:r>
            <w:r>
              <w:rPr>
                <w:rFonts w:ascii="Times New Roman;sans-serif" w:hAnsi="Times New Roman;sans-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bidi w:val="0"/>
              <w:spacing w:lineRule="auto" w:line="240" w:before="0" w:after="0"/>
              <w:jc w:val="center"/>
              <w:rPr/>
            </w:pPr>
            <w:r>
              <w:rPr>
                <w:rFonts w:ascii="Times New Roman;sans-serif" w:hAnsi="Times New Roman;sans-serif"/>
                <w:b/>
                <w:color w:val="000000"/>
                <w:sz w:val="17"/>
              </w:rPr>
              <w:t>of Assets</w:t>
            </w:r>
            <w:r>
              <w:rPr>
                <w:rFonts w:ascii="Times New Roman;sans-serif" w:hAnsi="Times New Roman;sans-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bidi w:val="0"/>
              <w:spacing w:lineRule="auto" w:line="240" w:before="0" w:after="0"/>
              <w:jc w:val="center"/>
              <w:rPr/>
            </w:pPr>
            <w:r>
              <w:rPr>
                <w:rFonts w:ascii="Times New Roman;sans-serif" w:hAnsi="Times New Roman;sans-serif"/>
                <w:b/>
                <w:color w:val="000000"/>
                <w:sz w:val="17"/>
              </w:rPr>
              <w:t>of Liabilities</w:t>
            </w:r>
            <w:r>
              <w:rPr>
                <w:rFonts w:ascii="Times New Roman;sans-serif" w:hAnsi="Times New Roman;sans-serif"/>
                <w:b/>
                <w:color w:val="000000"/>
                <w:sz w:val="11"/>
              </w:rPr>
              <w:t>(2)</w:t>
            </w:r>
          </w:p>
        </w:tc>
      </w:tr>
      <w:tr>
        <w:trPr/>
        <w:tc>
          <w:tcPr>
            <w:tcW w:w="2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Included within Other assets, net on the Consolidated Balance Sheets.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Included within Other liabilities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16, "Fair Value Measurements," for additional information related to the fair value methodology used for 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gains / (losses) on derivatives in cash flow hedging relationships recognized in OCI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97"/>
        <w:gridCol w:w="965"/>
        <w:gridCol w:w="972"/>
        <w:gridCol w:w="109"/>
        <w:gridCol w:w="109"/>
        <w:gridCol w:w="109"/>
        <w:gridCol w:w="408"/>
        <w:gridCol w:w="816"/>
        <w:gridCol w:w="228"/>
        <w:gridCol w:w="109"/>
        <w:gridCol w:w="109"/>
        <w:gridCol w:w="109"/>
        <w:gridCol w:w="408"/>
        <w:gridCol w:w="816"/>
        <w:gridCol w:w="228"/>
        <w:gridCol w:w="109"/>
        <w:gridCol w:w="109"/>
        <w:gridCol w:w="109"/>
        <w:gridCol w:w="417"/>
        <w:gridCol w:w="801"/>
        <w:gridCol w:w="235"/>
        <w:gridCol w:w="109"/>
        <w:gridCol w:w="109"/>
        <w:gridCol w:w="109"/>
        <w:gridCol w:w="404"/>
        <w:gridCol w:w="776"/>
        <w:gridCol w:w="326"/>
      </w:tblGrid>
      <w:tr>
        <w:trPr/>
        <w:tc>
          <w:tcPr>
            <w:tcW w:w="109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3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3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amount of gains on derivative instruments reclassified from AOCI into earnings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40"/>
        <w:gridCol w:w="651"/>
        <w:gridCol w:w="655"/>
        <w:gridCol w:w="109"/>
        <w:gridCol w:w="109"/>
        <w:gridCol w:w="109"/>
        <w:gridCol w:w="587"/>
        <w:gridCol w:w="587"/>
        <w:gridCol w:w="589"/>
        <w:gridCol w:w="109"/>
        <w:gridCol w:w="109"/>
        <w:gridCol w:w="109"/>
        <w:gridCol w:w="338"/>
        <w:gridCol w:w="649"/>
        <w:gridCol w:w="190"/>
        <w:gridCol w:w="109"/>
        <w:gridCol w:w="109"/>
        <w:gridCol w:w="109"/>
        <w:gridCol w:w="338"/>
        <w:gridCol w:w="649"/>
        <w:gridCol w:w="190"/>
        <w:gridCol w:w="109"/>
        <w:gridCol w:w="109"/>
        <w:gridCol w:w="109"/>
        <w:gridCol w:w="299"/>
        <w:gridCol w:w="711"/>
        <w:gridCol w:w="167"/>
        <w:gridCol w:w="109"/>
        <w:gridCol w:w="109"/>
        <w:gridCol w:w="109"/>
        <w:gridCol w:w="293"/>
        <w:gridCol w:w="698"/>
        <w:gridCol w:w="239"/>
      </w:tblGrid>
      <w:tr>
        <w:trPr/>
        <w:tc>
          <w:tcPr>
            <w:tcW w:w="74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2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2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16. Fair Value Measurements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Our financial instruments consist primarily of cash, cash equivalents and restricted cash, notes and other receivables, derivative assets and liabilities, debt and other liabilities. We utilize fair value measurements to record fair value adjustments to certain assets and liabilities and to determine fair value disclosures, pursuant to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The following methods and assumptions were used in order to estimate the fair value of each class of financial instruments for which it is practicable to estimate that value: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assumptions. This hierarchy requires the use of observable market data when available. These two types of inputs have created the following fair value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1 - Quoted unadjusted prices for identical instruments in active markets that we have the ability to access;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model-derived valuations in which all significant inputs and significant value drivers are observable (e.g., interest rates, yield curves, prepayment speeds, default rates, loss severity, etc.) in active markets or can be corroborated by observable market data; 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3 - Valuations derived from valuation techniques in which one or more significant inputs or significant value drivers are unobservable. The unobservable inputs reflect our assumptions about the assumptions that market participants would use.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72465"/>
                <wp:effectExtent l="0" t="0" r="0" b="0"/>
                <wp:wrapNone/>
                <wp:docPr id="35" name="Frame3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by Hierarchy Level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our financial assets and liabilities (in millions) that required disclosure of fair value on a recurring basis as of September 30, 2024. The table presents the carrying values and fair values of our financial instruments as of September 30, 2024 and December 31, 2023, that were measured using the valuation techniques described above. The table excludes other financial instruments such as other receivables and accounts payable as the carrying values associated with these instruments approximate their fair value since their maturities are less than one year. These financial instruments are classified as Level 1 in the hierarchy.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5"/>
        <w:gridCol w:w="508"/>
        <w:gridCol w:w="512"/>
        <w:gridCol w:w="109"/>
        <w:gridCol w:w="109"/>
        <w:gridCol w:w="109"/>
        <w:gridCol w:w="207"/>
        <w:gridCol w:w="732"/>
        <w:gridCol w:w="115"/>
        <w:gridCol w:w="109"/>
        <w:gridCol w:w="109"/>
        <w:gridCol w:w="109"/>
        <w:gridCol w:w="460"/>
        <w:gridCol w:w="1095"/>
        <w:gridCol w:w="256"/>
        <w:gridCol w:w="109"/>
        <w:gridCol w:w="109"/>
        <w:gridCol w:w="109"/>
        <w:gridCol w:w="279"/>
        <w:gridCol w:w="986"/>
        <w:gridCol w:w="155"/>
        <w:gridCol w:w="109"/>
        <w:gridCol w:w="109"/>
        <w:gridCol w:w="109"/>
        <w:gridCol w:w="323"/>
        <w:gridCol w:w="917"/>
        <w:gridCol w:w="181"/>
        <w:gridCol w:w="109"/>
        <w:gridCol w:w="109"/>
        <w:gridCol w:w="109"/>
        <w:gridCol w:w="196"/>
        <w:gridCol w:w="691"/>
        <w:gridCol w:w="162"/>
      </w:tblGrid>
      <w:tr>
        <w:trPr/>
        <w:tc>
          <w:tcPr>
            <w:tcW w:w="79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7009" w:type="dxa"/>
            <w:gridSpan w:val="24"/>
            <w:tcBorders/>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Fair Value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Quoted Prices in Active Markets for Identical Assets and Liabilities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Unobservable Inputs </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Installment notes receivable on manufactured homes,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receivable from real estate developers and operators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Collateralized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353.1 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265.6 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353.1 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Mortgage loan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3,344.5 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Secured borrowings on collateralized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3,397.3 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3,164.7 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Line of credit and other unsecured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3,927.5 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3,811.1 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3,811.1 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financial liabilities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7,353.5 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6,931.5 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7,004.5 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72465"/>
                <wp:effectExtent l="0" t="0" r="0" b="0"/>
                <wp:wrapNone/>
                <wp:docPr id="36" name="Frame3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95"/>
        <w:gridCol w:w="508"/>
        <w:gridCol w:w="512"/>
        <w:gridCol w:w="109"/>
        <w:gridCol w:w="109"/>
        <w:gridCol w:w="109"/>
        <w:gridCol w:w="207"/>
        <w:gridCol w:w="732"/>
        <w:gridCol w:w="115"/>
        <w:gridCol w:w="109"/>
        <w:gridCol w:w="109"/>
        <w:gridCol w:w="109"/>
        <w:gridCol w:w="460"/>
        <w:gridCol w:w="1095"/>
        <w:gridCol w:w="256"/>
        <w:gridCol w:w="109"/>
        <w:gridCol w:w="109"/>
        <w:gridCol w:w="109"/>
        <w:gridCol w:w="279"/>
        <w:gridCol w:w="986"/>
        <w:gridCol w:w="155"/>
        <w:gridCol w:w="109"/>
        <w:gridCol w:w="109"/>
        <w:gridCol w:w="109"/>
        <w:gridCol w:w="323"/>
        <w:gridCol w:w="917"/>
        <w:gridCol w:w="181"/>
        <w:gridCol w:w="109"/>
        <w:gridCol w:w="109"/>
        <w:gridCol w:w="109"/>
        <w:gridCol w:w="196"/>
        <w:gridCol w:w="691"/>
        <w:gridCol w:w="162"/>
      </w:tblGrid>
      <w:tr>
        <w:trPr/>
        <w:tc>
          <w:tcPr>
            <w:tcW w:w="79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7009" w:type="dxa"/>
            <w:gridSpan w:val="24"/>
            <w:tcBorders/>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Fair Value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Quoted Prices in Active Markets for Identical Assets and Liabilities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Unobservable Inputs </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Installment notes receivable on manufactured homes,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receivable from real estate developers and operators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Collateralized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264.7 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264.7 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Mortgage loan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3,478.9 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3,167.0 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Secured borrowings on collateralized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3,534.7 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3,167.0 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3,222.8 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Line of credit and other unsecured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4,242.6 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4,038.3 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4,038.3 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financial liabilities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7,805.2 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7,213.0 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7,289.0 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and Restricted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cash equivalents and restricted cash approximate their fair market values due to the short-term nature of the instruments. These are classified as Level 1 in the hierarchy.</w:t>
      </w:r>
    </w:p>
    <w:tbl>
      <w:tblPr>
        <w:tblW w:w="1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Installment Notes Receivable on Manufactured Homes and Collateralized Receivables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Installment notes receivable on manufactured homes are recorded at fair value and are measured using model-derived indicative pricing using primarily unobservable inputs, inclusive of default rates, interest rates and recovery rates (Level 3). Refer to Note 4, "Notes and Other Receivables," and Note 5, "Collateralized Receivables and Transfers of Financial Assets,"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Notes Receivable from Real Estate Developers and Operators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Notes receivable from real estate developers and operators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primarily by underlying real estate and other collateral and / or personal guarantees. Refer to Note 4, "Notes and Other Receivables,"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Assets and Liabilities - Interest Rate Derivatives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are recorded at fair value and consist of interest rate swaps and forward swaps. The fair value of these financial instruments are measured using observable inputs based on the SOFR and SONIA Rates, respectively (Level 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72465"/>
                <wp:effectExtent l="0" t="0" r="0" b="0"/>
                <wp:wrapNone/>
                <wp:docPr id="37" name="Frame3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Secured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Secured debt consists primarily of our mortgage term loans. The fair value of mortgage term loans is based on the estimates of management and on rates currently quoted, rates currently prevailing for comparable loans and instruments of comparable maturities (Level 2). Refer to Note 9, "Debt and Line of Credit,"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Secured borrowings on collateralized receivables - recorded at fair value and adjusted based on the same interest rates as the related collateralized receivables (Level 3). Refer to Note 5, "Collateralized Receivables and Transfers of Financial Assets," and Note 9, "Debt and Line of Credit,"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Senior unsecured notes - the fair value of senior unsecured notes is based on the estimates of management and on rates currently quoted, rates currently prevailing for comparable loans and instruments of comparable maturities (Level 2). Refer to Note 9, "Debt and Line of Credit,"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Line of credit and other unsecured debt - consists primarily of our Senior Credit Facility. We have variable rates on our Senior Credit Facility. The fair value of the debt with variable rates approximates carrying value as the interest rates of these amounts approximate market rates (Level 2). The estimated fair value of our debt as of September 30, 2024 approximated its gross carrying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Financial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contingent consideration liabilities based on valuation models using significant unobservable inputs that generally consider discounting of future cash flows using market interest rates and adjusting for non-performance risk over the remaining term of the liability (Level 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Level 3 Reconciliation, Measurements and Transfers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 There were no transfers into or out of Level 3 during the nine months ended September 30,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72465"/>
                <wp:effectExtent l="0" t="0" r="0" b="0"/>
                <wp:wrapNone/>
                <wp:docPr id="38" name="Frame3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changes to our financial instruments carried at fair value and classified within Level 3 of the fair value hierarchy for the three and nine months ended September 30, 2024 and 2023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19"/>
        <w:gridCol w:w="347"/>
        <w:gridCol w:w="353"/>
        <w:gridCol w:w="109"/>
        <w:gridCol w:w="109"/>
        <w:gridCol w:w="109"/>
        <w:gridCol w:w="277"/>
        <w:gridCol w:w="661"/>
        <w:gridCol w:w="156"/>
        <w:gridCol w:w="109"/>
        <w:gridCol w:w="109"/>
        <w:gridCol w:w="109"/>
        <w:gridCol w:w="275"/>
        <w:gridCol w:w="781"/>
        <w:gridCol w:w="154"/>
        <w:gridCol w:w="109"/>
        <w:gridCol w:w="109"/>
        <w:gridCol w:w="109"/>
        <w:gridCol w:w="311"/>
        <w:gridCol w:w="740"/>
        <w:gridCol w:w="174"/>
        <w:gridCol w:w="109"/>
        <w:gridCol w:w="109"/>
        <w:gridCol w:w="109"/>
        <w:gridCol w:w="109"/>
        <w:gridCol w:w="109"/>
        <w:gridCol w:w="277"/>
        <w:gridCol w:w="661"/>
        <w:gridCol w:w="156"/>
        <w:gridCol w:w="109"/>
        <w:gridCol w:w="109"/>
        <w:gridCol w:w="109"/>
        <w:gridCol w:w="275"/>
        <w:gridCol w:w="781"/>
        <w:gridCol w:w="154"/>
        <w:gridCol w:w="109"/>
        <w:gridCol w:w="109"/>
        <w:gridCol w:w="109"/>
        <w:gridCol w:w="223"/>
        <w:gridCol w:w="463"/>
        <w:gridCol w:w="125"/>
        <w:gridCol w:w="162"/>
      </w:tblGrid>
      <w:tr>
        <w:trPr/>
        <w:tc>
          <w:tcPr>
            <w:tcW w:w="51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4"/>
            <w:tcBorders/>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4"/>
            <w:tcBorders/>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Collateralized 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Warrants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beginning balance at June 30, 2024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Realized gains /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Dispositions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exchange gains /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ending balance at September 30, 2024 and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Recorded within Gain / (loss) on remeasurement of notes receivable on the Consolidated Statements of Operations.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Recorded within Other income / (expense), net on the Consolidated Statements of Operations.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24"/>
        <w:gridCol w:w="352"/>
        <w:gridCol w:w="357"/>
        <w:gridCol w:w="109"/>
        <w:gridCol w:w="109"/>
        <w:gridCol w:w="109"/>
        <w:gridCol w:w="276"/>
        <w:gridCol w:w="660"/>
        <w:gridCol w:w="156"/>
        <w:gridCol w:w="109"/>
        <w:gridCol w:w="109"/>
        <w:gridCol w:w="109"/>
        <w:gridCol w:w="274"/>
        <w:gridCol w:w="778"/>
        <w:gridCol w:w="154"/>
        <w:gridCol w:w="109"/>
        <w:gridCol w:w="109"/>
        <w:gridCol w:w="109"/>
        <w:gridCol w:w="311"/>
        <w:gridCol w:w="739"/>
        <w:gridCol w:w="174"/>
        <w:gridCol w:w="109"/>
        <w:gridCol w:w="109"/>
        <w:gridCol w:w="109"/>
        <w:gridCol w:w="276"/>
        <w:gridCol w:w="660"/>
        <w:gridCol w:w="156"/>
        <w:gridCol w:w="109"/>
        <w:gridCol w:w="109"/>
        <w:gridCol w:w="109"/>
        <w:gridCol w:w="274"/>
        <w:gridCol w:w="778"/>
        <w:gridCol w:w="154"/>
        <w:gridCol w:w="109"/>
        <w:gridCol w:w="109"/>
        <w:gridCol w:w="109"/>
        <w:gridCol w:w="223"/>
        <w:gridCol w:w="463"/>
        <w:gridCol w:w="125"/>
        <w:gridCol w:w="109"/>
        <w:gridCol w:w="109"/>
        <w:gridCol w:w="161"/>
      </w:tblGrid>
      <w:tr>
        <w:trPr/>
        <w:tc>
          <w:tcPr>
            <w:tcW w:w="52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Collateralized 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Warrants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beginning balance at December 31, 2023 and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Realized gains /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(3)</w:t>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Dispositions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exchange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Other adjustments</w:t>
            </w:r>
            <w:r>
              <w:rPr>
                <w:rFonts w:ascii="Times New Roman;sans-serif" w:hAnsi="Times New Roman;sans-serif"/>
                <w:b w:val="false"/>
                <w:color w:val="000000"/>
                <w:sz w:val="11"/>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ending balance at September 30, 2024 and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Recorded within Gain / (loss) on remeasurement of notes receivable on the Consolidated Statements of Operations.</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Recorded within Other income / (expense), net on the Consolidated Statements of Operations.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Recorded within Income from nonconsolidated affiliates on the Consolidated Statements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72465"/>
                <wp:effectExtent l="0" t="0" r="0" b="0"/>
                <wp:wrapNone/>
                <wp:docPr id="39" name="Frame3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76"/>
        <w:gridCol w:w="912"/>
        <w:gridCol w:w="915"/>
        <w:gridCol w:w="109"/>
        <w:gridCol w:w="109"/>
        <w:gridCol w:w="109"/>
        <w:gridCol w:w="693"/>
        <w:gridCol w:w="1648"/>
        <w:gridCol w:w="387"/>
        <w:gridCol w:w="109"/>
        <w:gridCol w:w="109"/>
        <w:gridCol w:w="109"/>
        <w:gridCol w:w="422"/>
        <w:gridCol w:w="1004"/>
        <w:gridCol w:w="236"/>
        <w:gridCol w:w="109"/>
        <w:gridCol w:w="109"/>
        <w:gridCol w:w="109"/>
        <w:gridCol w:w="109"/>
        <w:gridCol w:w="109"/>
        <w:gridCol w:w="447"/>
        <w:gridCol w:w="955"/>
        <w:gridCol w:w="311"/>
      </w:tblGrid>
      <w:tr>
        <w:trPr/>
        <w:tc>
          <w:tcPr>
            <w:tcW w:w="107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822" w:type="dxa"/>
            <w:gridSpan w:val="4"/>
            <w:tcBorders/>
          </w:tcPr>
          <w:p>
            <w:pPr>
              <w:pStyle w:val="TableContents"/>
              <w:bidi w:val="0"/>
              <w:spacing w:before="0" w:after="283"/>
              <w:jc w:val="left"/>
              <w:rPr>
                <w:sz w:val="4"/>
                <w:szCs w:val="4"/>
              </w:rPr>
            </w:pPr>
            <w:r>
              <w:rPr>
                <w:sz w:val="4"/>
                <w:szCs w:val="4"/>
              </w:rPr>
            </w:r>
          </w:p>
        </w:tc>
      </w:tr>
      <w:tr>
        <w:trPr/>
        <w:tc>
          <w:tcPr>
            <w:tcW w:w="2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2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Secured Borrowing on Collateralized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Contingent Consideration</w:t>
            </w:r>
          </w:p>
        </w:tc>
      </w:tr>
      <w:tr>
        <w:trPr/>
        <w:tc>
          <w:tcPr>
            <w:tcW w:w="2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beginning balance June 30, 2024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54.3 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Realized losses</w:t>
            </w:r>
            <w:r>
              <w:rPr>
                <w:rFonts w:ascii="Times New Roman;sans-serif" w:hAnsi="Times New Roman;sans-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ending balance at September 30, 2024 and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Recorded within Other income / (expense), net on the Consolidated Statements of Operations.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79"/>
        <w:gridCol w:w="915"/>
        <w:gridCol w:w="919"/>
        <w:gridCol w:w="109"/>
        <w:gridCol w:w="109"/>
        <w:gridCol w:w="109"/>
        <w:gridCol w:w="691"/>
        <w:gridCol w:w="1645"/>
        <w:gridCol w:w="386"/>
        <w:gridCol w:w="109"/>
        <w:gridCol w:w="109"/>
        <w:gridCol w:w="109"/>
        <w:gridCol w:w="422"/>
        <w:gridCol w:w="1003"/>
        <w:gridCol w:w="235"/>
        <w:gridCol w:w="109"/>
        <w:gridCol w:w="109"/>
        <w:gridCol w:w="109"/>
        <w:gridCol w:w="109"/>
        <w:gridCol w:w="109"/>
        <w:gridCol w:w="447"/>
        <w:gridCol w:w="954"/>
        <w:gridCol w:w="310"/>
      </w:tblGrid>
      <w:tr>
        <w:trPr/>
        <w:tc>
          <w:tcPr>
            <w:tcW w:w="107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c>
          <w:tcPr>
            <w:tcW w:w="1820" w:type="dxa"/>
            <w:gridSpan w:val="4"/>
            <w:tcBorders/>
          </w:tcPr>
          <w:p>
            <w:pPr>
              <w:pStyle w:val="TableContents"/>
              <w:bidi w:val="0"/>
              <w:spacing w:before="0" w:after="283"/>
              <w:jc w:val="left"/>
              <w:rPr>
                <w:sz w:val="4"/>
                <w:szCs w:val="4"/>
              </w:rPr>
            </w:pPr>
            <w:r>
              <w:rPr>
                <w:sz w:val="4"/>
                <w:szCs w:val="4"/>
              </w:rPr>
            </w:r>
          </w:p>
        </w:tc>
      </w:tr>
      <w:tr>
        <w:trPr/>
        <w:tc>
          <w:tcPr>
            <w:tcW w:w="2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2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Secured Borrowing on Collateralized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 Consideration</w:t>
            </w:r>
          </w:p>
        </w:tc>
      </w:tr>
      <w:tr>
        <w:trPr/>
        <w:tc>
          <w:tcPr>
            <w:tcW w:w="2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beginning balance December 31, 2023 and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55.8 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2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Realized losses</w:t>
            </w:r>
            <w:r>
              <w:rPr>
                <w:rFonts w:ascii="Times New Roman;sans-serif" w:hAnsi="Times New Roman;sans-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2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ending balance at September 30, 2024 and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52.8 </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Recorded within Other income / (expense), net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determined the estimated fair value amounts using available market information and commonly accepted valuation methodologies, considerable judgment is required in interpreting market data to develop fair value estimates. The fair value estimates are based on information available as of September 30, 2024. As such, our estimates of fair value could differ significantly from the actual carrying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17.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Proceedings - Class Action Litigation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Since August 31, 2023, several putative class action complaints have been filed in the U.S. District Court for the Northern District of Illinois, Eastern Division, against Datacomp Appraisal Systems, Inc., us, and nine other large MH operators in the U.S. The complaint alleges that the defendants have violated federal antitrust laws by sharing and receiving competitively sensitive non-public information to maintain artificially high site rents. The complaints have been consolidated into the case captioned </w:t>
      </w:r>
      <w:r>
        <w:rPr>
          <w:rFonts w:ascii="Times New Roman;sans-serif" w:hAnsi="Times New Roman;sans-serif"/>
          <w:b w:val="false"/>
          <w:i/>
          <w:color w:val="000000"/>
          <w:sz w:val="20"/>
        </w:rPr>
        <w:t>In re Manufactured Home Lot Rents Antitrust Litigation, No. 1:23-cv-06715.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Plaintiffs seek both injunctive and monetary damages, as well as attorneys' fees. We are unable to estimate a range of loss, if any, that could result were there to be an adverse final decision in this litigation. If an unfavorable result were to occur, it is possible that the impact could be material to our results of operations in the periods in which any such outcome becomes probable and estimable.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plaintiffs' allegations are without merit and intend to defend against them vigorously. However, litigation is inherently uncertain and there can be no assurance regarding the likelihood that our defense of this litigation will be successful.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other legal proceedings arising in the ordinary course of business. All such proceedings, taken together, are not expected to have a material adverse impact on our results of operations or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72465"/>
                <wp:effectExtent l="0" t="0" r="0" b="0"/>
                <wp:wrapNone/>
                <wp:docPr id="40" name="Frame3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Catastrophic Event-Related Charges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Hurricane Helene - </w:t>
      </w:r>
      <w:r>
        <w:rPr>
          <w:rFonts w:ascii="Times New Roman;sans-serif" w:hAnsi="Times New Roman;sans-serif"/>
          <w:b w:val="false"/>
          <w:color w:val="000000"/>
          <w:sz w:val="20"/>
        </w:rPr>
        <w:t>On September 26, 2024, Hurricane Helene made landfall in Florida and subsequently affected the Mid-Atlantic region of the U.S. Our assessment indicated that material damage to our properties was largely avoided. During the three months ended September 30, 2024, we recognized charges of $2.2 million for impaired assets at two MH communities and three RV communities, and charges of $1.7 million for impaired assets at nine marinas, which were recorded within Catastrophic-event related charges, net on the Consolidated Statements of Operations. The impacted properties are located in Florida, South Carolina, North Carolina and Georgia.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impairment charges are based on current information available, and we continue to assess these estimates. The actual final impairment could vary significantly from these estimates. Any changes to these estimates will be recognized in the period(s) in which they are determined.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Hurricane Ian - </w:t>
      </w:r>
      <w:r>
        <w:rPr>
          <w:rFonts w:ascii="Times New Roman;sans-serif" w:hAnsi="Times New Roman;sans-serif"/>
          <w:b w:val="false"/>
          <w:color w:val="000000"/>
          <w:sz w:val="20"/>
        </w:rPr>
        <w:t>When Hurricane Ian made landfall on Florida's western coast in September 2022, the storm primarily affected three properties in the Fort Myers area, comprising approximately 2,500 sites. These properties sustained significant flooding and wind damage from the hurricane. At other affected MH and RV properties, most of the damage was limited to trees, roofs, fences, skirting and carports. At affected marina properties, docks, buildings and landscaping sustained wind and water damage. We maintain property, casualty, flood and business interruption insurance for our community portfolio, subject to customary deductibles and limits.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Estimated property insurance recoveries, excluding business interruption recoveries, of $49.3 million related to Hurricane Ian were recorded in Notes and other receivables, net, on the Consolidated Balance Sheets as of September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changes in estimated property insurance recoveries, excluding business interruption recoveries (in millions):</w:t>
      </w:r>
    </w:p>
    <w:p>
      <w:pPr>
        <w:pStyle w:val="TextBody"/>
        <w:bidi w:val="0"/>
        <w:spacing w:before="0" w:after="0"/>
        <w:jc w:val="both"/>
        <w:rPr/>
      </w:pPr>
      <w:r>
        <w:rPr/>
      </w:r>
    </w:p>
    <w:tbl>
      <w:tblPr>
        <w:tblW w:w="6101" w:type="dxa"/>
        <w:jc w:val="left"/>
        <w:tblInd w:w="0" w:type="dxa"/>
        <w:tblLayout w:type="fixed"/>
        <w:tblCellMar>
          <w:top w:w="28" w:type="dxa"/>
          <w:left w:w="28" w:type="dxa"/>
          <w:bottom w:w="28" w:type="dxa"/>
          <w:right w:w="28" w:type="dxa"/>
        </w:tblCellMar>
      </w:tblPr>
      <w:tblGrid>
        <w:gridCol w:w="1515"/>
        <w:gridCol w:w="1330"/>
        <w:gridCol w:w="1339"/>
        <w:gridCol w:w="109"/>
        <w:gridCol w:w="109"/>
        <w:gridCol w:w="109"/>
        <w:gridCol w:w="382"/>
        <w:gridCol w:w="908"/>
        <w:gridCol w:w="300"/>
      </w:tblGrid>
      <w:tr>
        <w:trPr/>
        <w:tc>
          <w:tcPr>
            <w:tcW w:w="151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br/>
              <w:t>September 30, 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estimated insurance receivable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Change in estimated property insurance recoveries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received from insurer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(18.4)</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Total estimated insurance receivable -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estimates are based on current information available, and we continue to assess these estimates. Actual charges and insurance recoveries could vary significantly from these estimates. Any changes to these estimates will be recognized in the period(s) in which they are determined.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actively working with our insurance providers on claims for business interruption recoveries. During the nine months ended September 30, 2024 we recognized $5.2 million, net of deductibles, for lost earnings from Hurricane Ian covering the period from September 1, 2023 through January 31, 2024. The business interruption proceeds were recorded within Brokerage commissions and other, net in our Consolidated Statements of Operations. The related communities are under redevelopment and we have gradually started to lease developed sites at these communities to customers. However, we currently cannot estimate a date when operating results will be restored to pre-hurricane levels. Our business interruption insurance policy provides for up to 60 months of coverage from the date of restoration.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we received an insurance recovery of $1.6 million in excess of previously estimated costs related to damages incurred at certain marinas due to Hurricane Ian. The insurance recovery gain was recorded within Catastrophic event-related charges, net on the Consolidated Statements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72465"/>
                <wp:effectExtent l="0" t="0" r="0" b="0"/>
                <wp:wrapNone/>
                <wp:docPr id="41" name="Frame4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Other - </w:t>
      </w:r>
      <w:r>
        <w:rPr>
          <w:rFonts w:ascii="Times New Roman;sans-serif" w:hAnsi="Times New Roman;sans-serif"/>
          <w:b w:val="false"/>
          <w:color w:val="000000"/>
          <w:sz w:val="20"/>
        </w:rPr>
        <w:t>In December 2023, one of our RV properties with approximately 300 sites sustained property damage due to heavy rainfall and flooding in the North Conway, New Hampshire area. Based on a preliminary review performed by an insurance adjuster, we recognized asset impairment charges of $7.0 million during the three months ended December 31, 2023, primarily related to site improvements, vacation rental cabins, and equipment. During the nine months ended September 30, 2024, we recognized incremental charges of $11.6 million related to the impacted property, comprised of $3.1 million for impaired assets and $8.5 million for debris removal, cleanup and repairs. We received $6.0 million in insurance proceeds during the nine months ended September 30, 2024 related to the flood event. The charges and related proceeds were recorded within Catastrophic event-related charges, net in our Consolidated Statements of Operations. The foregoing estimates are based on current information available after the preliminary review of the damages incurred. Actual charges and insurance recoveries could differ from these estimates. Any changes to these estimates will be recognized in the period(s) in which they are determined.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18.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Lessee Accounting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lease land under non-cancelable operating leases at certain MH, RV, Marina and UK properties expiring at various dates through 2100. The majority of the leases have terms requiring fixed payments plus additional rents based on a percentage of revenues at those properties. We also have other operating leases, primarily office space and equipment expiring at various dates through 2042.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September 30, 2024 where we are the lessee include (in millions):</w:t>
      </w:r>
    </w:p>
    <w:p>
      <w:pPr>
        <w:pStyle w:val="TextBody"/>
        <w:bidi w:val="0"/>
        <w:spacing w:before="0" w:after="0"/>
        <w:jc w:val="both"/>
        <w:rPr/>
      </w:pPr>
      <w:r>
        <w:rPr/>
      </w:r>
    </w:p>
    <w:tbl>
      <w:tblPr>
        <w:tblW w:w="8589" w:type="dxa"/>
        <w:jc w:val="left"/>
        <w:tblInd w:w="0" w:type="dxa"/>
        <w:tblLayout w:type="fixed"/>
        <w:tblCellMar>
          <w:top w:w="28" w:type="dxa"/>
          <w:left w:w="28" w:type="dxa"/>
          <w:bottom w:w="28" w:type="dxa"/>
          <w:right w:w="28" w:type="dxa"/>
        </w:tblCellMar>
      </w:tblPr>
      <w:tblGrid>
        <w:gridCol w:w="1504"/>
        <w:gridCol w:w="1322"/>
        <w:gridCol w:w="1328"/>
        <w:gridCol w:w="109"/>
        <w:gridCol w:w="109"/>
        <w:gridCol w:w="109"/>
        <w:gridCol w:w="301"/>
        <w:gridCol w:w="716"/>
        <w:gridCol w:w="167"/>
        <w:gridCol w:w="109"/>
        <w:gridCol w:w="109"/>
        <w:gridCol w:w="109"/>
        <w:gridCol w:w="310"/>
        <w:gridCol w:w="882"/>
        <w:gridCol w:w="172"/>
        <w:gridCol w:w="109"/>
        <w:gridCol w:w="109"/>
        <w:gridCol w:w="109"/>
        <w:gridCol w:w="196"/>
        <w:gridCol w:w="556"/>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Maturity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4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2024 (excluding nine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("ROU") assets and lease liabilities for finance and operating leases as included in our Consolidated Balance Sheets are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11"/>
        <w:gridCol w:w="1156"/>
        <w:gridCol w:w="1161"/>
        <w:gridCol w:w="109"/>
        <w:gridCol w:w="109"/>
        <w:gridCol w:w="109"/>
        <w:gridCol w:w="768"/>
        <w:gridCol w:w="768"/>
        <w:gridCol w:w="770"/>
        <w:gridCol w:w="109"/>
        <w:gridCol w:w="109"/>
        <w:gridCol w:w="109"/>
        <w:gridCol w:w="323"/>
        <w:gridCol w:w="918"/>
        <w:gridCol w:w="181"/>
        <w:gridCol w:w="109"/>
        <w:gridCol w:w="109"/>
        <w:gridCol w:w="109"/>
        <w:gridCol w:w="109"/>
        <w:gridCol w:w="109"/>
        <w:gridCol w:w="109"/>
        <w:gridCol w:w="109"/>
        <w:gridCol w:w="308"/>
        <w:gridCol w:w="876"/>
        <w:gridCol w:w="248"/>
      </w:tblGrid>
      <w:tr>
        <w:trPr/>
        <w:tc>
          <w:tcPr>
            <w:tcW w:w="13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As of </w:t>
            </w:r>
          </w:p>
        </w:tc>
        <w:tc>
          <w:tcPr>
            <w:tcW w:w="1759" w:type="dxa"/>
            <w:gridSpan w:val="6"/>
            <w:tcBorders/>
          </w:tcPr>
          <w:p>
            <w:pPr>
              <w:pStyle w:val="TableContents"/>
              <w:bidi w:val="0"/>
              <w:spacing w:before="0" w:after="283"/>
              <w:jc w:val="left"/>
              <w:rPr>
                <w:sz w:val="4"/>
                <w:szCs w:val="4"/>
              </w:rPr>
            </w:pPr>
            <w:r>
              <w:rPr>
                <w:sz w:val="4"/>
                <w:szCs w:val="4"/>
              </w:rPr>
            </w:r>
          </w:p>
        </w:tc>
      </w:tr>
      <w:tr>
        <w:trPr/>
        <w:tc>
          <w:tcPr>
            <w:tcW w:w="3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3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 - ROU asset,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 ROU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Below market operating leases,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72465"/>
                <wp:effectExtent l="0" t="0" r="0" b="0"/>
                <wp:wrapNone/>
                <wp:docPr id="42" name="Frame4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for finance and operating leases as included in our Consolidated Statements of Operations are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45"/>
        <w:gridCol w:w="430"/>
        <w:gridCol w:w="433"/>
        <w:gridCol w:w="109"/>
        <w:gridCol w:w="109"/>
        <w:gridCol w:w="109"/>
        <w:gridCol w:w="874"/>
        <w:gridCol w:w="874"/>
        <w:gridCol w:w="876"/>
        <w:gridCol w:w="109"/>
        <w:gridCol w:w="109"/>
        <w:gridCol w:w="109"/>
        <w:gridCol w:w="322"/>
        <w:gridCol w:w="618"/>
        <w:gridCol w:w="181"/>
        <w:gridCol w:w="109"/>
        <w:gridCol w:w="109"/>
        <w:gridCol w:w="109"/>
        <w:gridCol w:w="284"/>
        <w:gridCol w:w="677"/>
        <w:gridCol w:w="159"/>
        <w:gridCol w:w="109"/>
        <w:gridCol w:w="109"/>
        <w:gridCol w:w="109"/>
        <w:gridCol w:w="284"/>
        <w:gridCol w:w="677"/>
        <w:gridCol w:w="159"/>
        <w:gridCol w:w="109"/>
        <w:gridCol w:w="109"/>
        <w:gridCol w:w="109"/>
        <w:gridCol w:w="280"/>
        <w:gridCol w:w="666"/>
        <w:gridCol w:w="231"/>
      </w:tblGrid>
      <w:tr>
        <w:trPr/>
        <w:tc>
          <w:tcPr>
            <w:tcW w:w="54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 Property operating and maintenance,</w:t>
              <w:b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operating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23.5 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term, discount rates and additional information for finance and operating leases are as follows:</w:t>
      </w:r>
    </w:p>
    <w:p>
      <w:pPr>
        <w:pStyle w:val="TextBody"/>
        <w:bidi w:val="0"/>
        <w:spacing w:before="0" w:after="0"/>
        <w:jc w:val="both"/>
        <w:rPr/>
      </w:pPr>
      <w:r>
        <w:rPr/>
      </w:r>
    </w:p>
    <w:tbl>
      <w:tblPr>
        <w:tblW w:w="7521" w:type="dxa"/>
        <w:jc w:val="left"/>
        <w:tblInd w:w="0" w:type="dxa"/>
        <w:tblLayout w:type="fixed"/>
        <w:tblCellMar>
          <w:top w:w="28" w:type="dxa"/>
          <w:left w:w="28" w:type="dxa"/>
          <w:bottom w:w="28" w:type="dxa"/>
          <w:right w:w="28" w:type="dxa"/>
        </w:tblCellMar>
      </w:tblPr>
      <w:tblGrid>
        <w:gridCol w:w="1368"/>
        <w:gridCol w:w="1203"/>
        <w:gridCol w:w="1208"/>
        <w:gridCol w:w="109"/>
        <w:gridCol w:w="109"/>
        <w:gridCol w:w="109"/>
        <w:gridCol w:w="365"/>
        <w:gridCol w:w="365"/>
        <w:gridCol w:w="814"/>
        <w:gridCol w:w="109"/>
        <w:gridCol w:w="109"/>
        <w:gridCol w:w="109"/>
        <w:gridCol w:w="333"/>
        <w:gridCol w:w="333"/>
        <w:gridCol w:w="878"/>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Lease Term and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Weighted-average Remaining Lease Terms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36.63</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27.71</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3.67 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3.59 </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3.82 </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3.82 </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before="0" w:after="0"/>
        <w:jc w:val="both"/>
        <w:rPr/>
      </w:pPr>
      <w:r>
        <w:rPr/>
      </w:r>
    </w:p>
    <w:tbl>
      <w:tblPr>
        <w:tblW w:w="8933" w:type="dxa"/>
        <w:jc w:val="left"/>
        <w:tblInd w:w="0" w:type="dxa"/>
        <w:tblLayout w:type="fixed"/>
        <w:tblCellMar>
          <w:top w:w="28" w:type="dxa"/>
          <w:left w:w="28" w:type="dxa"/>
          <w:bottom w:w="28" w:type="dxa"/>
          <w:right w:w="28" w:type="dxa"/>
        </w:tblCellMar>
      </w:tblPr>
      <w:tblGrid>
        <w:gridCol w:w="1862"/>
        <w:gridCol w:w="1636"/>
        <w:gridCol w:w="1646"/>
        <w:gridCol w:w="109"/>
        <w:gridCol w:w="109"/>
        <w:gridCol w:w="109"/>
        <w:gridCol w:w="392"/>
        <w:gridCol w:w="933"/>
        <w:gridCol w:w="220"/>
        <w:gridCol w:w="109"/>
        <w:gridCol w:w="109"/>
        <w:gridCol w:w="109"/>
        <w:gridCol w:w="382"/>
        <w:gridCol w:w="908"/>
        <w:gridCol w:w="300"/>
      </w:tblGrid>
      <w:tr>
        <w:trPr/>
        <w:tc>
          <w:tcPr>
            <w:tcW w:w="1862"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cash outflows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Financing cash outflows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Cash Paid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Lessor Accounting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the lessor for any finance leases at our MH, RV, Marina or UK properties as of September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Nearly all of our operating leases with our residents and customers at our MH, RV and UK properties where we are the lessor are either month-to-month or for a time period not to exceed one year. As of September 30, 2024, future minimum lease payments with our residents or customers would not exceed 12 months.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72465"/>
                <wp:effectExtent l="0" t="0" r="0" b="0"/>
                <wp:wrapNone/>
                <wp:docPr id="43" name="Frame4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operating leases with real estate operators on our MH or UK properties. At our RV communities and marinas, future minimum lease payments under non-cancellable leases with real estate operators where we are the lessor include the following as of September 30, 2024 (in millions):</w:t>
      </w:r>
    </w:p>
    <w:p>
      <w:pPr>
        <w:pStyle w:val="TextBody"/>
        <w:bidi w:val="0"/>
        <w:spacing w:before="0" w:after="0"/>
        <w:jc w:val="both"/>
        <w:rPr/>
      </w:pPr>
      <w:r>
        <w:rPr/>
      </w:r>
    </w:p>
    <w:tbl>
      <w:tblPr>
        <w:tblW w:w="6146" w:type="dxa"/>
        <w:jc w:val="left"/>
        <w:tblInd w:w="0" w:type="dxa"/>
        <w:tblLayout w:type="fixed"/>
        <w:tblCellMar>
          <w:top w:w="28" w:type="dxa"/>
          <w:left w:w="28" w:type="dxa"/>
          <w:bottom w:w="28" w:type="dxa"/>
          <w:right w:w="28" w:type="dxa"/>
        </w:tblCellMar>
      </w:tblPr>
      <w:tblGrid>
        <w:gridCol w:w="1596"/>
        <w:gridCol w:w="1405"/>
        <w:gridCol w:w="1409"/>
        <w:gridCol w:w="109"/>
        <w:gridCol w:w="109"/>
        <w:gridCol w:w="109"/>
        <w:gridCol w:w="305"/>
        <w:gridCol w:w="865"/>
        <w:gridCol w:w="239"/>
      </w:tblGrid>
      <w:tr>
        <w:trPr/>
        <w:tc>
          <w:tcPr>
            <w:tcW w:w="159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 xml:space="preserve">Maturity of Lease Payments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Operating Leases</w:t>
            </w:r>
          </w:p>
        </w:tc>
      </w:tr>
      <w:tr>
        <w:trPr/>
        <w:tc>
          <w:tcPr>
            <w:tcW w:w="4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2024 (excluding the nine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Undiscounted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142.8 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income for our operating leases, as included in our Consolidated Statement of Operations are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56"/>
        <w:gridCol w:w="401"/>
        <w:gridCol w:w="403"/>
        <w:gridCol w:w="109"/>
        <w:gridCol w:w="109"/>
        <w:gridCol w:w="109"/>
        <w:gridCol w:w="908"/>
        <w:gridCol w:w="908"/>
        <w:gridCol w:w="911"/>
        <w:gridCol w:w="109"/>
        <w:gridCol w:w="109"/>
        <w:gridCol w:w="109"/>
        <w:gridCol w:w="287"/>
        <w:gridCol w:w="684"/>
        <w:gridCol w:w="161"/>
        <w:gridCol w:w="109"/>
        <w:gridCol w:w="109"/>
        <w:gridCol w:w="109"/>
        <w:gridCol w:w="287"/>
        <w:gridCol w:w="684"/>
        <w:gridCol w:w="161"/>
        <w:gridCol w:w="109"/>
        <w:gridCol w:w="109"/>
        <w:gridCol w:w="109"/>
        <w:gridCol w:w="287"/>
        <w:gridCol w:w="684"/>
        <w:gridCol w:w="161"/>
        <w:gridCol w:w="109"/>
        <w:gridCol w:w="109"/>
        <w:gridCol w:w="109"/>
        <w:gridCol w:w="283"/>
        <w:gridCol w:w="673"/>
        <w:gridCol w:w="231"/>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Fixed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from real property; Brokerage commissions and other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Variable lease income</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from real property; Brokerage commissions and other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Consists of rent primarily based on a percentage of operating revenues beyond target thresholds.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Failed Sale Leaseback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connection with our acquisition of Park Holidays, we assumed ground lease arrangements for 34 UK properties that we concluded to be failed sale-leaseback transactions under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The arrangements have maturities ranging from 2117 through 2197 with an option to repurchase for £1.00 at the end of the term. The obligation related to the underlying ground leases has been recorded as a financial liability in Other Liabilities on the Consolidated Balance Sheets. The financial liability was $378.7 million and $359.7 million as of September 30, 2024 and December 31, 2023, respectively. The following table presents the future minimum rental payments for this financial liability as of September 30, 2024 (in millions):</w:t>
      </w:r>
    </w:p>
    <w:p>
      <w:pPr>
        <w:pStyle w:val="TextBody"/>
        <w:bidi w:val="0"/>
        <w:spacing w:before="0" w:after="0"/>
        <w:jc w:val="both"/>
        <w:rPr/>
      </w:pPr>
      <w:r>
        <w:rPr/>
      </w:r>
    </w:p>
    <w:tbl>
      <w:tblPr>
        <w:tblW w:w="6072" w:type="dxa"/>
        <w:jc w:val="left"/>
        <w:tblInd w:w="0" w:type="dxa"/>
        <w:tblLayout w:type="fixed"/>
        <w:tblCellMar>
          <w:top w:w="28" w:type="dxa"/>
          <w:left w:w="28" w:type="dxa"/>
          <w:bottom w:w="28" w:type="dxa"/>
          <w:right w:w="28" w:type="dxa"/>
        </w:tblCellMar>
      </w:tblPr>
      <w:tblGrid>
        <w:gridCol w:w="1504"/>
        <w:gridCol w:w="1320"/>
        <w:gridCol w:w="1331"/>
        <w:gridCol w:w="109"/>
        <w:gridCol w:w="109"/>
        <w:gridCol w:w="109"/>
        <w:gridCol w:w="299"/>
        <w:gridCol w:w="1056"/>
        <w:gridCol w:w="235"/>
      </w:tblGrid>
      <w:tr>
        <w:trPr/>
        <w:tc>
          <w:tcPr>
            <w:tcW w:w="150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Maturity of Financial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2024 (excluding nine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1,850.4 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1,904.1 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(1,525.4)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Present Value of Financial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378.7 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72465"/>
                <wp:effectExtent l="0" t="0" r="0" b="0"/>
                <wp:wrapNone/>
                <wp:docPr id="44" name="Frame4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19. 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October 2023, the FASB issued ASU 2023-06, "</w:t>
      </w:r>
      <w:r>
        <w:rPr>
          <w:rFonts w:ascii="Times New Roman;sans-serif" w:hAnsi="Times New Roman;sans-serif"/>
          <w:b w:val="false"/>
          <w:i/>
          <w:color w:val="000000"/>
          <w:sz w:val="20"/>
        </w:rPr>
        <w:t>Disclosure Improvements: Codification Amendments in Response to the SEC's Disclosure Update and Simplification Initiative</w:t>
      </w:r>
      <w:r>
        <w:rPr>
          <w:rFonts w:ascii="Times New Roman;sans-serif" w:hAnsi="Times New Roman;sans-serif"/>
          <w:b w:val="false"/>
          <w:color w:val="000000"/>
          <w:sz w:val="20"/>
        </w:rPr>
        <w:t>," which adds interim and annual disclosure requirements to the U.S. GAAP codification at the request of the SEC. The new guidance is intended to align GAAP requirements with those of the SEC and to facilitate the application of GAAP for all entities. These disclosure requirements are currently included in either SEC Regulation S-X or SEC Regulation S-K. The effective date for each amendment will be the date on which the SEC's removal of that related disclosure from Regulation S-X or Regulation S-K becomes effective. Early adoption is prohibited and the amendments should be applied prospectively. If the SEC has not removed the applicable requirement from Regulation S-X or Regulation S-K by June 30, 2027, the amendments will be removed from the U.S. GAAP codification and will not be effective.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enhances disclosure of significant segment expenses that are regularly provided to the chief operating decision maker to assess segment performance, including each reported measure of segment profit or loss, an amount and description of the composition for other segment items to reconcile to segment profit or loss, interim disclosures of a reportable segment's profit or loss and assets, and the title and position of our chief operating decision maker. This ASU is effective for fiscal years beginning after December 15, 2023, and interim periods within fiscal years beginning after December 15, 2024. Early adoption is permitted and the amendments should be applied prospectively. We are currently evaluating the provisions of this amendment and the impact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requires disclosure of specific categories in the effective tax rate reconciliation as well as provide additional information for reconciling items that meet a quantitative threshold. Further, this amendment requires certain disclosure of income taxes paid disaggregated by federal, state and foreign taxes, and the amount of income taxes paid disaggregated by individual jurisdiction in which income taxes paid meet a quantitative threshold. The new guidance is intended to enhance the transparency and decision usefulness of income tax disclosures. This ASU is effective for fiscal years beginning after December 15, 2024. Early adoption is permitted and the amendments should be applied prospectively. We are currently evaluating the provisions of this amendment and the impact on our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 Subsequent Events</w:t>
      </w:r>
    </w:p>
    <w:tbl>
      <w:tblPr>
        <w:tblW w:w="38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Hurricane Milton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9, 2024, Hurricane Milton made landfall in Florida and affected certain of our properties in the region. We responded quickly to the event, and clean-up and restoration efforts are in progress. We believe that we have adequate property, casualty, flood and business interruption insurance, and at this time, we do not believe that Hurricane Milton will have a significant adverse impact on our operating results or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Retirement of Chief Executive Officer and Appointment of President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5, 2024, Gary Shiffman, our Chairman of the Board and Chief Executive Officer, informed the Board of Directors of his intent to retire as Chief Executive Officer following the expected appointment of his successor by the end of the year ending December 31, 2025. Mr. Shiffman will continue to actively serve as Chief Executive Officer until the effective date of the Board's appointment of his successor.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6, 2024, we appointed John McLaren as President. Mr. McLaren has served as our Strategic Adviser of Residential Communities since January 2023, and previously served as our President from 2014 to 2022 and our Chief Operating Officer from 2008 to 2022. Pursuant to Mr. McLaren's appointment as President, we issued 50,000 shares of restricted common stock, 20,000 of which will vest in equal annual installments over five years, and 30,000 are subject to performance vesting after three years based on certain market performance criteria.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our Consolidated Financial Statements for subsequent events through the date that this Form 10-Q was issued.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72465"/>
                <wp:effectExtent l="0" t="0" r="0" b="0"/>
                <wp:wrapNone/>
                <wp:docPr id="45" name="Frame4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ind w:left="0" w:right="0" w:hanging="945"/>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the consolidated financial condition and results of operations should be read in conjunction with the Consolidated Financial Statements and the accompanying Notes, along with our 2023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fully integrated REIT. As of September 30, 2024, we owned and operated, directly or indirectly, or had an interest in, a portfolio of 659 developed properties located in the U.S., Canada and the United Kingdom including 288 MH communities, 179 RV communities, 138 marinas, and 54 UK communities.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in the business of operating, acquiring, developing and expanding MH and RV communities since 1975, marinas since 2020, and communities in the United Kingdom since 2022. We lease individual parcels of land, or sites, with utility access for the placement of manufactured homes and RVs to our MH, RV and UK customers. Our MH communities are designed to offer affordable housing to individuals and families, while also providing certain amenities. In the U.S., we are also engaged in the marketing, selling and leasing of new and pre-owned homes to current and future residents in our MH communities. The rental program operations within our MH communities support and enhance our occupancy levels, property performance and cash flows. Our RV communities are designed to offer affordable vacation opportunities to individuals and families complemented by a diverse selection of high-quality amenities. The majority of our marinas are concentrated in coastal regions. Our marinas offer wet slip and dry storage space leases, end-to-end service (such as routine maintenance, repair and winterization), fuel sales and other high-end amenities. These services and amenities offer convenience and resort-quality experiences to our members and guests. In the United Kingdom, our UK communities are referred to as "holiday parks" and are located predominantly at irreplaceable seaside destinations in the south of England. We provide holiday home sales and associated site license activities to holiday homeowners in our communities.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Annual Report on Form 10-K for the year ended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NOI</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Total Portfolio NOI - </w:t>
      </w:r>
      <w:r>
        <w:rPr>
          <w:rFonts w:ascii="Times New Roman;sans-serif" w:hAnsi="Times New Roman;sans-serif"/>
          <w:b w:val="false"/>
          <w:color w:val="000000"/>
          <w:sz w:val="20"/>
        </w:rPr>
        <w:t>NOI is derived from property operating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 / 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 We believe that NOI provides enhanced comparability for investor evaluation of properties' performance and growth over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72465"/>
                <wp:effectExtent l="0" t="0" r="0" b="0"/>
                <wp:wrapNone/>
                <wp:docPr id="46" name="Frame4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Same Property NOI</w:t>
      </w:r>
      <w:r>
        <w:rPr>
          <w:color w:val="000000"/>
        </w:rPr>
        <w:t xml:space="preserve"> </w:t>
      </w:r>
      <w:r>
        <w:rPr>
          <w:rFonts w:ascii="Times New Roman;sans-serif" w:hAnsi="Times New Roman;sans-serif"/>
          <w:b w:val="false"/>
          <w:color w:val="000000"/>
          <w:sz w:val="20"/>
        </w:rPr>
        <w:t>- This is a management tool used when evaluating the performance and growth of our Same Property portfolio. We define same properties as those we have owned and operated continuously since January 1, 2023. Same properties exclude ground-up development properties, acquired properties and properties sold after December 31, 2022. The Same Property data may change from time-to-time depending on acquisitions, dispositions, management discretion, significant transactions or unique situations. Same Property NOI does not include the revenues and expenses related to home sales, and service, retail, dining and entertainment activities at the properties. We believe that Same Property NOI is helpful to investors as a supplemental comparative performance measure of the income generated from the Same Property portfolio from one period to the next.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FFO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FFO is defined by the National Association of Real Estate Investment Trusts ("Nareit") as GAAP net income (loss), excluding gains (or losses) from sales of certain real estate assets, plus real estate related depreciation and amortization, impairments of certain real estate assets and investments,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real estate related to impairment and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Core FFO</w:t>
      </w:r>
      <w:r>
        <w:rPr>
          <w:color w:val="000000"/>
        </w:rPr>
        <w:t xml:space="preserve"> </w:t>
      </w:r>
      <w:r>
        <w:rPr>
          <w:rFonts w:ascii="Times New Roman;sans-serif" w:hAnsi="Times New Roman;sans-serif"/>
          <w:b w:val="false"/>
          <w:color w:val="000000"/>
          <w:sz w:val="20"/>
        </w:rPr>
        <w:t>- In addition, we use FFO excluding certain gain and loss items that management considers unrelated to the operational and financial performance of our core business ("Core FFO").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FFO and Core FFO provide enhanced comparability for investor evaluations of period-over-period results. We believe that GAAP net income (loss) is the most directly comparable measure to FFO. The principal limitation of FFO is that it does not replace GAAP net income (loss) as a financial performance measure or GAAP cash flow from operating activities as a measure of our liquidity.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72465"/>
                <wp:effectExtent l="0" t="0" r="0" b="0"/>
                <wp:wrapNone/>
                <wp:docPr id="47" name="Frame4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Net income / (loss) attributable to SUI common shareholders to NOI and summarize our consolidated financial results for the three and nine months ended September 30, 2024 and 2023 (in millions):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446"/>
        <w:gridCol w:w="1188"/>
        <w:gridCol w:w="1196"/>
        <w:gridCol w:w="109"/>
        <w:gridCol w:w="109"/>
        <w:gridCol w:w="109"/>
        <w:gridCol w:w="278"/>
        <w:gridCol w:w="790"/>
        <w:gridCol w:w="156"/>
        <w:gridCol w:w="109"/>
        <w:gridCol w:w="109"/>
        <w:gridCol w:w="109"/>
        <w:gridCol w:w="278"/>
        <w:gridCol w:w="790"/>
        <w:gridCol w:w="156"/>
        <w:gridCol w:w="109"/>
        <w:gridCol w:w="109"/>
        <w:gridCol w:w="109"/>
        <w:gridCol w:w="252"/>
        <w:gridCol w:w="891"/>
        <w:gridCol w:w="140"/>
        <w:gridCol w:w="109"/>
        <w:gridCol w:w="109"/>
        <w:gridCol w:w="109"/>
        <w:gridCol w:w="250"/>
        <w:gridCol w:w="882"/>
        <w:gridCol w:w="204"/>
      </w:tblGrid>
      <w:tr>
        <w:trPr/>
        <w:tc>
          <w:tcPr>
            <w:tcW w:w="144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 (Loss) Attributable to SUI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Business combination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482.3 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 (see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mandatorily redeemable preferred OP units /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marketable securities (see Note 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foreign currency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 (see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from nonconsolidated affiliates (see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investment in nonconsolidated affiliates (see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Current tax (benefit) / expense (see Note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 (see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Preferred return to preferred OP units / equity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Income /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443.1 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458.8 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1,132.7 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1,118.0 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90"/>
        <w:gridCol w:w="942"/>
        <w:gridCol w:w="938"/>
        <w:gridCol w:w="109"/>
        <w:gridCol w:w="109"/>
        <w:gridCol w:w="109"/>
        <w:gridCol w:w="332"/>
        <w:gridCol w:w="943"/>
        <w:gridCol w:w="186"/>
        <w:gridCol w:w="109"/>
        <w:gridCol w:w="109"/>
        <w:gridCol w:w="109"/>
        <w:gridCol w:w="332"/>
        <w:gridCol w:w="943"/>
        <w:gridCol w:w="186"/>
        <w:gridCol w:w="109"/>
        <w:gridCol w:w="109"/>
        <w:gridCol w:w="109"/>
        <w:gridCol w:w="290"/>
        <w:gridCol w:w="1025"/>
        <w:gridCol w:w="161"/>
        <w:gridCol w:w="109"/>
        <w:gridCol w:w="109"/>
        <w:gridCol w:w="109"/>
        <w:gridCol w:w="286"/>
        <w:gridCol w:w="1011"/>
        <w:gridCol w:w="232"/>
      </w:tblGrid>
      <w:tr>
        <w:trPr/>
        <w:tc>
          <w:tcPr>
            <w:tcW w:w="109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NOI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393.4 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964.1 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sales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 NOI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443.1 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458.8 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1,132.7 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1,118.0 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72465"/>
                <wp:effectExtent l="0" t="0" r="0" b="0"/>
                <wp:wrapNone/>
                <wp:docPr id="48" name="Frame4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of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RV, Marina, and UK segments are seasonal and the results of operations in any one period may not be indicative of results in future periods.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RV segment, certain properties maintain higher occupancy during the summer months, while other properties maintain higher occupancy during the winter months. Based on the location of our properties with transient RV sites, our portfolio generally produces higher revenues between April and September than between October and March. In the UK segment, vacation rental sites generally produce higher revenues between March and October. Through September 30, 2024, we recognized aggregate Real property - transient revenue from our RV and UK segments of $37.7 million in the first quarter, $81.7 million in the second quarter and $138.2 million in the third quarter. During the year ended December 31, 2023, we recognized Real property - transient revenue as follows:</w:t>
      </w:r>
    </w:p>
    <w:p>
      <w:pPr>
        <w:pStyle w:val="TextBody"/>
        <w:bidi w:val="0"/>
        <w:spacing w:before="0" w:after="0"/>
        <w:jc w:val="both"/>
        <w:rPr/>
      </w:pPr>
      <w:r>
        <w:rPr/>
      </w:r>
    </w:p>
    <w:tbl>
      <w:tblPr>
        <w:tblW w:w="9742"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587"/>
        <w:gridCol w:w="1666"/>
        <w:gridCol w:w="326"/>
        <w:gridCol w:w="109"/>
        <w:gridCol w:w="109"/>
        <w:gridCol w:w="109"/>
        <w:gridCol w:w="233"/>
        <w:gridCol w:w="233"/>
        <w:gridCol w:w="426"/>
        <w:gridCol w:w="109"/>
        <w:gridCol w:w="109"/>
        <w:gridCol w:w="109"/>
        <w:gridCol w:w="233"/>
        <w:gridCol w:w="233"/>
        <w:gridCol w:w="354"/>
        <w:gridCol w:w="109"/>
        <w:gridCol w:w="109"/>
        <w:gridCol w:w="109"/>
        <w:gridCol w:w="259"/>
        <w:gridCol w:w="259"/>
        <w:gridCol w:w="577"/>
        <w:gridCol w:w="109"/>
        <w:gridCol w:w="109"/>
        <w:gridCol w:w="109"/>
        <w:gridCol w:w="249"/>
        <w:gridCol w:w="249"/>
        <w:gridCol w:w="552"/>
        <w:gridCol w:w="109"/>
        <w:gridCol w:w="109"/>
        <w:gridCol w:w="109"/>
        <w:gridCol w:w="278"/>
        <w:gridCol w:w="278"/>
        <w:gridCol w:w="30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Real property - transient revenue </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During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321.4 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27.8 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47.3 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Marina segment, the majority of our wet slip and dry storage space leases have annual terms that are billed seasonally. Wet slip storage increases during the summer months for the boating season, whereas dry storage increases during the winter season as weather patterns require boat owners to store their vessels on dry docks or within covered racks. Through September 30, 2024, we recognized seasonal real property revenue of $78.1 million in the first quarter, $95.9 million in the second quarter and $104.4 million in the third quarter. During the year ended December 31, 2023, we recognized seasonal real property revenue as follows:</w:t>
      </w:r>
    </w:p>
    <w:p>
      <w:pPr>
        <w:pStyle w:val="TextBody"/>
        <w:bidi w:val="0"/>
        <w:spacing w:before="0" w:after="0"/>
        <w:jc w:val="both"/>
        <w:rPr/>
      </w:pPr>
      <w:r>
        <w:rPr/>
      </w:r>
    </w:p>
    <w:tbl>
      <w:tblPr>
        <w:tblW w:w="9533"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539"/>
        <w:gridCol w:w="1531"/>
        <w:gridCol w:w="300"/>
        <w:gridCol w:w="109"/>
        <w:gridCol w:w="109"/>
        <w:gridCol w:w="109"/>
        <w:gridCol w:w="233"/>
        <w:gridCol w:w="233"/>
        <w:gridCol w:w="426"/>
        <w:gridCol w:w="109"/>
        <w:gridCol w:w="109"/>
        <w:gridCol w:w="109"/>
        <w:gridCol w:w="233"/>
        <w:gridCol w:w="233"/>
        <w:gridCol w:w="354"/>
        <w:gridCol w:w="109"/>
        <w:gridCol w:w="109"/>
        <w:gridCol w:w="109"/>
        <w:gridCol w:w="259"/>
        <w:gridCol w:w="259"/>
        <w:gridCol w:w="577"/>
        <w:gridCol w:w="109"/>
        <w:gridCol w:w="109"/>
        <w:gridCol w:w="109"/>
        <w:gridCol w:w="249"/>
        <w:gridCol w:w="249"/>
        <w:gridCol w:w="552"/>
        <w:gridCol w:w="109"/>
        <w:gridCol w:w="109"/>
        <w:gridCol w:w="109"/>
        <w:gridCol w:w="278"/>
        <w:gridCol w:w="278"/>
        <w:gridCol w:w="30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Seasonal real property revenue</w:t>
            </w:r>
          </w:p>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During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348.7 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72465"/>
                <wp:effectExtent l="0" t="0" r="0" b="0"/>
                <wp:wrapNone/>
                <wp:docPr id="49" name="Frame4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Property Operations - Total Portfolio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and other information for our real estate operations by segment as of and for the three and nine months ended September 30, 2024 and 2023 (in millions, except for statistical information).</w:t>
      </w:r>
    </w:p>
    <w:p>
      <w:pPr>
        <w:pStyle w:val="TextBody"/>
        <w:bidi w:val="0"/>
        <w:spacing w:before="0" w:after="0"/>
        <w:jc w:val="both"/>
        <w:rPr/>
      </w:pPr>
      <w:r>
        <w:rPr/>
      </w:r>
    </w:p>
    <w:tbl>
      <w:tblPr>
        <w:tblW w:w="12566" w:type="dxa"/>
        <w:jc w:val="left"/>
        <w:tblInd w:w="0" w:type="dxa"/>
        <w:tblLayout w:type="fixed"/>
        <w:tblCellMar>
          <w:top w:w="28" w:type="dxa"/>
          <w:left w:w="28" w:type="dxa"/>
          <w:bottom w:w="28" w:type="dxa"/>
          <w:right w:w="28" w:type="dxa"/>
        </w:tblCellMar>
      </w:tblPr>
      <w:tblGrid>
        <w:gridCol w:w="364"/>
        <w:gridCol w:w="320"/>
        <w:gridCol w:w="322"/>
        <w:gridCol w:w="257"/>
        <w:gridCol w:w="209"/>
        <w:gridCol w:w="352"/>
        <w:gridCol w:w="109"/>
        <w:gridCol w:w="109"/>
        <w:gridCol w:w="109"/>
        <w:gridCol w:w="306"/>
        <w:gridCol w:w="250"/>
        <w:gridCol w:w="352"/>
        <w:gridCol w:w="109"/>
        <w:gridCol w:w="109"/>
        <w:gridCol w:w="109"/>
        <w:gridCol w:w="334"/>
        <w:gridCol w:w="254"/>
        <w:gridCol w:w="257"/>
        <w:gridCol w:w="109"/>
        <w:gridCol w:w="109"/>
        <w:gridCol w:w="109"/>
        <w:gridCol w:w="279"/>
        <w:gridCol w:w="187"/>
        <w:gridCol w:w="290"/>
        <w:gridCol w:w="109"/>
        <w:gridCol w:w="109"/>
        <w:gridCol w:w="109"/>
        <w:gridCol w:w="230"/>
        <w:gridCol w:w="236"/>
        <w:gridCol w:w="445"/>
        <w:gridCol w:w="109"/>
        <w:gridCol w:w="109"/>
        <w:gridCol w:w="109"/>
        <w:gridCol w:w="257"/>
        <w:gridCol w:w="209"/>
        <w:gridCol w:w="352"/>
        <w:gridCol w:w="109"/>
        <w:gridCol w:w="109"/>
        <w:gridCol w:w="109"/>
        <w:gridCol w:w="196"/>
        <w:gridCol w:w="556"/>
        <w:gridCol w:w="241"/>
        <w:gridCol w:w="109"/>
        <w:gridCol w:w="109"/>
        <w:gridCol w:w="109"/>
        <w:gridCol w:w="334"/>
        <w:gridCol w:w="254"/>
        <w:gridCol w:w="257"/>
        <w:gridCol w:w="109"/>
        <w:gridCol w:w="109"/>
        <w:gridCol w:w="109"/>
        <w:gridCol w:w="279"/>
        <w:gridCol w:w="187"/>
        <w:gridCol w:w="290"/>
        <w:gridCol w:w="109"/>
        <w:gridCol w:w="109"/>
        <w:gridCol w:w="109"/>
        <w:gridCol w:w="236"/>
        <w:gridCol w:w="230"/>
        <w:gridCol w:w="501"/>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Information</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Marinas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Marinas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Real property (excluding transient)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457.2</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Real property - transient</w:t>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161.6</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revenues</w:t>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618.8</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Property operating expenses</w:t>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225.4</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Real Property NOI</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393.4</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Information</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Marinas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Marinas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Real property (excluding transient)</w:t>
            </w:r>
            <w:r>
              <w:rPr>
                <w:rFonts w:ascii="Times New Roman;sans-serif" w:hAnsi="Times New Roman;sans-serif"/>
                <w:b w:val="false"/>
                <w:color w:val="000000"/>
                <w:sz w:val="10"/>
              </w:rPr>
              <w:t>(a)</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1,285.5</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property - transient</w:t>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300.9</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revenues</w:t>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1,586.4</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operating expenses</w:t>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622.3</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Real Property NOI</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964.1</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September 30, 2023</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Information</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Marinas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Marinas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Number of Properties</w:t>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Sites, Wet Slips and Dry Storage Spaces</w:t>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Sites, wet slips and dry storage spaces</w:t>
            </w:r>
            <w:r>
              <w:rPr>
                <w:rFonts w:ascii="Times New Roman;sans-serif" w:hAnsi="Times New Roman;sans-serif"/>
                <w:b w:val="false"/>
                <w:color w:val="000000"/>
                <w:sz w:val="10"/>
              </w:rPr>
              <w:t>(a)</w:t>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198,430</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Transient sites</w:t>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29,770</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228,200</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MH and Annual RV Occupancy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20" w:after="60"/>
        <w:ind w:left="0" w:right="0" w:hanging="18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N/M = Not meaningful. N/A = Not applicable.</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MH annual sites included 10,794 and 9,834 rental homes in our rental program as of September 30, 2024 and 2023, respectively. Our investment in occupied rental homes at September 30, 2024 was $729.5 million, an increase of 11.2% from $655.8 million at September 30,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72465"/>
                <wp:effectExtent l="0" t="0" r="0" b="0"/>
                <wp:wrapNone/>
                <wp:docPr id="50" name="Frame4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Property Operations - Total Portfolio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the $4.2 million, or 1.1% decrease in Real Property NOI as compared to the same period in 2023, consists of a decrease of $8.0 million from Same Property RV, a decrease of $0.7 million from Same Property UK, and a decrease of $5.4 million, net from other recently acquired or developed properties and other items, partially offset by an increase of $7.9 million from Same Property MH and an increase of $2.0 million from Same Property Marina.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the $42.3 million, or 4.4% increase in Real Property NOI as compared to the same period in 2023, consists of an increase of $29.3 million from Same Property MH, an increase of $9.6 million from Same Property Marina, an increase of $4.3 million from Same Property UK and an increase of $6.7 million, net from other recently acquired or developed properties and other items, partially offset by a decrease of $7.6 million from Same Property RV.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72465"/>
                <wp:effectExtent l="0" t="0" r="0" b="0"/>
                <wp:wrapNone/>
                <wp:docPr id="51" name="Frame5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Property Operations - North America Same Property Portfolio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Same Property refers to properties that we have owned for at least the preceding year, exclusive of properties recently completed or under construction, and other properties as determined by management. The Same Property data may change from time-to-time depending on acquisitions, dispositions, management discretion, significant transactions or unique situations. In order to evaluate the growth of the Same Property portfolio, management has classified certain items differently than our GAAP statement. The reclassification difference between our GAAP statements and our Same Property portfolio is the reclassification of utility revenues from real property revenue to operating expenses. Additionally, prior period Canadian currency figures have been translated at 2024 average exchange rates for constant currency comparability.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and other information for our Same Property MH, RV and Marina portfolios as of and for the three and nine months ended September 30, 2024 and 2023 (in millions, except for statistical information):</w:t>
      </w:r>
    </w:p>
    <w:p>
      <w:pPr>
        <w:pStyle w:val="TextBody"/>
        <w:bidi w:val="0"/>
        <w:spacing w:before="0" w:after="0"/>
        <w:jc w:val="both"/>
        <w:rPr/>
      </w:pPr>
      <w:r>
        <w:rPr/>
      </w:r>
    </w:p>
    <w:tbl>
      <w:tblPr>
        <w:tblW w:w="15555" w:type="dxa"/>
        <w:jc w:val="left"/>
        <w:tblInd w:w="0" w:type="dxa"/>
        <w:tblLayout w:type="fixed"/>
        <w:tblCellMar>
          <w:top w:w="28" w:type="dxa"/>
          <w:left w:w="28" w:type="dxa"/>
          <w:bottom w:w="28" w:type="dxa"/>
          <w:right w:w="28" w:type="dxa"/>
        </w:tblCellMar>
      </w:tblPr>
      <w:tblGrid>
        <w:gridCol w:w="364"/>
        <w:gridCol w:w="320"/>
        <w:gridCol w:w="32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240"/>
        <w:gridCol w:w="241"/>
        <w:gridCol w:w="241"/>
        <w:gridCol w:w="109"/>
        <w:gridCol w:w="109"/>
        <w:gridCol w:w="109"/>
        <w:gridCol w:w="481"/>
        <w:gridCol w:w="241"/>
        <w:gridCol w:w="327"/>
        <w:gridCol w:w="466"/>
        <w:gridCol w:w="340"/>
        <w:gridCol w:w="327"/>
        <w:gridCol w:w="391"/>
        <w:gridCol w:w="32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9" w:type="dxa"/>
            <w:gridSpan w:val="7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Change</w:t>
            </w:r>
            <w:r>
              <w:rPr>
                <w:rFonts w:ascii="Times New Roman;sans-serif" w:hAnsi="Times New Roman;sans-serif"/>
                <w:b/>
                <w:color w:val="000000"/>
                <w:sz w:val="11"/>
              </w:rPr>
              <w:t>(c)</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MH</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RV</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MH</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RV</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color w:val="000000"/>
                <w:sz w:val="17"/>
              </w:rPr>
              <w:t>Total</w:t>
            </w:r>
            <w:r>
              <w:rPr>
                <w:rFonts w:ascii="Times New Roman;sans-serif" w:hAnsi="Times New Roman;sans-serif"/>
                <w:b/>
                <w:color w:val="000000"/>
                <w:sz w:val="11"/>
              </w:rPr>
              <w:t>(d)</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Information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Revenues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(excluding transient)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 transient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Same Property operating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Same Property operating expenses</w:t>
            </w:r>
            <w:r>
              <w:rPr>
                <w:rFonts w:ascii="Times New Roman;sans-serif" w:hAnsi="Times New Roman;sans-serif"/>
                <w:b w:val="false"/>
                <w:color w:val="000000"/>
                <w:sz w:val="11"/>
              </w:rPr>
              <w:t>(b)(d)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Real Property NOI</w:t>
            </w:r>
            <w:r>
              <w:rPr>
                <w:rFonts w:ascii="Times New Roman;sans-serif" w:hAnsi="Times New Roman;sans-serif"/>
                <w:b/>
                <w:color w:val="000000"/>
                <w:sz w:val="11"/>
              </w:rPr>
              <w:t>(d)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5861" w:type="dxa"/>
        <w:jc w:val="left"/>
        <w:tblInd w:w="0" w:type="dxa"/>
        <w:tblLayout w:type="fixed"/>
        <w:tblCellMar>
          <w:top w:w="28" w:type="dxa"/>
          <w:left w:w="28" w:type="dxa"/>
          <w:bottom w:w="28" w:type="dxa"/>
          <w:right w:w="28" w:type="dxa"/>
        </w:tblCellMar>
      </w:tblPr>
      <w:tblGrid>
        <w:gridCol w:w="364"/>
        <w:gridCol w:w="320"/>
        <w:gridCol w:w="32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466"/>
        <w:gridCol w:w="109"/>
        <w:gridCol w:w="109"/>
        <w:gridCol w:w="109"/>
        <w:gridCol w:w="109"/>
        <w:gridCol w:w="195"/>
        <w:gridCol w:w="196"/>
        <w:gridCol w:w="241"/>
        <w:gridCol w:w="109"/>
        <w:gridCol w:w="109"/>
        <w:gridCol w:w="109"/>
        <w:gridCol w:w="481"/>
        <w:gridCol w:w="241"/>
        <w:gridCol w:w="327"/>
        <w:gridCol w:w="376"/>
        <w:gridCol w:w="340"/>
        <w:gridCol w:w="327"/>
        <w:gridCol w:w="391"/>
        <w:gridCol w:w="278"/>
        <w:gridCol w:w="109"/>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2" w:type="dxa"/>
            <w:gridSpan w:val="7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Change</w:t>
            </w:r>
            <w:r>
              <w:rPr>
                <w:rFonts w:ascii="Times New Roman;sans-serif" w:hAnsi="Times New Roman;sans-serif"/>
                <w:b/>
                <w:color w:val="000000"/>
                <w:sz w:val="11"/>
              </w:rPr>
              <w:t>(c)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MH</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RV</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MH</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RV</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color w:val="000000"/>
                <w:sz w:val="17"/>
              </w:rPr>
              <w:t>Total</w:t>
            </w:r>
            <w:r>
              <w:rPr>
                <w:rFonts w:ascii="Times New Roman;sans-serif" w:hAnsi="Times New Roman;sans-serif"/>
                <w:b/>
                <w:color w:val="000000"/>
                <w:sz w:val="11"/>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Information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Revenues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(excluding transient)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 transient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Same Property operating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Same Property operating expenses</w:t>
            </w:r>
            <w:r>
              <w:rPr>
                <w:rFonts w:ascii="Times New Roman;sans-serif" w:hAnsi="Times New Roman;sans-serif"/>
                <w:b w:val="false"/>
                <w:color w:val="000000"/>
                <w:sz w:val="11"/>
              </w:rPr>
              <w:t>(b)(d)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Real Property NOI</w:t>
            </w:r>
            <w:r>
              <w:rPr>
                <w:rFonts w:ascii="Times New Roman;sans-serif" w:hAnsi="Times New Roman;sans-serif"/>
                <w:b/>
                <w:color w:val="000000"/>
                <w:sz w:val="11"/>
              </w:rPr>
              <w:t>(d)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Number of properties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Sites, wet slips and dry storage spaces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Same property results for our MH and RV properties reflect constant currency for comparative purposes. Canadian dollar figures in the prior comparative period have been translated at the average exchange rate during the three and nine months ended September 30, 2024 of $0.7332 and $0.7353</w:t>
      </w:r>
      <w:r>
        <w:rPr>
          <w:color w:val="000000"/>
        </w:rPr>
        <w:t xml:space="preserve"> </w:t>
      </w:r>
      <w:r>
        <w:rPr>
          <w:rFonts w:ascii="Times New Roman;sans-serif" w:hAnsi="Times New Roman;sans-serif"/>
          <w:b w:val="false"/>
          <w:color w:val="000000"/>
          <w:sz w:val="16"/>
        </w:rPr>
        <w:t>USD per CAD,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72465"/>
                <wp:effectExtent l="0" t="0" r="0" b="0"/>
                <wp:wrapNone/>
                <wp:docPr id="52" name="Frame5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60"/>
        <w:ind w:left="0" w:right="0" w:hanging="18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Property Operations - North America Same Property Portfolio (Continued)</w:t>
      </w:r>
    </w:p>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We net certain utilities revenues (which include utility reimbursement revenues from residents) against related utility expenses in property operating expenses as follows (in millions):</w:t>
      </w:r>
    </w:p>
    <w:p>
      <w:pPr>
        <w:pStyle w:val="TextBody"/>
        <w:bidi w:val="0"/>
        <w:spacing w:before="0" w:after="0"/>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747"/>
        <w:gridCol w:w="655"/>
        <w:gridCol w:w="659"/>
        <w:gridCol w:w="196"/>
        <w:gridCol w:w="466"/>
        <w:gridCol w:w="109"/>
        <w:gridCol w:w="109"/>
        <w:gridCol w:w="109"/>
        <w:gridCol w:w="109"/>
        <w:gridCol w:w="196"/>
        <w:gridCol w:w="376"/>
        <w:gridCol w:w="109"/>
        <w:gridCol w:w="109"/>
        <w:gridCol w:w="109"/>
        <w:gridCol w:w="109"/>
        <w:gridCol w:w="196"/>
        <w:gridCol w:w="376"/>
        <w:gridCol w:w="109"/>
        <w:gridCol w:w="109"/>
        <w:gridCol w:w="109"/>
        <w:gridCol w:w="109"/>
        <w:gridCol w:w="196"/>
        <w:gridCol w:w="466"/>
        <w:gridCol w:w="109"/>
        <w:gridCol w:w="109"/>
        <w:gridCol w:w="109"/>
        <w:gridCol w:w="109"/>
        <w:gridCol w:w="196"/>
        <w:gridCol w:w="466"/>
        <w:gridCol w:w="109"/>
        <w:gridCol w:w="109"/>
        <w:gridCol w:w="109"/>
        <w:gridCol w:w="109"/>
        <w:gridCol w:w="196"/>
        <w:gridCol w:w="376"/>
        <w:gridCol w:w="109"/>
        <w:gridCol w:w="109"/>
        <w:gridCol w:w="109"/>
        <w:gridCol w:w="109"/>
        <w:gridCol w:w="196"/>
        <w:gridCol w:w="376"/>
        <w:gridCol w:w="109"/>
        <w:gridCol w:w="109"/>
        <w:gridCol w:w="109"/>
        <w:gridCol w:w="109"/>
        <w:gridCol w:w="196"/>
        <w:gridCol w:w="466"/>
        <w:gridCol w:w="156"/>
      </w:tblGrid>
      <w:tr>
        <w:trPr/>
        <w:tc>
          <w:tcPr>
            <w:tcW w:w="7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September 30, 2023</w:t>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both"/>
              <w:rPr>
                <w:rFonts w:ascii="Times New Roman;sans-serif" w:hAnsi="Times New Roman;sans-serif"/>
                <w:b w:val="false"/>
                <w:color w:val="000000"/>
                <w:sz w:val="17"/>
              </w:rPr>
            </w:pPr>
            <w:r>
              <w:rPr>
                <w:rFonts w:ascii="Times New Roman;sans-serif" w:hAnsi="Times New Roman;sans-serif"/>
                <w:b w:val="false"/>
                <w:color w:val="000000"/>
                <w:sz w:val="17"/>
              </w:rPr>
              <w:t>Utility revenue netted against related utility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7"/>
        <w:gridCol w:w="541"/>
        <w:gridCol w:w="544"/>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5"/>
      </w:tblGrid>
      <w:tr>
        <w:trPr/>
        <w:tc>
          <w:tcPr>
            <w:tcW w:w="61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 September 30, 2023</w:t>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both"/>
              <w:rPr>
                <w:rFonts w:ascii="Times New Roman;sans-serif" w:hAnsi="Times New Roman;sans-serif"/>
                <w:b w:val="false"/>
                <w:color w:val="000000"/>
                <w:sz w:val="17"/>
              </w:rPr>
            </w:pPr>
            <w:r>
              <w:rPr>
                <w:rFonts w:ascii="Times New Roman;sans-serif" w:hAnsi="Times New Roman;sans-serif"/>
                <w:b w:val="false"/>
                <w:color w:val="000000"/>
                <w:sz w:val="17"/>
              </w:rPr>
              <w:t>Utility revenue netted against related utility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(c)</w:t>
      </w:r>
      <w:r>
        <w:rPr>
          <w:color w:val="000000"/>
        </w:rPr>
        <w:t xml:space="preserve"> </w:t>
      </w:r>
      <w:r>
        <w:rPr>
          <w:rFonts w:ascii="Times New Roman;sans-serif" w:hAnsi="Times New Roman;sans-serif"/>
          <w:b w:val="false"/>
          <w:color w:val="000000"/>
          <w:sz w:val="16"/>
        </w:rPr>
        <w:t>Percentages are calculated based on unrounded numbers.</w:t>
      </w:r>
    </w:p>
    <w:p>
      <w:pPr>
        <w:pStyle w:val="TextBody"/>
        <w:bidi w:val="0"/>
        <w:spacing w:lineRule="auto" w:line="288" w:before="20" w:after="60"/>
        <w:ind w:left="0" w:right="0" w:hanging="180"/>
        <w:jc w:val="both"/>
        <w:rPr/>
      </w:pPr>
      <w:r>
        <w:rPr>
          <w:rFonts w:ascii="Times New Roman;sans-serif" w:hAnsi="Times New Roman;sans-serif"/>
          <w:b w:val="false"/>
          <w:color w:val="000000"/>
          <w:sz w:val="10"/>
        </w:rPr>
        <w:t>(d)</w:t>
      </w:r>
      <w:r>
        <w:rPr>
          <w:color w:val="000000"/>
        </w:rPr>
        <w:t xml:space="preserve"> </w:t>
      </w:r>
      <w:r>
        <w:rPr>
          <w:rFonts w:ascii="Times New Roman;sans-serif" w:hAnsi="Times New Roman;sans-serif"/>
          <w:b w:val="false"/>
          <w:color w:val="000000"/>
          <w:sz w:val="16"/>
        </w:rPr>
        <w:t>Total Same Property operating expenses consist of the following components for the periods shown (in millions), and exclude amounts invested into recently acquired properties to bring them up to our standards.</w:t>
      </w:r>
    </w:p>
    <w:p>
      <w:pPr>
        <w:pStyle w:val="TextBody"/>
        <w:bidi w:val="0"/>
        <w:spacing w:before="20" w:after="60"/>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459"/>
        <w:gridCol w:w="221"/>
        <w:gridCol w:w="223"/>
        <w:gridCol w:w="200"/>
        <w:gridCol w:w="568"/>
        <w:gridCol w:w="112"/>
        <w:gridCol w:w="109"/>
        <w:gridCol w:w="109"/>
        <w:gridCol w:w="109"/>
        <w:gridCol w:w="200"/>
        <w:gridCol w:w="568"/>
        <w:gridCol w:w="112"/>
        <w:gridCol w:w="109"/>
        <w:gridCol w:w="109"/>
        <w:gridCol w:w="109"/>
        <w:gridCol w:w="196"/>
        <w:gridCol w:w="466"/>
        <w:gridCol w:w="109"/>
        <w:gridCol w:w="109"/>
        <w:gridCol w:w="109"/>
        <w:gridCol w:w="109"/>
        <w:gridCol w:w="233"/>
        <w:gridCol w:w="233"/>
        <w:gridCol w:w="475"/>
        <w:gridCol w:w="109"/>
        <w:gridCol w:w="109"/>
        <w:gridCol w:w="109"/>
        <w:gridCol w:w="200"/>
        <w:gridCol w:w="568"/>
        <w:gridCol w:w="112"/>
        <w:gridCol w:w="109"/>
        <w:gridCol w:w="109"/>
        <w:gridCol w:w="109"/>
        <w:gridCol w:w="200"/>
        <w:gridCol w:w="568"/>
        <w:gridCol w:w="112"/>
        <w:gridCol w:w="109"/>
        <w:gridCol w:w="109"/>
        <w:gridCol w:w="109"/>
        <w:gridCol w:w="196"/>
        <w:gridCol w:w="466"/>
        <w:gridCol w:w="109"/>
        <w:gridCol w:w="109"/>
        <w:gridCol w:w="109"/>
        <w:gridCol w:w="109"/>
        <w:gridCol w:w="233"/>
        <w:gridCol w:w="233"/>
        <w:gridCol w:w="544"/>
      </w:tblGrid>
      <w:tr>
        <w:trPr/>
        <w:tc>
          <w:tcPr>
            <w:tcW w:w="45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Change</w:t>
            </w:r>
            <w:r>
              <w:rPr>
                <w:rFonts w:ascii="Times New Roman;sans-serif" w:hAnsi="Times New Roman;sans-serif"/>
                <w:b/>
                <w:color w:val="000000"/>
                <w:sz w:val="11"/>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Change</w:t>
            </w:r>
            <w:r>
              <w:rPr>
                <w:rFonts w:ascii="Times New Roman;sans-serif" w:hAnsi="Times New Roman;sans-serif"/>
                <w:b/>
                <w:color w:val="000000"/>
                <w:sz w:val="11"/>
              </w:rPr>
              <w:t>(c)</w:t>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Payroll and benefits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estate taxes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Supplies and repairs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Utilities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Legal, state / local taxes, and insurance</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Same Property Operating Expenses</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463.1 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439.0 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72465"/>
                <wp:effectExtent l="0" t="0" r="0" b="0"/>
                <wp:wrapNone/>
                <wp:docPr id="53" name="Frame5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North America Same Property Summary (in whole units) </w:t>
      </w:r>
    </w:p>
    <w:tbl>
      <w:tblPr>
        <w:tblW w:w="8811" w:type="dxa"/>
        <w:jc w:val="left"/>
        <w:tblInd w:w="0" w:type="dxa"/>
        <w:tblLayout w:type="fixed"/>
        <w:tblCellMar>
          <w:top w:w="28" w:type="dxa"/>
          <w:left w:w="28" w:type="dxa"/>
          <w:bottom w:w="28" w:type="dxa"/>
          <w:right w:w="28" w:type="dxa"/>
        </w:tblCellMar>
      </w:tblPr>
      <w:tblGrid>
        <w:gridCol w:w="1140"/>
        <w:gridCol w:w="1001"/>
        <w:gridCol w:w="1009"/>
        <w:gridCol w:w="109"/>
        <w:gridCol w:w="109"/>
        <w:gridCol w:w="109"/>
        <w:gridCol w:w="196"/>
        <w:gridCol w:w="556"/>
        <w:gridCol w:w="241"/>
        <w:gridCol w:w="109"/>
        <w:gridCol w:w="109"/>
        <w:gridCol w:w="109"/>
        <w:gridCol w:w="205"/>
        <w:gridCol w:w="441"/>
        <w:gridCol w:w="241"/>
        <w:gridCol w:w="109"/>
        <w:gridCol w:w="117"/>
        <w:gridCol w:w="117"/>
        <w:gridCol w:w="117"/>
        <w:gridCol w:w="117"/>
        <w:gridCol w:w="212"/>
        <w:gridCol w:w="601"/>
        <w:gridCol w:w="260"/>
        <w:gridCol w:w="109"/>
        <w:gridCol w:w="109"/>
        <w:gridCol w:w="109"/>
        <w:gridCol w:w="205"/>
        <w:gridCol w:w="441"/>
        <w:gridCol w:w="241"/>
        <w:gridCol w:w="109"/>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w:t>
            </w:r>
          </w:p>
        </w:tc>
        <w:tc>
          <w:tcPr>
            <w:tcW w:w="1477" w:type="dxa"/>
            <w:gridSpan w:val="8"/>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1477" w:type="dxa"/>
            <w:gridSpan w:val="8"/>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Number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Sites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and annual RV sites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96,500 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33,630 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96,340 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31,970 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Transient RV sites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96,500 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55,690 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96,340 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55,190 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MH and Annual RV 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Occupancy</w:t>
            </w:r>
            <w:r>
              <w:rPr>
                <w:rFonts w:ascii="Times New Roman;sans-serif" w:hAnsi="Times New Roman;sans-serif"/>
                <w:b w:val="false"/>
                <w:color w:val="000000"/>
                <w:sz w:val="11"/>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96.8 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Monthly base rent per site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 change in monthly base rent</w:t>
            </w:r>
            <w:r>
              <w:rPr>
                <w:rFonts w:ascii="Times New Roman;sans-serif" w:hAnsi="Times New Roman;sans-serif"/>
                <w:b w:val="false"/>
                <w:color w:val="000000"/>
                <w:sz w:val="11"/>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Rental Program Statistics included in MH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Number of occupied sites, end of period</w:t>
            </w:r>
            <w:r>
              <w:rPr>
                <w:rFonts w:ascii="Times New Roman;sans-serif" w:hAnsi="Times New Roman;sans-serif"/>
                <w:b w:val="false"/>
                <w:color w:val="000000"/>
                <w:sz w:val="11"/>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9,490 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Monthly rent per site - MH rental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 change</w:t>
            </w:r>
            <w:r>
              <w:rPr>
                <w:rFonts w:ascii="Times New Roman;sans-serif" w:hAnsi="Times New Roman;sans-serif"/>
                <w:b w:val="false"/>
                <w:color w:val="000000"/>
                <w:sz w:val="11"/>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N/A = Not applicable.</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Same Property adjusted blended occupancy for MH and RV combined increased to 98.8% at September 30, 2024, from 97.2% at September 30, 2023. The 160 basis point increase was driven by MH expansion fills and the conversion of transient RV sites to annual sites. Same Property blended occupancy for MH and RV was 98.0% at September 30, 2024, up 40 basis points from 97.6% at September 30, 2023.</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Calculated using actual results without rounding.</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(c) </w:t>
      </w:r>
      <w:r>
        <w:rPr>
          <w:rFonts w:ascii="Times New Roman;sans-serif" w:hAnsi="Times New Roman;sans-serif"/>
          <w:b w:val="false"/>
          <w:color w:val="000000"/>
          <w:sz w:val="16"/>
        </w:rPr>
        <w:t>Occupied rental program sites in Same Property are included in total 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72465"/>
                <wp:effectExtent l="0" t="0" r="0" b="0"/>
                <wp:wrapNone/>
                <wp:docPr id="54" name="Frame5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Property Operations - UK Same Property Portfolio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and other information for our Same Property UK portfolio as of and for the three and nine months ended September 30, 2024 and 2023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6"/>
        <w:gridCol w:w="604"/>
        <w:gridCol w:w="605"/>
        <w:gridCol w:w="558"/>
        <w:gridCol w:w="310"/>
        <w:gridCol w:w="311"/>
        <w:gridCol w:w="109"/>
        <w:gridCol w:w="109"/>
        <w:gridCol w:w="109"/>
        <w:gridCol w:w="558"/>
        <w:gridCol w:w="310"/>
        <w:gridCol w:w="311"/>
        <w:gridCol w:w="109"/>
        <w:gridCol w:w="109"/>
        <w:gridCol w:w="109"/>
        <w:gridCol w:w="234"/>
        <w:gridCol w:w="232"/>
        <w:gridCol w:w="496"/>
        <w:gridCol w:w="109"/>
        <w:gridCol w:w="109"/>
        <w:gridCol w:w="109"/>
        <w:gridCol w:w="558"/>
        <w:gridCol w:w="310"/>
        <w:gridCol w:w="311"/>
        <w:gridCol w:w="109"/>
        <w:gridCol w:w="109"/>
        <w:gridCol w:w="109"/>
        <w:gridCol w:w="558"/>
        <w:gridCol w:w="310"/>
        <w:gridCol w:w="311"/>
        <w:gridCol w:w="109"/>
        <w:gridCol w:w="109"/>
        <w:gridCol w:w="109"/>
        <w:gridCol w:w="212"/>
        <w:gridCol w:w="212"/>
        <w:gridCol w:w="573"/>
      </w:tblGrid>
      <w:tr>
        <w:trPr/>
        <w:tc>
          <w:tcPr>
            <w:tcW w:w="68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Change</w:t>
            </w:r>
            <w:r>
              <w:rPr>
                <w:rFonts w:ascii="Times New Roman;sans-serif" w:hAnsi="Times New Roman;sans-serif"/>
                <w:b/>
                <w:color w:val="000000"/>
                <w:sz w:val="11"/>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Change</w:t>
            </w:r>
            <w:r>
              <w:rPr>
                <w:rFonts w:ascii="Times New Roman;sans-serif" w:hAnsi="Times New Roman;sans-serif"/>
                <w:b/>
                <w:color w:val="000000"/>
                <w:sz w:val="11"/>
              </w:rPr>
              <w:t>(b)</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Financial Information</w:t>
            </w:r>
            <w:r>
              <w:rPr>
                <w:rFonts w:ascii="Times New Roman;sans-serif" w:hAnsi="Times New Roman;sans-serif"/>
                <w:b/>
                <w:color w:val="000000"/>
                <w:sz w:val="11"/>
              </w:rPr>
              <w:t>(a)</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Revenues</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(excluding transient)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 transient</w:t>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Same Property operating revenues</w:t>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Expenses</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Same Property operating expenses</w:t>
            </w:r>
            <w:r>
              <w:rPr>
                <w:rFonts w:ascii="Times New Roman;sans-serif" w:hAnsi="Times New Roman;sans-serif"/>
                <w:b w:val="false"/>
                <w:color w:val="000000"/>
                <w:sz w:val="11"/>
              </w:rPr>
              <w:t>(c)</w:t>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Real Property NOI</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w:t>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Number of properties</w:t>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 xml:space="preserve">(a) </w:t>
      </w:r>
      <w:r>
        <w:rPr>
          <w:rFonts w:ascii="Times New Roman;sans-serif" w:hAnsi="Times New Roman;sans-serif"/>
          <w:b w:val="false"/>
          <w:color w:val="000000"/>
          <w:sz w:val="16"/>
        </w:rPr>
        <w:t>Same Property results for our UK properties reflect constant currency for comparative purposes. British pound sterling figures in the prior comparative period have been translated at the average exchange rate of $1.3009 and $1.2769 USD per GBP, during the three and nine months ended September 30, 2024, respectively.</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Percentages are calculated based on unrounded numbers.</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(c)</w:t>
      </w:r>
      <w:r>
        <w:rPr>
          <w:color w:val="000000"/>
        </w:rPr>
        <w:t xml:space="preserve"> </w:t>
      </w:r>
      <w:r>
        <w:rPr>
          <w:rFonts w:ascii="Times New Roman;sans-serif" w:hAnsi="Times New Roman;sans-serif"/>
          <w:b w:val="false"/>
          <w:color w:val="000000"/>
          <w:sz w:val="16"/>
        </w:rPr>
        <w:t>We net certain utility revenues (which include utility reimbursement revenues from residents) against related utility expenses in property operating expenses as follows (in millions):</w:t>
      </w:r>
    </w:p>
    <w:tbl>
      <w:tblPr>
        <w:tblW w:w="10205" w:type="dxa"/>
        <w:jc w:val="left"/>
        <w:tblInd w:w="0" w:type="dxa"/>
        <w:tblLayout w:type="fixed"/>
        <w:tblCellMar>
          <w:top w:w="28" w:type="dxa"/>
          <w:left w:w="28" w:type="dxa"/>
          <w:bottom w:w="28" w:type="dxa"/>
          <w:right w:w="28" w:type="dxa"/>
        </w:tblCellMar>
      </w:tblPr>
      <w:tblGrid>
        <w:gridCol w:w="1171"/>
        <w:gridCol w:w="1027"/>
        <w:gridCol w:w="1033"/>
        <w:gridCol w:w="681"/>
        <w:gridCol w:w="378"/>
        <w:gridCol w:w="380"/>
        <w:gridCol w:w="144"/>
        <w:gridCol w:w="144"/>
        <w:gridCol w:w="144"/>
        <w:gridCol w:w="681"/>
        <w:gridCol w:w="378"/>
        <w:gridCol w:w="380"/>
        <w:gridCol w:w="109"/>
        <w:gridCol w:w="109"/>
        <w:gridCol w:w="109"/>
        <w:gridCol w:w="681"/>
        <w:gridCol w:w="378"/>
        <w:gridCol w:w="380"/>
        <w:gridCol w:w="136"/>
        <w:gridCol w:w="136"/>
        <w:gridCol w:w="136"/>
        <w:gridCol w:w="634"/>
        <w:gridCol w:w="351"/>
        <w:gridCol w:w="505"/>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both"/>
              <w:rPr>
                <w:rFonts w:ascii="Times New Roman;sans-serif" w:hAnsi="Times New Roman;sans-serif"/>
                <w:b w:val="false"/>
                <w:color w:val="000000"/>
                <w:sz w:val="17"/>
              </w:rPr>
            </w:pPr>
            <w:r>
              <w:rPr>
                <w:rFonts w:ascii="Times New Roman;sans-serif" w:hAnsi="Times New Roman;sans-serif"/>
                <w:b w:val="false"/>
                <w:color w:val="000000"/>
                <w:sz w:val="17"/>
              </w:rPr>
              <w:t>Utility revenue netted against related utility expense</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w:t>
            </w:r>
          </w:p>
        </w:tc>
      </w:tr>
    </w:tbl>
    <w:p>
      <w:pPr>
        <w:pStyle w:val="TextBody"/>
        <w:bidi w:val="0"/>
        <w:spacing w:before="0" w:after="0"/>
        <w:ind w:left="0" w:right="0" w:hanging="180"/>
        <w:jc w:val="both"/>
        <w:rPr/>
      </w:pPr>
      <w:r>
        <w:rPr/>
      </w:r>
    </w:p>
    <w:p>
      <w:pPr>
        <w:pStyle w:val="TextBody"/>
        <w:bidi w:val="0"/>
        <w:spacing w:lineRule="auto" w:line="288" w:before="0" w:after="0"/>
        <w:ind w:left="0" w:right="0" w:hanging="180"/>
        <w:jc w:val="both"/>
        <w:rPr>
          <w:rFonts w:ascii="Times New Roman;sans-serif" w:hAnsi="Times New Roman;sans-serif"/>
          <w:b w:val="false"/>
          <w:i/>
          <w:color w:val="000000"/>
          <w:sz w:val="20"/>
        </w:rPr>
      </w:pPr>
      <w:r>
        <w:rPr>
          <w:rFonts w:ascii="Times New Roman;sans-serif" w:hAnsi="Times New Roman;sans-serif"/>
          <w:b w:val="false"/>
          <w:i/>
          <w:color w:val="000000"/>
          <w:sz w:val="20"/>
        </w:rPr>
        <w:t>UK Same Property Summary (in whole units)</w:t>
      </w:r>
    </w:p>
    <w:tbl>
      <w:tblPr>
        <w:tblW w:w="7909" w:type="dxa"/>
        <w:jc w:val="left"/>
        <w:tblInd w:w="0" w:type="dxa"/>
        <w:tblLayout w:type="fixed"/>
        <w:tblCellMar>
          <w:top w:w="28" w:type="dxa"/>
          <w:left w:w="28" w:type="dxa"/>
          <w:bottom w:w="28" w:type="dxa"/>
          <w:right w:w="28" w:type="dxa"/>
        </w:tblCellMar>
      </w:tblPr>
      <w:tblGrid>
        <w:gridCol w:w="695"/>
        <w:gridCol w:w="610"/>
        <w:gridCol w:w="615"/>
        <w:gridCol w:w="109"/>
        <w:gridCol w:w="109"/>
        <w:gridCol w:w="109"/>
        <w:gridCol w:w="351"/>
        <w:gridCol w:w="757"/>
        <w:gridCol w:w="436"/>
        <w:gridCol w:w="109"/>
        <w:gridCol w:w="1546"/>
        <w:gridCol w:w="109"/>
        <w:gridCol w:w="109"/>
        <w:gridCol w:w="109"/>
        <w:gridCol w:w="205"/>
        <w:gridCol w:w="441"/>
        <w:gridCol w:w="241"/>
        <w:gridCol w:w="109"/>
        <w:gridCol w:w="109"/>
        <w:gridCol w:w="109"/>
        <w:gridCol w:w="196"/>
        <w:gridCol w:w="331"/>
        <w:gridCol w:w="24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4"/>
            <w:tcBorders/>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Change</w:t>
            </w:r>
            <w:r>
              <w:rPr>
                <w:rFonts w:ascii="Times New Roman;sans-serif" w:hAnsi="Times New Roman;sans-serif"/>
                <w:b/>
                <w:color w:val="000000"/>
                <w:sz w:val="11"/>
              </w:rPr>
              <w:t>(a)</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4"/>
            <w:tcBorders/>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Number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Sites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UK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16,620 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 Transient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3,350 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Occupancy</w:t>
            </w:r>
            <w:r>
              <w:rPr>
                <w:rFonts w:ascii="Times New Roman;sans-serif" w:hAnsi="Times New Roman;sans-serif"/>
                <w:b w:val="false"/>
                <w:color w:val="000000"/>
                <w:sz w:val="11"/>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91.6 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Monthly base rent per site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545 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Calculated using actual results without rounding.</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(b) </w:t>
      </w:r>
      <w:r>
        <w:rPr>
          <w:rFonts w:ascii="Times New Roman;sans-serif" w:hAnsi="Times New Roman;sans-serif"/>
          <w:b w:val="false"/>
          <w:color w:val="000000"/>
          <w:sz w:val="16"/>
        </w:rPr>
        <w:t>Adjusting for recently delivered and vacant expansion sites, Same Property adjusted occupancy increased by 120 basis points year over year, to 91.9% at September 30, 2024, from 90.7% at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72465"/>
                <wp:effectExtent l="0" t="0" r="0" b="0"/>
                <wp:wrapNone/>
                <wp:docPr id="55" name="Frame5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and 2023: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MH segment increase in NOI of $7.9 million, or 5.3%, when compared to the same period in 2023 is primarily due to an increase in Real property (excluding transient) revenue of $13.2 million, or 6.5%. Real property (excluding transient) revenue increased primarily due to a 5.9% increase in monthly base rent.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RV segment decrease in NOI of $8.0 million, or 6.9%, when compared to the same period in 2023 is primarily due to a decrease in Real property transient revenue of $11.8 million, or 10.4%, and an increase in Same property operating expenses of $3.9 million, or 5.4%, partially offset by an increase in Real property (excluding transient revenue) of $7.7 million, or 10.3%. The increase in Same Property operating expenses was primarily due to an increase in supplies and repairs expense and other expenses. The increase in Real property (excluding transient) revenue was primarily due to a 6.7% increase in monthly base rent and conversions of transient RV sites to annual RV sites.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Marina segment increase in NOI of $2.0 million, or 2.5%, when compared to the same period in 2023 is primarily due to the $5.1 million, or 5.0%, increase in Real property (excluding transient) revenue.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UK segment decrease in NOI of $0.7 million, or 2.3%, when compared to the same period in 2023 is primarily due to the $2.3 million, or 12.2%, increase in Same property operating expenses partially offset by $1.3 million, or 5.0%, increase in Real property (excluding transient) revenue. The increase in Same Property operating expenses was due to increases in payroll wages and utility expenses, net of rebills. The increase in Real property (excluding transient) revenue was primarily due to a 3.4% increase in monthly base rent per site.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MH segment increase in NOI of $29.3 million, or 6.6%, when compared to the same period in 2023 is primarily due to an increase in Real property (excluding transient) revenue of $41.3 million, or 6.8%. Real property (excluding transient) revenue increased primarily due to a 5.9% increase in monthly base rent.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RV segment decrease in NOI of 7.6 million, or 3.2%, when compared to the same period in 2023 is primarily due to a decrease in Real property transient revenue of $24.9 million, or 11.4% partially offset by an increase in Real property (excluding transient) revenue of $22.7 million, or 11.4%. The increase in Real property (excluding transient) revenue was primarily due to a 6.7% increase in monthly base rent and conversions of transient RV sites to annual RV sites. The decrease in Real property transient revenue was primarily due to transient to annual RV site conversions.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Marina segment increase in NOI of $9.6 million, or 5.0%, when compared to the same period in 2023 is primarily due to the $15.1 million, or 5.7%, increase in Real property (excluding transient) revenue.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UK segment increase in NOI of $4.3 million, or 7.7%, when compared to the same period in 2023 is primarily due to the $4.8 million, or 6.8%, increase in Real property (excluding transient) revenue, partially offset by an increase of $2.1 million, or 3.9%, in Same property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72465"/>
                <wp:effectExtent l="0" t="0" r="0" b="0"/>
                <wp:wrapNone/>
                <wp:docPr id="56" name="Frame5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Home Sales Summary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sell new and pre-owned homes to current and prospective residents and customers in our communities. This inventory is purchased from manufacturers, lenders, dealers, former residents or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certain financial and statistical information for our home sales program for the three and nine months ended September 30, 2024 and 2023 (in millions, except for average selling price and statistical information):</w:t>
      </w:r>
    </w:p>
    <w:p>
      <w:pPr>
        <w:pStyle w:val="TextBody"/>
        <w:bidi w:val="0"/>
        <w:spacing w:before="0" w:after="0"/>
        <w:jc w:val="both"/>
        <w:rPr/>
      </w:pPr>
      <w:r>
        <w:rPr/>
      </w:r>
    </w:p>
    <w:tbl>
      <w:tblPr>
        <w:tblW w:w="11314" w:type="dxa"/>
        <w:jc w:val="left"/>
        <w:tblInd w:w="0" w:type="dxa"/>
        <w:tblLayout w:type="fixed"/>
        <w:tblCellMar>
          <w:top w:w="28" w:type="dxa"/>
          <w:left w:w="28" w:type="dxa"/>
          <w:bottom w:w="28" w:type="dxa"/>
          <w:right w:w="28" w:type="dxa"/>
        </w:tblCellMar>
      </w:tblPr>
      <w:tblGrid>
        <w:gridCol w:w="324"/>
        <w:gridCol w:w="237"/>
        <w:gridCol w:w="175"/>
        <w:gridCol w:w="196"/>
        <w:gridCol w:w="646"/>
        <w:gridCol w:w="241"/>
        <w:gridCol w:w="109"/>
        <w:gridCol w:w="109"/>
        <w:gridCol w:w="109"/>
        <w:gridCol w:w="196"/>
        <w:gridCol w:w="646"/>
        <w:gridCol w:w="241"/>
        <w:gridCol w:w="109"/>
        <w:gridCol w:w="109"/>
        <w:gridCol w:w="109"/>
        <w:gridCol w:w="196"/>
        <w:gridCol w:w="661"/>
        <w:gridCol w:w="241"/>
        <w:gridCol w:w="109"/>
        <w:gridCol w:w="109"/>
        <w:gridCol w:w="109"/>
        <w:gridCol w:w="240"/>
        <w:gridCol w:w="241"/>
        <w:gridCol w:w="459"/>
        <w:gridCol w:w="109"/>
        <w:gridCol w:w="109"/>
        <w:gridCol w:w="109"/>
        <w:gridCol w:w="196"/>
        <w:gridCol w:w="646"/>
        <w:gridCol w:w="241"/>
        <w:gridCol w:w="109"/>
        <w:gridCol w:w="109"/>
        <w:gridCol w:w="109"/>
        <w:gridCol w:w="196"/>
        <w:gridCol w:w="556"/>
        <w:gridCol w:w="241"/>
        <w:gridCol w:w="109"/>
        <w:gridCol w:w="109"/>
        <w:gridCol w:w="109"/>
        <w:gridCol w:w="196"/>
        <w:gridCol w:w="571"/>
        <w:gridCol w:w="241"/>
        <w:gridCol w:w="109"/>
        <w:gridCol w:w="109"/>
        <w:gridCol w:w="109"/>
        <w:gridCol w:w="240"/>
        <w:gridCol w:w="241"/>
        <w:gridCol w:w="520"/>
      </w:tblGrid>
      <w:tr>
        <w:trPr/>
        <w:tc>
          <w:tcPr>
            <w:tcW w:w="32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MH</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cost and selling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(22.8)</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(16.8)</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NOI</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NOI margin %</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23.5 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UK</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cost and selling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NOI</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NOI margin %</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38.1 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36.8 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34.1 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cost and selling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NOI</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NOI margin %</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Units Sold:</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MH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home sales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3,851 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Average Selling Price:</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MH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84,381 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98,113 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(13,732)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91,573 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62,670 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61,305 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before="20" w:after="283"/>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NOI - MH</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the 31.8% decrease in NOI is primarily driven by a 12.4% decrease in total home sales volume as compared to the same period in 2023, primarily driven by the impact of Hurricane Helene on volumes in the southeast region of the U.S., and fewer available sites in conjunction with reduced expansion and development activity, as well as a 14.0% decrease in average selling price.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the 29.2% decrease in NOI is primarily driven by a 21.1% decrease in total home sales volume as compared to the same period in 2023, partially offset by a 1.7% increase in average selling price.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NOI - UK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the 8.8% increase in NOI is primarily driven by a 5.9% increase in total home sales volume, partially offset by a 0.6% decrease in average selling price.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the 5.1% decrease in NOI is primarily driven by an 8.5% decrease in average selling price as compared to the same period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72465"/>
                <wp:effectExtent l="0" t="0" r="0" b="0"/>
                <wp:wrapNone/>
                <wp:docPr id="57" name="Frame5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pPr>
      <w:r>
        <w:rPr>
          <w:rFonts w:ascii="Times New Roman;sans-serif" w:hAnsi="Times New Roman;sans-serif"/>
          <w:b w:val="false"/>
          <w:i/>
          <w:color w:val="000000"/>
          <w:sz w:val="20"/>
        </w:rPr>
        <w:t>Other Items - Statements of Operations</w:t>
      </w:r>
      <w:r>
        <w:rPr>
          <w:rFonts w:ascii="Times New Roman;sans-serif" w:hAnsi="Times New Roman;sans-serif"/>
          <w:b w:val="false"/>
          <w:color w:val="000000"/>
          <w:sz w:val="13"/>
        </w:rPr>
        <w:t>(1)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other income and expenses for the three and nine months ended September 30, 2024 and 2023 (in millions):</w:t>
      </w:r>
    </w:p>
    <w:p>
      <w:pPr>
        <w:pStyle w:val="TextBody"/>
        <w:bidi w:val="0"/>
        <w:spacing w:before="0" w:after="0"/>
        <w:jc w:val="both"/>
        <w:rPr/>
      </w:pPr>
      <w:r>
        <w:rPr/>
      </w:r>
    </w:p>
    <w:tbl>
      <w:tblPr>
        <w:tblW w:w="10892" w:type="dxa"/>
        <w:jc w:val="left"/>
        <w:tblInd w:w="0" w:type="dxa"/>
        <w:tblLayout w:type="fixed"/>
        <w:tblCellMar>
          <w:top w:w="28" w:type="dxa"/>
          <w:left w:w="28" w:type="dxa"/>
          <w:bottom w:w="28" w:type="dxa"/>
          <w:right w:w="28" w:type="dxa"/>
        </w:tblCellMar>
      </w:tblPr>
      <w:tblGrid>
        <w:gridCol w:w="552"/>
        <w:gridCol w:w="354"/>
        <w:gridCol w:w="355"/>
        <w:gridCol w:w="198"/>
        <w:gridCol w:w="562"/>
        <w:gridCol w:w="111"/>
        <w:gridCol w:w="109"/>
        <w:gridCol w:w="109"/>
        <w:gridCol w:w="109"/>
        <w:gridCol w:w="198"/>
        <w:gridCol w:w="562"/>
        <w:gridCol w:w="111"/>
        <w:gridCol w:w="109"/>
        <w:gridCol w:w="109"/>
        <w:gridCol w:w="109"/>
        <w:gridCol w:w="196"/>
        <w:gridCol w:w="556"/>
        <w:gridCol w:w="109"/>
        <w:gridCol w:w="109"/>
        <w:gridCol w:w="109"/>
        <w:gridCol w:w="109"/>
        <w:gridCol w:w="284"/>
        <w:gridCol w:w="287"/>
        <w:gridCol w:w="459"/>
        <w:gridCol w:w="109"/>
        <w:gridCol w:w="109"/>
        <w:gridCol w:w="109"/>
        <w:gridCol w:w="198"/>
        <w:gridCol w:w="562"/>
        <w:gridCol w:w="111"/>
        <w:gridCol w:w="109"/>
        <w:gridCol w:w="109"/>
        <w:gridCol w:w="109"/>
        <w:gridCol w:w="198"/>
        <w:gridCol w:w="562"/>
        <w:gridCol w:w="111"/>
        <w:gridCol w:w="109"/>
        <w:gridCol w:w="109"/>
        <w:gridCol w:w="109"/>
        <w:gridCol w:w="196"/>
        <w:gridCol w:w="571"/>
        <w:gridCol w:w="109"/>
        <w:gridCol w:w="109"/>
        <w:gridCol w:w="109"/>
        <w:gridCol w:w="109"/>
        <w:gridCol w:w="284"/>
        <w:gridCol w:w="287"/>
        <w:gridCol w:w="520"/>
      </w:tblGrid>
      <w:tr>
        <w:trPr/>
        <w:tc>
          <w:tcPr>
            <w:tcW w:w="5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 net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(21.6)</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Interest income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(63.8)</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(62.1)</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net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(66.2)</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(49.2)</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Business combinations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(86.7)</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(83.3)</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221.8 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Goodwill impairment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mandatorily redeemable preferred OP units / equity</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marketable securities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foreign currency exchanges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(30.8)</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dispositions of properties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income / (expense), net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(78.4)</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(67.7)</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from nonconsolidated affiliates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investment in nonconsolidated affiliates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Current tax benefit / (expense)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(53.2)</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208.7 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Preferred return to preferred OP units / equity interests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 (loss) attributable to noncontrolling interests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Only items determined by management to be material, of interest, or unique to the periods disclosed above are explained below.</w:t>
      </w:r>
    </w:p>
    <w:p>
      <w:pPr>
        <w:pStyle w:val="TextBody"/>
        <w:bidi w:val="0"/>
        <w:spacing w:lineRule="auto" w:line="288" w:before="0" w:after="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N/M = Percentage change is not meaningful. N/A = Not applicable.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Service, retail, dining and entertainment, net</w:t>
      </w:r>
      <w:r>
        <w:rPr>
          <w:color w:val="000000"/>
        </w:rPr>
        <w:t xml:space="preserve"> </w:t>
      </w:r>
      <w:r>
        <w:rPr>
          <w:rFonts w:ascii="Times New Roman;sans-serif" w:hAnsi="Times New Roman;sans-serif"/>
          <w:b w:val="false"/>
          <w:color w:val="000000"/>
          <w:sz w:val="20"/>
        </w:rPr>
        <w:t>- for the three and nine months ended September 30, 2024, decreased primarily due to lower transient demand in the RV and Marina segments leading to a reduction in revenue generation from service, retail, dining and entertainment activities, as well as increased costs related to service and retail activities in our Marina segment.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 for the three and nine months ended September 30, 2024, decreased primarily due to having a lower receivable balance outstanding with real estate operators than during the same period in 2023. Refer to Note 4, "Notes and Other Receivables,"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Brokerage commissions and other, net</w:t>
      </w:r>
      <w:r>
        <w:rPr>
          <w:color w:val="000000"/>
        </w:rPr>
        <w:t xml:space="preserve"> </w:t>
      </w:r>
      <w:r>
        <w:rPr>
          <w:rFonts w:ascii="Times New Roman;sans-serif" w:hAnsi="Times New Roman;sans-serif"/>
          <w:b w:val="false"/>
          <w:color w:val="000000"/>
          <w:sz w:val="20"/>
        </w:rPr>
        <w:t>- for the three and nine months ended September 30, 2024, decreased primarily due to a decrease in business interruption insurance recoveries recognized in 2024 as compared to the same period in 2023, a decrease in the number of brokered home sales reducing total brokerage commissions as compared to the same period in 2023, and a decrease in dividend income as a result of the sale of our publicly traded marketable securities in Ingenia in 2023. Refer to Note 17, "Commitments and Contingencies" in our accompanying Consolidated Financial Statements 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72465"/>
                <wp:effectExtent l="0" t="0" r="0" b="0"/>
                <wp:wrapNone/>
                <wp:docPr id="58" name="Frame5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pPr>
      <w:r>
        <w:rPr>
          <w:rFonts w:ascii="Times New Roman;sans-serif" w:hAnsi="Times New Roman;sans-serif"/>
          <w:b w:val="false"/>
          <w:i/>
          <w:color w:val="000000"/>
          <w:sz w:val="20"/>
        </w:rPr>
        <w:t>General and administrative expense</w:t>
      </w:r>
      <w:r>
        <w:rPr>
          <w:color w:val="000000"/>
        </w:rPr>
        <w:t xml:space="preserve"> </w:t>
      </w:r>
      <w:r>
        <w:rPr>
          <w:rFonts w:ascii="Times New Roman;sans-serif" w:hAnsi="Times New Roman;sans-serif"/>
          <w:b w:val="false"/>
          <w:color w:val="000000"/>
          <w:sz w:val="20"/>
        </w:rPr>
        <w:t>- for the three and nine months ended September 30, 2024, increased primarily due to a charge of $8.9 million to write off a receivable balance related to expected insurance proceeds from a litigation matter, non-recurring transaction costs related to the settlement of a loan provided to a real estate operator, and increased expenses related to consulting fees and ERP system implementation costs as compared to the same periods in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Catastrophic event-related charges, net</w:t>
      </w:r>
      <w:r>
        <w:rPr>
          <w:color w:val="000000"/>
        </w:rPr>
        <w:t xml:space="preserve"> </w:t>
      </w:r>
      <w:r>
        <w:rPr>
          <w:rFonts w:ascii="Times New Roman;sans-serif" w:hAnsi="Times New Roman;sans-serif"/>
          <w:b w:val="false"/>
          <w:color w:val="000000"/>
          <w:sz w:val="20"/>
        </w:rPr>
        <w:t>- for the three and nine months ended September 30, 2024, increased primarily due to charges of $3.9 million for impaired assets and storm-related damages at two MH communities, three RV communities, and nine marinas due to Hurricane Helene, and incremental asset impairment and debris removal charges, net of insurance recoveries, of $5.6 million driven by flooding at an RV community in New Hampshire.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Asset impairments</w:t>
      </w:r>
      <w:r>
        <w:rPr>
          <w:color w:val="000000"/>
        </w:rPr>
        <w:t xml:space="preserve"> </w:t>
      </w:r>
      <w:r>
        <w:rPr>
          <w:rFonts w:ascii="Times New Roman;sans-serif" w:hAnsi="Times New Roman;sans-serif"/>
          <w:b w:val="false"/>
          <w:color w:val="000000"/>
          <w:sz w:val="20"/>
        </w:rPr>
        <w:t>- for the nine months ended September 30, 2024, increased due to asset impairment charges related to non-continuing expansion and development properties as well as the write off of other financial assets within our MH and UK segments in 2024. Refer to Note 16, "Fair Value Measurements,"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Goodwill impairment</w:t>
      </w:r>
      <w:r>
        <w:rPr>
          <w:color w:val="000000"/>
        </w:rPr>
        <w:t xml:space="preserve"> </w:t>
      </w:r>
      <w:r>
        <w:rPr>
          <w:rFonts w:ascii="Times New Roman;sans-serif" w:hAnsi="Times New Roman;sans-serif"/>
          <w:b w:val="false"/>
          <w:color w:val="000000"/>
          <w:sz w:val="20"/>
        </w:rPr>
        <w:t>- for the three and nine months ended September 30, 2024, there were no goodwill impairment charges, as compared to charges of $44.8 million and $369.9 million driven by a decline in the fair value of the UK reporting segment during the same periods in 2023. Refer to Note 6, "Goodwill and Other Intangible Assets,"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for the nine months ended September 30, 2024, increased due to a higher debt balance and higher weighted average interest rate as compared to the same periods in 2023. Refer to Note 9, "Debt and Line of Credit," of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Gain / (loss) on remeasurement of marketable securities</w:t>
      </w:r>
      <w:r>
        <w:rPr>
          <w:color w:val="000000"/>
        </w:rPr>
        <w:t xml:space="preserve"> </w:t>
      </w:r>
      <w:r>
        <w:rPr>
          <w:rFonts w:ascii="Times New Roman;sans-serif" w:hAnsi="Times New Roman;sans-serif"/>
          <w:b w:val="false"/>
          <w:color w:val="000000"/>
          <w:sz w:val="20"/>
        </w:rPr>
        <w:t>- for the three and nine months ended September 30, 2024, was zero due to the sale of our publicly traded marketable securities in Ingenia in 2023, as compared to a gain of $6.1 million and loss of $8.0 million during the same periods in 2023, respectively.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Gain / (loss) on dispositions of properties</w:t>
      </w:r>
      <w:r>
        <w:rPr>
          <w:color w:val="000000"/>
        </w:rPr>
        <w:t xml:space="preserve"> </w:t>
      </w:r>
      <w:r>
        <w:rPr>
          <w:rFonts w:ascii="Times New Roman;sans-serif" w:hAnsi="Times New Roman;sans-serif"/>
          <w:b w:val="false"/>
          <w:color w:val="000000"/>
          <w:sz w:val="20"/>
        </w:rPr>
        <w:t>- for the three and nine months ended September 30, 2024, was a gain of $178.7 million and $186.6 million on the sale of 11 properties, respectively, as compared to a loss of $0.7 million and $2.9 million on the sale of two land parcels and one MH property during the same periods in 2023, respectively. Refer to Note 3, "Real Estate Acquisitions and Dispositions,"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Other income / (expense), net</w:t>
      </w:r>
      <w:r>
        <w:rPr>
          <w:color w:val="000000"/>
        </w:rPr>
        <w:t xml:space="preserve"> </w:t>
      </w:r>
      <w:r>
        <w:rPr>
          <w:rFonts w:ascii="Times New Roman;sans-serif" w:hAnsi="Times New Roman;sans-serif"/>
          <w:b w:val="false"/>
          <w:color w:val="000000"/>
          <w:sz w:val="20"/>
        </w:rPr>
        <w:t>- for the three months ended September 30, 2024, was an expense $0.8 million as compared to an expense of $3.7 million during the same period in 2023, primarily due to higher long-term lease termination expenses during the prior period. For the nine months ended September 30, 2024, Other income / (expense), net was a gain of $5.6 million, as compared to an expense of $5.5 million during the same period in 2023, primarily due to a litigation settlement gain of $10.3 million related to our Marina segment in 2024, as compared to higher long-term lease termination expenses during the same period in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Income from nonconsolidated affiliates</w:t>
      </w:r>
      <w:r>
        <w:rPr>
          <w:color w:val="000000"/>
        </w:rPr>
        <w:t xml:space="preserve"> </w:t>
      </w:r>
      <w:r>
        <w:rPr>
          <w:rFonts w:ascii="Times New Roman;sans-serif" w:hAnsi="Times New Roman;sans-serif"/>
          <w:b w:val="false"/>
          <w:color w:val="000000"/>
          <w:sz w:val="20"/>
        </w:rPr>
        <w:t>- for the nine months ended September 30, 2024, increased primarily due to the improved performance of our nonconsolidated affiliates, primarily driven by the Sungenia joint venture. Refer to Note 7, "Investments in Nonconsolidated Affiliates,"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Gain / (loss) on remeasurement of investment in nonconsolidated affiliates</w:t>
      </w:r>
      <w:r>
        <w:rPr>
          <w:color w:val="000000"/>
        </w:rPr>
        <w:t xml:space="preserve"> </w:t>
      </w:r>
      <w:r>
        <w:rPr>
          <w:rFonts w:ascii="Times New Roman;sans-serif" w:hAnsi="Times New Roman;sans-serif"/>
          <w:b w:val="false"/>
          <w:color w:val="000000"/>
          <w:sz w:val="20"/>
        </w:rPr>
        <w:t>- for the nine months ended September 30, 2024, was a gain of $6.5 million as compared to a loss of $4.5 million during the same period in 2023 due to the fluctuation in the fair value of a notes receivable portfolio held at our GTSC joint venture. Refer to Note 7, "Investments in Nonconsolidated Affiliates,"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Current tax benefit / (expense)</w:t>
      </w:r>
      <w:r>
        <w:rPr>
          <w:color w:val="000000"/>
        </w:rPr>
        <w:t xml:space="preserve"> </w:t>
      </w:r>
      <w:r>
        <w:rPr>
          <w:rFonts w:ascii="Times New Roman;sans-serif" w:hAnsi="Times New Roman;sans-serif"/>
          <w:b w:val="false"/>
          <w:color w:val="000000"/>
          <w:sz w:val="20"/>
        </w:rPr>
        <w:t>- for the three and nine months ended September 30, 2024 was a benefit of $0.9 million and expense of $6.5 million, respectively, compared to an expense of $4.6 million and $13.9 million, respectively, during the same periods in 2023, primarily due to tax planning efforts at our UK operations in 2024 and taxes accrued in the UK in 2023 driven by property dispositions.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Deferred tax benefit</w:t>
      </w:r>
      <w:r>
        <w:rPr>
          <w:color w:val="000000"/>
        </w:rPr>
        <w:t xml:space="preserve"> </w:t>
      </w:r>
      <w:r>
        <w:rPr>
          <w:rFonts w:ascii="Times New Roman;sans-serif" w:hAnsi="Times New Roman;sans-serif"/>
          <w:b w:val="false"/>
          <w:color w:val="000000"/>
          <w:sz w:val="20"/>
        </w:rPr>
        <w:t>- for the three months ended September 30, 2024, increased primarily due to timing differences for book and tax purposes at our UK and Canadian operations. Refer to Note 13, "Income Taxes," in our accompanying Consolidated Financial Statements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72465"/>
                <wp:effectExtent l="0" t="0" r="0" b="0"/>
                <wp:wrapNone/>
                <wp:docPr id="59" name="Frame5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RECONCILIATION OF NET INCOME / (LOSS) ATTRIBUTABLE TO SUI COMMON SHAREHOLDERS TO FFO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 (loss) attributable to SUI common shareholders to FFO for the three and nine months ended September 30, 2024 and 2023 (in millions, except for per share amounts):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31"/>
        <w:gridCol w:w="1346"/>
        <w:gridCol w:w="1354"/>
        <w:gridCol w:w="275"/>
        <w:gridCol w:w="781"/>
        <w:gridCol w:w="154"/>
        <w:gridCol w:w="109"/>
        <w:gridCol w:w="109"/>
        <w:gridCol w:w="109"/>
        <w:gridCol w:w="275"/>
        <w:gridCol w:w="781"/>
        <w:gridCol w:w="154"/>
        <w:gridCol w:w="109"/>
        <w:gridCol w:w="109"/>
        <w:gridCol w:w="109"/>
        <w:gridCol w:w="275"/>
        <w:gridCol w:w="781"/>
        <w:gridCol w:w="154"/>
        <w:gridCol w:w="109"/>
        <w:gridCol w:w="109"/>
        <w:gridCol w:w="109"/>
        <w:gridCol w:w="257"/>
        <w:gridCol w:w="799"/>
        <w:gridCol w:w="207"/>
      </w:tblGrid>
      <w:tr>
        <w:trPr/>
        <w:tc>
          <w:tcPr>
            <w:tcW w:w="163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43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Restated</w:t>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Net Income / (Loss) Attributable to SUI Common Shareholders</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480.5 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on nonconsolidated affiliates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Goodwill impairment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marketable securities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investment in nonconsolidated affiliates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dispositions of properties, including tax effect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Add: Returns on preferred OP units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Add: Income / (loss) attributable to noncontrolling interests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on disposition of assets, net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FFO Attributable to SUI Common Shareholders and Dilutive Convertible Securities</w:t>
            </w:r>
            <w:r>
              <w:rPr>
                <w:rFonts w:ascii="Times New Roman;sans-serif" w:hAnsi="Times New Roman;sans-serif"/>
                <w:b w:val="false"/>
                <w:color w:val="000000"/>
                <w:sz w:val="11"/>
              </w:rPr>
              <w:t>(1)</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727.1 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Business combination expense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Acquisition and other transaction costs</w:t>
            </w:r>
            <w:r>
              <w:rPr>
                <w:rFonts w:ascii="Times New Roman;sans-serif" w:hAnsi="Times New Roman;sans-serif"/>
                <w:b w:val="false"/>
                <w:color w:val="000000"/>
                <w:sz w:val="11"/>
              </w:rPr>
              <w:t>(2)</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Loss of earnings - catastrophic event-related charges, net</w:t>
            </w:r>
            <w:r>
              <w:rPr>
                <w:rFonts w:ascii="Times New Roman;sans-serif" w:hAnsi="Times New Roman;sans-serif"/>
                <w:b w:val="false"/>
                <w:color w:val="000000"/>
                <w:sz w:val="11"/>
              </w:rPr>
              <w:t>(3)</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foreign currency exchanges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Other adjustments, net</w:t>
            </w:r>
            <w:r>
              <w:rPr>
                <w:rFonts w:ascii="Times New Roman;sans-serif" w:hAnsi="Times New Roman;sans-serif"/>
                <w:b w:val="false"/>
                <w:color w:val="000000"/>
                <w:sz w:val="11"/>
              </w:rPr>
              <w:t>(4)</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Core FFO Attributable to SUI Common Shareholders and Dilutive Convertible Securities</w:t>
            </w:r>
            <w:r>
              <w:rPr>
                <w:rFonts w:ascii="Times New Roman;sans-serif" w:hAnsi="Times New Roman;sans-serif"/>
                <w:b w:val="false"/>
                <w:color w:val="000000"/>
                <w:sz w:val="11"/>
              </w:rPr>
              <w:t>(1)</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742.3 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Weighted Average Common Shares Outstanding - Diluted</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FFO Attributable to SUI Common Shareholders and Dilutive Convertible Securities Per Share</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Core FFO Attributable to SUI Common Shareholders and Dilutive Convertible Securities Per Share</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Excludes the effect of certain anti-dilutive convertible securities.</w:t>
      </w:r>
    </w:p>
    <w:p>
      <w:pPr>
        <w:pStyle w:val="TextBody"/>
        <w:bidi w:val="0"/>
        <w:spacing w:lineRule="auto" w:line="288" w:before="0" w:after="2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These costs represent (i) nonrecurring integration expenses associated with acquisitions during the three and nine months ended September 30, 2024, and 2023, (ii) costs associated with potential acquisitions that will not close, (iii) expenses incurred to bring recently acquired properties up to our operating standards, including items such as tree trimming and painting costs that do not meet our capitalization policy.</w:t>
      </w:r>
    </w:p>
    <w:p>
      <w:pPr>
        <w:pStyle w:val="TextBody"/>
        <w:bidi w:val="0"/>
        <w:spacing w:lineRule="auto" w:line="288" w:before="0" w:after="0"/>
        <w:ind w:left="0" w:right="0" w:hanging="180"/>
        <w:jc w:val="left"/>
        <w:rPr/>
      </w:pPr>
      <w:r>
        <w:rPr>
          <w:rFonts w:ascii="Times New Roman;sans-serif" w:hAnsi="Times New Roman;sans-serif"/>
          <w:b w:val="false"/>
          <w:color w:val="000000"/>
          <w:sz w:val="10"/>
        </w:rPr>
        <w:t>(3)</w:t>
      </w:r>
      <w:r>
        <w:rPr>
          <w:rFonts w:ascii="Times New Roman;sans-serif" w:hAnsi="Times New Roman;sans-serif"/>
          <w:b w:val="false"/>
          <w:color w:val="000000"/>
          <w:sz w:val="16"/>
        </w:rPr>
        <w:t>Loss of earnings - catastrophic event-related charges, net include the following:</w:t>
      </w:r>
    </w:p>
    <w:tbl>
      <w:tblPr>
        <w:tblW w:w="10205" w:type="dxa"/>
        <w:jc w:val="left"/>
        <w:tblInd w:w="0" w:type="dxa"/>
        <w:tblLayout w:type="fixed"/>
        <w:tblCellMar>
          <w:top w:w="28" w:type="dxa"/>
          <w:left w:w="28" w:type="dxa"/>
          <w:bottom w:w="28" w:type="dxa"/>
          <w:right w:w="28" w:type="dxa"/>
        </w:tblCellMar>
      </w:tblPr>
      <w:tblGrid>
        <w:gridCol w:w="1579"/>
        <w:gridCol w:w="1369"/>
        <w:gridCol w:w="1375"/>
        <w:gridCol w:w="345"/>
        <w:gridCol w:w="658"/>
        <w:gridCol w:w="209"/>
        <w:gridCol w:w="109"/>
        <w:gridCol w:w="109"/>
        <w:gridCol w:w="109"/>
        <w:gridCol w:w="345"/>
        <w:gridCol w:w="658"/>
        <w:gridCol w:w="209"/>
        <w:gridCol w:w="109"/>
        <w:gridCol w:w="109"/>
        <w:gridCol w:w="109"/>
        <w:gridCol w:w="307"/>
        <w:gridCol w:w="718"/>
        <w:gridCol w:w="187"/>
        <w:gridCol w:w="109"/>
        <w:gridCol w:w="109"/>
        <w:gridCol w:w="109"/>
        <w:gridCol w:w="299"/>
        <w:gridCol w:w="699"/>
        <w:gridCol w:w="267"/>
      </w:tblGrid>
      <w:tr>
        <w:trPr/>
        <w:tc>
          <w:tcPr>
            <w:tcW w:w="157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Nine Months Ended</w:t>
            </w:r>
          </w:p>
        </w:tc>
      </w:tr>
      <w:tr>
        <w:trPr/>
        <w:tc>
          <w:tcPr>
            <w:tcW w:w="4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September 30, 2023</w:t>
            </w:r>
          </w:p>
        </w:tc>
      </w:tr>
      <w:tr>
        <w:trPr/>
        <w:tc>
          <w:tcPr>
            <w:tcW w:w="4323" w:type="dxa"/>
            <w:gridSpan w:val="3"/>
            <w:tcBorders/>
            <w:shd w:fill="CCEEFF" w:val="clear"/>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15"/>
              </w:rPr>
            </w:pPr>
            <w:r>
              <w:rPr>
                <w:rFonts w:ascii="Times New Roman;sans-serif" w:hAnsi="Times New Roman;sans-serif"/>
                <w:b w:val="false"/>
                <w:color w:val="000000"/>
                <w:sz w:val="15"/>
              </w:rPr>
              <w:t>Hurricane Ian - three Fort Myers, Florida RV communities impaired</w:t>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15"/>
              </w:rPr>
            </w:pPr>
            <w:r>
              <w:rPr>
                <w:rFonts w:ascii="Times New Roman;sans-serif" w:hAnsi="Times New Roman;sans-serif"/>
                <w:b w:val="false"/>
                <w:color w:val="000000"/>
                <w:sz w:val="15"/>
              </w:rPr>
              <w:t>Estimated loss of earnings in excess of the applicable business interruption deductible</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5"/>
              </w:rPr>
            </w:pPr>
            <w:r>
              <w:rPr>
                <w:rFonts w:ascii="Times New Roman;sans-serif" w:hAnsi="Times New Roman;sans-serif"/>
                <w:b w:val="false"/>
                <w:color w:val="000000"/>
                <w:sz w:val="15"/>
              </w:rPr>
              <w:t>Insurance recoveries realized for previously estimated loss of earnings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(11.8)</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Hurricane Irma - three Florida Keys communities impaired</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15"/>
              </w:rPr>
            </w:pPr>
            <w:r>
              <w:rPr>
                <w:rFonts w:ascii="Times New Roman;sans-serif" w:hAnsi="Times New Roman;sans-serif"/>
                <w:b w:val="false"/>
                <w:color w:val="000000"/>
                <w:sz w:val="15"/>
              </w:rPr>
              <w:t>Estimated loss of earnings in excess of the applicable business interruption deductible</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5"/>
              </w:rPr>
            </w:pPr>
            <w:r>
              <w:rPr>
                <w:rFonts w:ascii="Times New Roman;sans-serif" w:hAnsi="Times New Roman;sans-serif"/>
                <w:b w:val="false"/>
                <w:color w:val="000000"/>
                <w:sz w:val="15"/>
              </w:rPr>
              <w:t>Reversal of unpaid previously estimated loss of earnings that we do not expect to recover</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(0.6)</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Flooding event - estimated loss of earnings at one New Hampshire RV community</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5"/>
              </w:rPr>
            </w:pPr>
            <w:r>
              <w:rPr>
                <w:rFonts w:ascii="Times New Roman;sans-serif" w:hAnsi="Times New Roman;sans-serif"/>
                <w:b/>
                <w:color w:val="000000"/>
                <w:sz w:val="15"/>
              </w:rPr>
              <w:t>Loss of earnings - catastrophic event-related charges, net</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Other adjustments, net relates primarily to (i) an insurance loss recovery charge and ERP implementation expense during the three and nine months ended September 30, 2024, (ii) deferred tax benefit, severance costs, and long-term lease termination expense during the three and nine months ended September 30, 2024 and 2023, and (iii) a litigation settlement gain during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72465"/>
                <wp:effectExtent l="0" t="0" r="0" b="0"/>
                <wp:wrapNone/>
                <wp:docPr id="60" name="Frame5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Short-term Liquidity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short-term liquidity demands historically have been, and are expected to continue to be, distributions to our shareholders and the unit holders of the Operating Partnership, property acquisitions, development and expansion of our properties, capital improvement of our properties, the purchase of new and pre-owned homes, and debt repayment. We intend to meet our short-term liquidity requirements through available cash balances, cash flow generated from operations, draws on our Senior Credit Facility, and the use of debt and equity offerings under our shelf registration statement. Refer to Note 9, "Debt and Line of Credit," and Note 10, "Equity and Temporary Equity,"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strengthen our capital and liquidity positions by focusing on our core fundamentals, which are generating positive cash flows from operations, maintaining appropriate debt levels and leverage ratios, and controlling overhead costs. We take a disciplined approach to selecting the optimal mix of financing sources to meet our liquidity demands and minimize our overall cost of capital. Our investment grade credit ratings remain unchanged from the initial rating. We plan to continue to capitalize on our unsecured bond market access to optimize our cost of capital and increase our financial flexibility.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 market and economic conditions, including relating to, among other things, interest rates, currency fluctuations, equity valuations and inflation, may adversely affect our ability to obtain debt and equity capital in the short term on attractive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initial public offering in 1993, we have demonstrated operational reliability and cash flow strength throughout economic cycles. Our current objectives include streamlining our operations with an emphasis on our reliable real property income. We recognize the headwinds we are facing from a challenging macroeconomic environment and are re-aligning our strategy to focus on our proven, durable income streams. We are positioned for ongoing organic growth with expected rental rate increases, occupancy gains and expense management. In 2024, we expect rental rate growth that exceeds headline inflation with ongoing focus on expense management to continue generating strong organic cash flow growth.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a macroeconomic backdrop of sustained higher interest rates, we intend to prioritize debt reduction as our primary use of free cash flow from our operations and of proceeds from equity issuances and selective capital recycling. In addition, we are reducing our development activity considering the more challenging macroeconomic and capital market environment. Capital spending besides projects that are underway will be solely focused on the most strategic opportunities. We also attempt to manage interest rate risks by using interest rate hedging instruments and by monitoring our overall leverage levels. We engage in certain hedging transactions to limit our exposure from the adverse effects of changes in interest rates on borrowing costs of our loans.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 Dispositions, Development and Expansion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market conditions, we intend to selectively identify opportunities to expand our development pipeline and acquire existing properties. We finance acquisitions through available cash, secured financing, draws on our Senior Credit Facility, the assumption of existing debt on properties and the issuance of debt and equity securities. The current higher interest rate environment makes it more expensive to finance acquisitions and fund developments and expansions. We will continue to very selectively pursue acquisition and development opportunities that meet our underwriting criteria.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we acquired three marinas and three marina expansion assets with an aggregate of 925 wet slips and dry storage spaces for an aggregate purchase price of approximately $63.8 million. In conjunction with two of the marina acquisitions, we issued an aggregate of 262,599 common OP units as part of the consideration transferred. During the same period, we entered into a ground lease that can support one marina with eight wet slips and dry storage spaces.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commenced a targeted disposition program to divest non-strategic assets in an effort to simplify management and reduce our overall leverage. During the nine months ended September 30, 2024, we sold 10 MH properties, one UK property, and two development properties with an aggregate of 3,409 sites for a gross sale price of approximately $392.2 million, and received total cash consideration of approximately $287.0 million, net of settlement of the associated mortgage debt of $93.5 million. The net proceeds were used to repay borrowings outstanding under the Senior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we acquired two land parcels located in the U.S. for an aggregate purchase price of $12.9 million. The parcels can accommodate the potential development of over 1,100 sites. We also acquired one land parcel, previously subject to a ground lease, located in the U.K. for an aggregate purchase price of $9.6 million. We also expanded one of our existing communities by nearly 30 sites and delivered nearly 100 sites at two ground-up development properties.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72465"/>
                <wp:effectExtent l="0" t="0" r="0" b="0"/>
                <wp:wrapNone/>
                <wp:docPr id="61" name="Frame6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will selectively expand our properties utilizing our inventory of owned and entitled land. We have 18,190 MH and RV sites suitable for future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3, "Real Estate Acquisitions and Dispositions," in our accompanying Consolidated Financial Statements for additional details on acquisitions and dispositions completed to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 (excluding Acquisition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expenditures include lot modifications, growth projects, rebranding, acquisition-related capital expenditures, expansion and development construction costs, rental home purchases and recurring capital expenditures.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 activity is summarized as follows (in millions):</w:t>
      </w:r>
    </w:p>
    <w:p>
      <w:pPr>
        <w:pStyle w:val="TextBody"/>
        <w:bidi w:val="0"/>
        <w:spacing w:before="0" w:after="0"/>
        <w:jc w:val="both"/>
        <w:rPr/>
      </w:pPr>
      <w:r>
        <w:rPr/>
      </w:r>
    </w:p>
    <w:tbl>
      <w:tblPr>
        <w:tblW w:w="8006" w:type="dxa"/>
        <w:jc w:val="left"/>
        <w:tblInd w:w="0" w:type="dxa"/>
        <w:tblLayout w:type="fixed"/>
        <w:tblCellMar>
          <w:top w:w="28" w:type="dxa"/>
          <w:left w:w="28" w:type="dxa"/>
          <w:bottom w:w="28" w:type="dxa"/>
          <w:right w:w="28" w:type="dxa"/>
        </w:tblCellMar>
      </w:tblPr>
      <w:tblGrid>
        <w:gridCol w:w="1646"/>
        <w:gridCol w:w="1448"/>
        <w:gridCol w:w="1451"/>
        <w:gridCol w:w="351"/>
        <w:gridCol w:w="997"/>
        <w:gridCol w:w="197"/>
        <w:gridCol w:w="109"/>
        <w:gridCol w:w="109"/>
        <w:gridCol w:w="109"/>
        <w:gridCol w:w="343"/>
        <w:gridCol w:w="976"/>
        <w:gridCol w:w="270"/>
      </w:tblGrid>
      <w:tr>
        <w:trPr/>
        <w:tc>
          <w:tcPr>
            <w:tcW w:w="164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Recurring Capital Expenditures</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Non-Recurring Capital Expenditures and Related Activities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Lot modifications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Growth projects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Rebranding</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Capital improvements to recent acquisitions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168.2 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Expansion and development</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Rental program</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Non-Recurring Capital Expenditure and Related Activities</w:t>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729.3 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Capital Expenditure and Related Activities</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489.8 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790.3 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Recurring Capital Expenditures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recurring capital expenditures are necessary to maintain asset quality, including purchasing and replacing items used to operate the communities and marinas. Recurring capital expenditures at our MH, RV and UK properties include major road, driveway and pool improvements; clubhouse renovations; adding or replacing streetlights; playground equipment; signage; maintenance facilities; manager housing and property vehicles. Recurring capital expenditures at our marinas include dredging, dock repairs and improvements, and equipment maintenance and upgrades. The minimum capitalized amount is five hundred dollars.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Non-Recurring Capital Expenditures and Related Activities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Lot modifications</w:t>
      </w:r>
      <w:r>
        <w:rPr>
          <w:color w:val="000000"/>
        </w:rPr>
        <w:t xml:space="preserve"> </w:t>
      </w:r>
      <w:r>
        <w:rPr>
          <w:rFonts w:ascii="Times New Roman;sans-serif" w:hAnsi="Times New Roman;sans-serif"/>
          <w:b w:val="false"/>
          <w:color w:val="000000"/>
          <w:sz w:val="20"/>
        </w:rPr>
        <w:t>- consist of expenditures incurred to modify the foundational structures required to set a new home after a previous home has been removed. These expenditures are necessary to create a revenue stream from a new site renter and often improve the quality of the community. Other lot modification expenditures include land improvements added to annual RV sites to aid in the conversion of transient RV guests to annual contracts.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Growth projects</w:t>
      </w:r>
      <w:r>
        <w:rPr>
          <w:color w:val="000000"/>
        </w:rPr>
        <w:t xml:space="preserve"> </w:t>
      </w:r>
      <w:r>
        <w:rPr>
          <w:rFonts w:ascii="Times New Roman;sans-serif" w:hAnsi="Times New Roman;sans-serif"/>
          <w:b w:val="false"/>
          <w:color w:val="000000"/>
          <w:sz w:val="20"/>
        </w:rPr>
        <w:t>- consist of revenue generating or expense reducing activities at the properties. These include, but are not limited to, utility efficiency and renewable energy projects, site, slip or amenity upgrades such as the addition of a garage, shed or boat lift, and other special capital projects that substantiate an incremental rental increase.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Rebranding</w:t>
      </w:r>
      <w:r>
        <w:rPr>
          <w:color w:val="000000"/>
        </w:rPr>
        <w:t xml:space="preserve"> </w:t>
      </w:r>
      <w:r>
        <w:rPr>
          <w:rFonts w:ascii="Times New Roman;sans-serif" w:hAnsi="Times New Roman;sans-serif"/>
          <w:b w:val="false"/>
          <w:color w:val="000000"/>
          <w:sz w:val="20"/>
        </w:rPr>
        <w:t>- includes new signage at our RV communities and the costs of building an RV mobile application and updated website.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Capital improvements to recent acquisitions</w:t>
      </w:r>
      <w:r>
        <w:rPr>
          <w:color w:val="000000"/>
        </w:rPr>
        <w:t xml:space="preserve"> </w:t>
      </w:r>
      <w:r>
        <w:rPr>
          <w:rFonts w:ascii="Times New Roman;sans-serif" w:hAnsi="Times New Roman;sans-serif"/>
          <w:b w:val="false"/>
          <w:color w:val="000000"/>
          <w:sz w:val="20"/>
        </w:rPr>
        <w:t>- often require 24 to 36 months to complete after closing and include upgrading clubhouses; landscaping; new street light systems; new mail delivery systems; pool renovations including larger decks, heaters and furniture; new maintenance facilities; lot modifications; and new signage including main signs and internal road signs.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Expansion and development expenditures</w:t>
      </w:r>
      <w:r>
        <w:rPr>
          <w:color w:val="000000"/>
        </w:rPr>
        <w:t xml:space="preserve"> </w:t>
      </w:r>
      <w:r>
        <w:rPr>
          <w:rFonts w:ascii="Times New Roman;sans-serif" w:hAnsi="Times New Roman;sans-serif"/>
          <w:b w:val="false"/>
          <w:color w:val="000000"/>
          <w:sz w:val="20"/>
        </w:rPr>
        <w:t>- consist primarily of construction costs such as roads, activities, and amenities, and costs necessary to complete site improvements, such as driveways, sidewalks and landscaping at our MH, RV and UK communities. Expenditures also include costs to rebuild after damage has been incurred at MH, RV, marina or UK properties, and research and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72465"/>
                <wp:effectExtent l="0" t="0" r="0" b="0"/>
                <wp:wrapNone/>
                <wp:docPr id="62" name="Frame6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pPr>
      <w:r>
        <w:rPr>
          <w:rFonts w:ascii="Times New Roman;sans-serif" w:hAnsi="Times New Roman;sans-serif"/>
          <w:b w:val="false"/>
          <w:i/>
          <w:color w:val="000000"/>
          <w:sz w:val="20"/>
        </w:rPr>
        <w:t>Rental program</w:t>
      </w:r>
      <w:r>
        <w:rPr>
          <w:color w:val="000000"/>
        </w:rPr>
        <w:t xml:space="preserve"> </w:t>
      </w:r>
      <w:r>
        <w:rPr>
          <w:rFonts w:ascii="Times New Roman;sans-serif" w:hAnsi="Times New Roman;sans-serif"/>
          <w:b w:val="false"/>
          <w:color w:val="000000"/>
          <w:sz w:val="20"/>
        </w:rPr>
        <w:t>- consists of investment in the acquisition of homes intended for the rental program and the purchase of vacation rental homes at our RV communities. Expenditures for these investments depend upon the condition of the markets for repossessions and new home sales, rental homes and vacation rental homes.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 activities are summarized as follows (in millions):</w:t>
      </w:r>
    </w:p>
    <w:p>
      <w:pPr>
        <w:pStyle w:val="TextBody"/>
        <w:bidi w:val="0"/>
        <w:spacing w:before="0" w:after="0"/>
        <w:jc w:val="both"/>
        <w:rPr/>
      </w:pPr>
      <w:r>
        <w:rPr/>
      </w:r>
    </w:p>
    <w:tbl>
      <w:tblPr>
        <w:tblW w:w="9175" w:type="dxa"/>
        <w:jc w:val="left"/>
        <w:tblInd w:w="0" w:type="dxa"/>
        <w:tblLayout w:type="fixed"/>
        <w:tblCellMar>
          <w:top w:w="28" w:type="dxa"/>
          <w:left w:w="28" w:type="dxa"/>
          <w:bottom w:w="28" w:type="dxa"/>
          <w:right w:w="28" w:type="dxa"/>
        </w:tblCellMar>
      </w:tblPr>
      <w:tblGrid>
        <w:gridCol w:w="2073"/>
        <w:gridCol w:w="1817"/>
        <w:gridCol w:w="1824"/>
        <w:gridCol w:w="323"/>
        <w:gridCol w:w="1042"/>
        <w:gridCol w:w="180"/>
        <w:gridCol w:w="109"/>
        <w:gridCol w:w="109"/>
        <w:gridCol w:w="109"/>
        <w:gridCol w:w="317"/>
        <w:gridCol w:w="1023"/>
        <w:gridCol w:w="249"/>
      </w:tblGrid>
      <w:tr>
        <w:trPr/>
        <w:tc>
          <w:tcPr>
            <w:tcW w:w="2073"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743.0 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For Investing Activities</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(817.8)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 (Used For) Financing Activities</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(538.9)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Effect of Exchange Rate Changes on Cash, Cash Equivalents and Restricted Cash</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increased by $39.1 million from $42.7 million as of December 31, 2023, to $81.8 million as of September 30,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Operating activities</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Net cash provided by operating activities increased by $70.1 million to $743.0 million for the nine months ended September 30, 2024, compared to $672.9 million for the nine months ended September 30, 2023. The increase in operating cash flow was primarily due to beneficial changes in inventory, other assets, and other liabilities, and improved Same Property operating performance at our MH properties, marinas, and UK properties, partially offset by reduced operating performance at our RV properties during the nine months ended September 30, 2024 as compared to the corresponding period in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net cash flows provided by operating activities from continuing operations may be adversely impacted by, among other things: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market and economic conditions in our current markets generally, and specifically in the metropolitan areas of our current markets;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lower occupancy and rental rates of our properties;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substantial increases in insurance premiums;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increases in other operating costs, such as wage and benefit costs, supplies and repairs, real estate taxes and utilities;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decreased sales of manufactured homes;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current volatility in economic conditions and the financial markets;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effects of outbreaks of disease and related restrictions on business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"Risk Factors" in Part I, Item 1A of our 2023 Annual Report.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Investing activities</w:t>
      </w:r>
      <w:r>
        <w:rPr>
          <w:color w:val="000000"/>
        </w:rPr>
        <w:t xml:space="preserve"> </w:t>
      </w:r>
      <w:r>
        <w:rPr>
          <w:rFonts w:ascii="Times New Roman;sans-serif" w:hAnsi="Times New Roman;sans-serif"/>
          <w:b w:val="false"/>
          <w:color w:val="000000"/>
          <w:sz w:val="20"/>
        </w:rPr>
        <w:t>- Net cash used for investing activities decreased by $652.2 million to $165.6 million for the nine months ended September 30, 2024, compared to $817.8 million for the nine months ended September 30, 2023. The decrease in Net cash used for investing activities was primarily driven by a decrease in cash deployed to invest in existing properties and proceeds received from the disposition of 10 MH properties, one UK property, and two development properties during the nine months ended September 30, 2024 as compared to the corresponding period in 2023. Refer to the Consolidated Statements of Cash Flows for detail on the net cash used for investing activities during the nine months ended September 30, 2024 and 2023. Refer to Note 3, "Real Estate Acquisitions and Dispositions," in our accompanying Consolidated Financial Statements for additional information on acquisitions and investment activity.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Financing activities</w:t>
      </w:r>
      <w:r>
        <w:rPr>
          <w:color w:val="000000"/>
        </w:rPr>
        <w:t xml:space="preserve"> </w:t>
      </w:r>
      <w:r>
        <w:rPr>
          <w:rFonts w:ascii="Times New Roman;sans-serif" w:hAnsi="Times New Roman;sans-serif"/>
          <w:b w:val="false"/>
          <w:color w:val="000000"/>
          <w:sz w:val="20"/>
        </w:rPr>
        <w:t>- Net cash used for financing activities was $538.9 million for the nine months ended September 30, 2024, compared to net cash provided by financing activities of $116.3 million for the nine months ended September 30, 2023. The change in Net cash provided by / (used for) financing activities was primarily driven by cash disbursed to settle mortgage debt and repay borrowings outstanding under the Senior Credit Facility during the nine months ended September 30, 2024, as compared to the net issuance of debt during the corresponding period in 2023, as part of our strategy to optimize the strength of our balance sheet. Refer to the Consolidated Statements of Cash Flows for detail on the net cash provided by / (used for) financing activities during the nine months ended September 30, 2024 and 2023. Refer to Note 9, "Debt and Line of Credit," in our accompanying Consolidated Financial Statements 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72465"/>
                <wp:effectExtent l="0" t="0" r="0" b="0"/>
                <wp:wrapNone/>
                <wp:docPr id="63" name="Frame6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interest rate variability associated with our outstanding floating rate debt and any maturing debt that has to be refinanced. Interest rate movements impact our borrowing costs and, while as of September 30, 2024, approximately 94% of our total debt was fixed rate financing, including the impact of hedge activity, increases in interest costs are likely to adversely affect our financial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Equity and Debt Activity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At the Market Offering Sales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May 2024, we renewed our 2021 ATM with certain sales agents and forward sellers pursuant to which we may sell, from time to time, up to an aggregate gross sales price of $1.25 billion of our common stock. During the three months ended September 30, 2024, we entered into forward sale agreements with respect to 2,713,571 shares of common stock under the ATM. We completed the physical settlement of these shares for an aggregate gross sales price of $364.3 million and received net proceeds of $361.7 million, or $133.31 per share. The net proceeds were used to repay borrowings outstanding under the Senior Credit Facility. Through September 30, 2024, we had entered into and settled forward sales agreements under the ATM for an aggregate gross sales price of $524.8 million, leaving $725.2 million available for sale under the ATM.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outstanding senior unsecured notes (in millions, except for statistical information). All senior unsecured notes include interest payments on a semi-annual basis in arrears.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65"/>
        <w:gridCol w:w="1537"/>
        <w:gridCol w:w="1553"/>
        <w:gridCol w:w="109"/>
        <w:gridCol w:w="109"/>
        <w:gridCol w:w="109"/>
        <w:gridCol w:w="267"/>
        <w:gridCol w:w="945"/>
        <w:gridCol w:w="148"/>
        <w:gridCol w:w="109"/>
        <w:gridCol w:w="109"/>
        <w:gridCol w:w="109"/>
        <w:gridCol w:w="295"/>
        <w:gridCol w:w="1041"/>
        <w:gridCol w:w="164"/>
        <w:gridCol w:w="109"/>
        <w:gridCol w:w="109"/>
        <w:gridCol w:w="109"/>
        <w:gridCol w:w="283"/>
        <w:gridCol w:w="999"/>
        <w:gridCol w:w="227"/>
      </w:tblGrid>
      <w:tr>
        <w:trPr/>
        <w:tc>
          <w:tcPr>
            <w:tcW w:w="1765"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4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4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5.5% notes, issued in January 2024 and due in January 2029</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500.0 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5.7% notes, issued in January 2023 and due in January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395.7</w:t>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4.2% notes, issued in April 2022 and due in April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592.6 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2.3% notes, issued in October 2021 and due in November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2.7% notes, issued in June 2021 and October 2021, and due in July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742.4 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2,700.0 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2,675.5 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2,177.5 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In January 2024, the Operating Partnership issued $500.0 million of senior unsecured notes with an interest rate of 5.5% and a five-year term, due January 15, 2029 (the "2029 Notes"). Interest on the 2029 Notes is payable semi-annually in arrears on January 15 and July 15 of each year, beginning on July 15, 2024. The net proceeds from the offering were $495.4 million, after deducting underwriters' discounts and offering expenses. We used the majority of the net proceeds to repay borrowings outstanding under our Senior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of the Operating Partnership to pay principal, premiums, if any, and interest on our senior unsecured notes are guaranteed on a senior basis by Sun Communities, Inc. The guarantee is full and unconditional, and the Operating Partnership is a consolidated subsidiary of the Company. Under Rule 3-10 of Regulation S-X, as amended, subsidiary issuers of obligations guaranteed by its parent company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Line of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Partnership (as borrower), SUI (as guarantor), and certain lenders are parties to a credit agreement which governs our Senior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March 2024, the aggregate amount of our Senior Credit Facility was $4.2 billion with the ability to upsize the total borrowings by an additional $800.0 million, subject to certain conditions. The aggregate amount under the Senior Credit Facility consisted of the following: (a) a revolving loan in an amount up to $3.05 billion and (b) a term loan facility of $1.15 billion, with the ability to draw funds from the combined facilities in U.S. dollars, pound sterling, euros, Canadian dollars and Australian dollars, subject to certain limitations. The maturity date of the revolving loan facility is April 7, 2026. At our option that maturity date may be extended two additional six-month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72465"/>
                <wp:effectExtent l="0" t="0" r="0" b="0"/>
                <wp:wrapNone/>
                <wp:docPr id="64" name="Frame6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we terminated the term loan facility and settled the associated $1.1 billion of borrowings outstanding under the term loan by increasing our borrowings under the revolving loan of the Senior Credit Facility. By terminating the term loan, we reduced our aggregate borrowing capacity under the Senior Credit Facility to $3.05 billion under the revolving loan. During the three months ended March 31, 2024, we recognized a Loss on extinguishment of debt in our Consolidated Statements of Operations of $0.6 million related to the termination of the term loan facility. In June 2024, we amended the Senior Credit Facility to replace the Canadian Dollar Offered Rate with the CORRA as the benchmark rate for borrowings denominated in Canadian dollars, with no other significant changes to the terms of the Senior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bears interest at a floating rate based on the Adjusted Term SOFR, the Adjusted Eurocurrency Rate, the Australian BBSY, the Daily SONIA Rate or the CORRA, as applicable, plus a margin, in all cases, which can range from 0.725% to 1.6%, subject to certain adjustments. As of September 30, 2024, the margins based on our credit ratings were 0.85% on the revolving loan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lenders' option, the Senior Credit Facility will become immediately due and payable upon an event of default under the Credit Facility Agreement. We had $1.3 billion and $944.1 million of borrowings outstanding under the revolving loan as of September 30, 2024 and December 31, 2023, respectively. The balance is recorded in Unsecured debt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provides us with the ability to issue letters of credit. Our issuance of letters of credit does not increase our borrowings outstanding under the Senior Credit Facility, but does reduce the borrowing amount available. We had $11.3 million and $26.2 million of outstanding letters of credit at September 30, 2024 and December 31,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Senior Credit Facility, we are subject to various financial and other covenants. The most restrictive financial covenants for the Senior Credit Facility are as follows:</w:t>
      </w:r>
    </w:p>
    <w:p>
      <w:pPr>
        <w:pStyle w:val="TextBody"/>
        <w:bidi w:val="0"/>
        <w:spacing w:before="0" w:after="0"/>
        <w:jc w:val="both"/>
        <w:rPr/>
      </w:pPr>
      <w:r>
        <w:rPr/>
      </w:r>
    </w:p>
    <w:tbl>
      <w:tblPr>
        <w:tblW w:w="6460" w:type="dxa"/>
        <w:jc w:val="left"/>
        <w:tblInd w:w="0" w:type="dxa"/>
        <w:tblLayout w:type="fixed"/>
        <w:tblCellMar>
          <w:top w:w="28" w:type="dxa"/>
          <w:left w:w="28" w:type="dxa"/>
          <w:bottom w:w="28" w:type="dxa"/>
          <w:right w:w="28" w:type="dxa"/>
        </w:tblCellMar>
      </w:tblPr>
      <w:tblGrid>
        <w:gridCol w:w="997"/>
        <w:gridCol w:w="877"/>
        <w:gridCol w:w="886"/>
        <w:gridCol w:w="109"/>
        <w:gridCol w:w="109"/>
        <w:gridCol w:w="109"/>
        <w:gridCol w:w="345"/>
        <w:gridCol w:w="345"/>
        <w:gridCol w:w="346"/>
        <w:gridCol w:w="109"/>
        <w:gridCol w:w="109"/>
        <w:gridCol w:w="109"/>
        <w:gridCol w:w="588"/>
        <w:gridCol w:w="588"/>
        <w:gridCol w:w="834"/>
      </w:tblGrid>
      <w:tr>
        <w:trPr/>
        <w:tc>
          <w:tcPr>
            <w:tcW w:w="9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As of September 30, 2024</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Maximum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&lt;65.0%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32.5%</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Minimum fixed charge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&gt;1.40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2.86</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Maximum secured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&lt;40.0%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12.4%</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maintain the following covenants with respect to the senior unsecured notes payable:</w:t>
      </w:r>
    </w:p>
    <w:p>
      <w:pPr>
        <w:pStyle w:val="TextBody"/>
        <w:bidi w:val="0"/>
        <w:spacing w:before="0" w:after="0"/>
        <w:jc w:val="both"/>
        <w:rPr/>
      </w:pPr>
      <w:r>
        <w:rPr/>
      </w:r>
    </w:p>
    <w:tbl>
      <w:tblPr>
        <w:tblW w:w="8109" w:type="dxa"/>
        <w:jc w:val="left"/>
        <w:tblInd w:w="0" w:type="dxa"/>
        <w:tblLayout w:type="fixed"/>
        <w:tblCellMar>
          <w:top w:w="28" w:type="dxa"/>
          <w:left w:w="28" w:type="dxa"/>
          <w:bottom w:w="28" w:type="dxa"/>
          <w:right w:w="28" w:type="dxa"/>
        </w:tblCellMar>
      </w:tblPr>
      <w:tblGrid>
        <w:gridCol w:w="1596"/>
        <w:gridCol w:w="1403"/>
        <w:gridCol w:w="1410"/>
        <w:gridCol w:w="109"/>
        <w:gridCol w:w="109"/>
        <w:gridCol w:w="109"/>
        <w:gridCol w:w="345"/>
        <w:gridCol w:w="345"/>
        <w:gridCol w:w="346"/>
        <w:gridCol w:w="109"/>
        <w:gridCol w:w="109"/>
        <w:gridCol w:w="109"/>
        <w:gridCol w:w="588"/>
        <w:gridCol w:w="588"/>
        <w:gridCol w:w="834"/>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As of September 30, 2024</w:t>
            </w:r>
          </w:p>
        </w:tc>
      </w:tr>
      <w:tr>
        <w:trPr/>
        <w:tc>
          <w:tcPr>
            <w:tcW w:w="4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debt to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7"/>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38.2%</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Secured debt to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7"/>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17.7%</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Consolidated income available for debt service to debt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7"/>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4.10</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Unencumbered total asset value to total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7"/>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378.7%</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were in compliance with the above covenants and do not anticipate that we will be unable to meet these covenants in the near term.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treasury rate lock contracts, interest rate swaps, and forward swaps for interest rate risk management purposes. We do not enter into derivative instruments for speculative purposes. The risks being hedged are the interest rate risk related to outstanding floating rate debt and forecasted debt issuance transactions, and the benchmark interest rates used are the SOFR and the SONIA 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we entered into five interest rate swap contracts with an aggregate notional value of $150.0 million to hedge interest rate risk associated with a future debt offering.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in connection with the issuance of the 2029 Notes, we settled seven forward swap contracts totaling $255.0 million and paid a net settlement payment of $2.3 million to several counterparties. Refer to Note 15, "Derivative Financial Instruments," in our accompanying Consolidated Financial Statements 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72465"/>
                <wp:effectExtent l="0" t="0" r="0" b="0"/>
                <wp:wrapNone/>
                <wp:docPr id="65" name="Frame6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Financing and Capital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Financing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meeting our long-term liquidity requirements, such as scheduled debt maturities, large property acquisitions, expansion and development of properties, other nonrecurring capital improvements and Operating Partnership unit redemptions through long-term unsecured and secured debt and the issuance of certain debt or equity securities subject to market conditions. If current market and economic conditions, including relating to, among other things, interest rates, currency fluctuations, equity valuations and inflation, continue or worsen, our ability to obtain debt and equity capital in the long term on attractive terms may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unrestricted cash on hand of $63.6 million, $1.8 billion of remaining capacity on the Senior Credit Facility, and a total of 510 unencumbered MH, RV, marina and UK properties.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RV and marina industries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In the event our current credit ratings are downgraded, it may become difficult or more expensive to obtain additional financing or refinance existing unsecured debt as maturities become due. See "Risk Factors" in Part I, Item 1A of our 2023 Annual Report. If we are unable to obtain additional debt or equity financing on acceptable terms, our business, results of operations and financial condition would be adversely impacted.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our net debt to enterprise value was 28.8% (assuming conversion of all common and preferred OP units to shares of common stock). Our debt has a weighted average interest rate of 4.07% and a weighted average years to maturity of 6.4.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nonconsolidated affiliates, which are accounted for under the equity-method of accounting, have incurred debt. We have not guaranteed the debt of our nonconsolidated affiliates in the arrangements referenced below, nor do we have any obligations to fund this debt should the nonconsolidated affiliates be unable to do so. Refer to Note 7, "Investments in Nonconsolidated Affiliates," in the accompanying Consolidated Financial Statements for additional information about these entities.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GTSC</w:t>
      </w:r>
      <w:r>
        <w:rPr>
          <w:color w:val="000000"/>
        </w:rPr>
        <w:t xml:space="preserve"> </w:t>
      </w:r>
      <w:r>
        <w:rPr>
          <w:rFonts w:ascii="Times New Roman;sans-serif" w:hAnsi="Times New Roman;sans-serif"/>
          <w:b w:val="false"/>
          <w:color w:val="000000"/>
          <w:sz w:val="20"/>
        </w:rPr>
        <w:t>- GTSC maintains a warehouse line of credit with a maximum borrowing capacity of $325.0 million, with an option to increase to $375.0 million subject to the lender's consent. During the three months ended September 30, 2024, at GTSC's election, the maximum borrowing capacity on the line of credit was reduced to $275.0 million. As of September 30, 2024 and December 31, 2023, the aggregate carrying amount of debt, including both our and our partner's share, incurred by GTSC was $268.2 million (of which our proportionate share is $107.3 million), and $261.3 million (of which our proportionate share is $104.5 million), respectively. The debt bears interest at a variable rate based on a Commercial Paper or adjusted SOFR plus a margin ranging from 1.65% to 2.5% per annum and matures on December 15, 2026.</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Sungenia JV</w:t>
      </w:r>
      <w:r>
        <w:rPr>
          <w:color w:val="000000"/>
        </w:rPr>
        <w:t xml:space="preserve"> </w:t>
      </w:r>
      <w:r>
        <w:rPr>
          <w:rFonts w:ascii="Times New Roman;sans-serif" w:hAnsi="Times New Roman;sans-serif"/>
          <w:b w:val="false"/>
          <w:color w:val="000000"/>
          <w:sz w:val="20"/>
        </w:rPr>
        <w:t>- Sungenia maintains a debt facility agreement with a maximum borrowing capacity of $54.1 million Australian dollars, or $37.5 million converted at the September 30, 2024 exchange rate. As of September 30, 2024 and December 31, 2023, the aggregate carrying amount of the debt, including both our and our partners' share, incurred by Sungenia JV was $31.4 million (of which our proportionate share is approximately $15.7 million), and $25.2 million (of which our proportionate share is $12.6 million), respectively. The debt bears interest at a variable rate based on the BBSY rate plus a margin ranging from 0.95% to 1.4%, subject to adjustment for additional future commitments, per annum and matures on June 30, 2027.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72465"/>
                <wp:effectExtent l="0" t="0" r="0" b="0"/>
                <wp:wrapNone/>
                <wp:docPr id="66" name="Frame6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 "goal," "estimate," "expect," "project," "projections," "plans," "predicts," "potential," "seeks," "anticipates," "should," "could," "may," "will," "designed to," "foreseeable future," "believe,"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document, some of which are beyond our control. These risks and uncertainties and other factors may cause our actual results to be materially different from any future results expressed or implied by such forward-looking statements. In addition to the risks disclosed under "Risk Factors" in our 2023 Annual Report, and in our other filings with the SEC, from time to time, such risks, uncertainties and other factors include, but are not limited to:</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17"/>
        <w:gridCol w:w="2873"/>
        <w:gridCol w:w="40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general economic conditions, including inflation, deflation, energy costs, the real estate industry and the markets within which we operate;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Difficulties in our ability to evaluate, finance, complete and integrate acquisitions, developments and expansions successfully;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liquidity and refinancing demands;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obtain or refinance maturing debt;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maintain compliance with covenants contained in our debt facilities and our unsecured notes;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Availability of capital;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Outbreaks of disease and related restrictions on business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foreign currency exchange rates, including between the U.S. dollar and each of the Canadian dollar, Australian dollar and pound sterling;</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maintain rental rates and occupancy levels;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maintain effective internal control over financial reporting and disclosure controls and procedures;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remediation plan and our ability to remediate the material weaknesses in our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Expectations regarding the amount or frequency of impairment losses, including as a result of the write-down of intangible assets, including goodwill;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Increases in interest rates and operating costs, including insurance premiums and real estate taxes;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Risks related to natural disasters such as hurricanes, earthquakes, floods, droughts and wildfires;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 volatility of the capital markets and the market price of shares of our capital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maintain our status as a REIT;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real estate and zoning laws and regulations;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Legislative or regulatory changes, including changes to laws governing the taxation of REITs;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Litigation, judgments or settlements, including costs associated with prosecuting or defending claims and any adverse outcomes;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Competitive market forces;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purchasers of manufactured homes and boats to obtain financing;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level of repossessions by manufactured home and boat lenders;</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document, whether as a result of new information, future events, changes in our expectations or otherwise, except as required by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72465"/>
                <wp:effectExtent l="0" t="0" r="0" b="0"/>
                <wp:wrapNone/>
                <wp:docPr id="67" name="Frame6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exposure to loss resulting from changes in market factors such as interest rates, foreign currency exchange rates, commodity prices and equity prices.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variable rate debt totaled $432.4 million and $1.4 billion as of September 30, 2024 and 2023, respectively, after adjusting for the impact of hedging in place through the use of interest rate swaps. As of September 30, 2024 and 2023, our variable debt bore interest at the Adjusted Term SOFR, the Adjusted Eurocurrency Rate, the Australian BBSY rate, the Daily SONIA Rate or the CORRA, and the Eurodollar rate or Prime rate plus a margin. If the above rates increased or decreased by 1.0%, our interest expense would have increased or decreased by $6.7 million and $10.4 million for the nine months ended September 30, 2024 and 2023, respectively, based on the $898.0 million and $1.4 billion average balance outstanding under our variable rate debt facilities, respectively. Our variable rate debt, interest expense and average balance outstanding under our variable rate debt facility includes the impact of hedge activity.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properties in the United Kingdom and Canada, and our joint venture in Australia, into U.S. dollars. Fluctuations in foreign currency exchange rates can therefore create volatility in our results of operations and may adversely affect our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and December 31, 2023, our shareholder's equity included $888.4 million and $893.9 million from our investments and operations in the United Kingdom, Canada and Australia which collectively represented 11.7% and 12.5% of total shareholder's equity, respectively. Based on our sensitivity analysis, a 10.0% strengthening of the U.S. dollar against the pound sterling, Canadian dollar and Australian dollar would have caused a reduction of $88.8 million and $89.4 million to our total shareholder's equity at September 30, 2024 and December 31,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72465"/>
                <wp:effectExtent l="0" t="0" r="0" b="0"/>
                <wp:wrapNone/>
                <wp:docPr id="68" name="Frame6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(pursuant to Rules 13a-15(e) or 15d-15(e) of the Exchange Act) at September 30, 2024. Based upon this evaluation, our Chief Executive Officer and Chief Financial Officer concluded that our disclosure controls and procedures were not effective because of the material weaknesses in internal control over financial reporting described below. These material weaknesses have not been remediated as of September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Material Weaknesses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Part II, Item 9A "Controls and Procedures" of our 2023 Annual Report, as of December 31, 2023, management identified a material weakness relating to the design of management's review controls of potential triggering events related to the evaluation for impairment of goodwill relating to our Park Holidays business within the UK reporting segment.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quarter ended March 31, 2024, management identified a material weakness relating to the design of management's review controls of the testing for long-lived asset impairments as of March 31, 2024, relating to certain other properties within the UK reporting segment. Management has concluded that this material weakness did not create any material misstatement to previously issued financial statements for any prior periods or the current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Remediation of Material Weaknesses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Board of Directors are committed to maintaining a strong internal control environment. Management, with oversight from the Audit Committee of the Board of Directors, has developed, and is implementing, a comprehensive plan to remediate the material weaknesses. Remediation efforts are focused on more rigorous policies and procedures and sufficiency of reviews for the Company's evaluation of impairment for goodwill and long-lived assets. These efforts include enhanced education and training, including continuing professional education related to the evaluation of goodwill and long-lived assets for impairment, development of a continuous process for monitoring, assessment and communication, as well as involvement of additional key stakeholders in reviews.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the measures described above will remediate the material weaknesses that we have identified. As management continues to evaluate and improve our disclosure controls and procedures and internal control over financial reporting, we may decide to take additional measures to address control deficiencies or determine to modify certain of the remediation measures identified.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be able to conclude whether these efforts will fully remediate the material weaknesses until the updated controls have operated for a sufficient period of time and management has concluded, through testing, that such controls are operating effectively.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September 30, 2024, we continued to enhance and refine our processes, procedures, and controls in conjunction with the launch and adoption of a new integrated ERP system, which replaced many of our existing core financial systems. The system enhances efficiencies and simplifies our accounting and reporting processes.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discussed in the preceding paragraph and above under "Remediation of Material Weaknesses," there were no changes in internal control over financial reporting during the quarter ended September 30,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72465"/>
                <wp:effectExtent l="0" t="0" r="0" b="0"/>
                <wp:wrapNone/>
                <wp:docPr id="69" name="Frame6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Refer to "Legal Proceedings" in Part 1 - Item 1 - Note 17, "Commitments and Contingencies," in our accompanying Notes to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Item 103 of Regulation S-K requires disclosure of certain environmental matters when a governmental authority is a party to the proceedings and such proceedings involve potential monetary sanctions that we reasonably believe will exceed an applied threshold not to exceed $1.0 million. Applying this threshold, there are no environmental matters to disclose for the three months ended September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risk factors described in Part 1, Item 1A., "Risk Factors," in our 2023 Annual Report, which could materially affect our business, financial condition or future results. There have been no material changes to the disclosure on these matters as set forth in such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72465"/>
                <wp:effectExtent l="0" t="0" r="0" b="0"/>
                <wp:wrapNone/>
                <wp:docPr id="70" name="Frame6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our OP units have converted the following units during the three months ended September 30, 2024:</w:t>
      </w:r>
    </w:p>
    <w:p>
      <w:pPr>
        <w:pStyle w:val="TextBody"/>
        <w:bidi w:val="0"/>
        <w:spacing w:before="0" w:after="0"/>
        <w:jc w:val="left"/>
        <w:rPr/>
      </w:pPr>
      <w:r>
        <w:rPr/>
      </w:r>
    </w:p>
    <w:tbl>
      <w:tblPr>
        <w:tblW w:w="8168" w:type="dxa"/>
        <w:jc w:val="left"/>
        <w:tblInd w:w="0" w:type="dxa"/>
        <w:tblLayout w:type="fixed"/>
        <w:tblCellMar>
          <w:top w:w="28" w:type="dxa"/>
          <w:left w:w="28" w:type="dxa"/>
          <w:bottom w:w="28" w:type="dxa"/>
          <w:right w:w="28" w:type="dxa"/>
        </w:tblCellMar>
      </w:tblPr>
      <w:tblGrid>
        <w:gridCol w:w="781"/>
        <w:gridCol w:w="685"/>
        <w:gridCol w:w="694"/>
        <w:gridCol w:w="109"/>
        <w:gridCol w:w="109"/>
        <w:gridCol w:w="109"/>
        <w:gridCol w:w="439"/>
        <w:gridCol w:w="439"/>
        <w:gridCol w:w="441"/>
        <w:gridCol w:w="109"/>
        <w:gridCol w:w="109"/>
        <w:gridCol w:w="109"/>
        <w:gridCol w:w="634"/>
        <w:gridCol w:w="634"/>
        <w:gridCol w:w="636"/>
        <w:gridCol w:w="178"/>
        <w:gridCol w:w="178"/>
        <w:gridCol w:w="178"/>
        <w:gridCol w:w="444"/>
        <w:gridCol w:w="444"/>
        <w:gridCol w:w="446"/>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Conversion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Units / Shares Converted</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Common Stock</w:t>
            </w:r>
            <w:r>
              <w:rPr>
                <w:rFonts w:ascii="Times New Roman;sans-serif" w:hAnsi="Times New Roman;sans-serif"/>
                <w:b/>
                <w:color w:val="000000"/>
                <w:sz w:val="11"/>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11,313 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11,313 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2.4390 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14,231 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34,705 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J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0.6061 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1,212 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Calculation may yield minor differences due to rounding incorporated in the above numbers.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securities described above were issued in private placements in reliance on Section 4(a)(2) of the Securities Act, including Regulation D promulgated thereunder. No underwriters were used in connection with any of such issuances.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common stock repurchases during the three months ended September 30,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95"/>
        <w:gridCol w:w="369"/>
        <w:gridCol w:w="372"/>
        <w:gridCol w:w="109"/>
        <w:gridCol w:w="109"/>
        <w:gridCol w:w="109"/>
        <w:gridCol w:w="431"/>
        <w:gridCol w:w="431"/>
        <w:gridCol w:w="432"/>
        <w:gridCol w:w="109"/>
        <w:gridCol w:w="109"/>
        <w:gridCol w:w="109"/>
        <w:gridCol w:w="256"/>
        <w:gridCol w:w="845"/>
        <w:gridCol w:w="142"/>
        <w:gridCol w:w="109"/>
        <w:gridCol w:w="109"/>
        <w:gridCol w:w="109"/>
        <w:gridCol w:w="703"/>
        <w:gridCol w:w="703"/>
        <w:gridCol w:w="705"/>
        <w:gridCol w:w="109"/>
        <w:gridCol w:w="109"/>
        <w:gridCol w:w="109"/>
        <w:gridCol w:w="727"/>
        <w:gridCol w:w="1506"/>
        <w:gridCol w:w="580"/>
      </w:tblGrid>
      <w:tr>
        <w:trPr/>
        <w:tc>
          <w:tcPr>
            <w:tcW w:w="69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Total number of shares purchased</w:t>
            </w:r>
            <w:r>
              <w:rPr>
                <w:rFonts w:ascii="Times New Roman;sans-serif" w:hAnsi="Times New Roman;sans-serif"/>
                <w:b/>
                <w:color w:val="000000"/>
                <w:sz w:val="11"/>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Maximum number (or approximate dollar value) of shares that may yet be purchased under the plans or programs</w:t>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3"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July 1, 2024 -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587 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123.03 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August 1, 2024 - August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131.16 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September 1, 2024 -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144.78 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840 </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126.70 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During the three months ended September 30, 2024, we withheld 840 shares from employees to satisfy estimated statutory income tax obligations related to vesting of restricted stock awards. The value of the common stock withheld was based on the closing price of our common stock on the applicable vesting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72465"/>
                <wp:effectExtent l="0" t="0" r="0" b="0"/>
                <wp:wrapNone/>
                <wp:docPr id="71" name="Frame7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2"/>
        <w:gridCol w:w="274"/>
        <w:gridCol w:w="276"/>
        <w:gridCol w:w="1769"/>
        <w:gridCol w:w="1669"/>
        <w:gridCol w:w="1685"/>
        <w:gridCol w:w="1291"/>
        <w:gridCol w:w="1291"/>
        <w:gridCol w:w="1638"/>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8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51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422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Method of Filing</w:t>
            </w:r>
          </w:p>
        </w:tc>
      </w:tr>
      <w:tr>
        <w:trPr/>
        <w:tc>
          <w:tcPr>
            <w:tcW w:w="862"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12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Sun Communities, Inc. Articles of Restatement</w:t>
              </w:r>
            </w:hyperlink>
          </w:p>
        </w:tc>
        <w:tc>
          <w:tcPr>
            <w:tcW w:w="422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3.1 to Sun Communities, Inc.'s Annual Report on Form 10-K filed on February 22, 2018</w:t>
            </w:r>
          </w:p>
        </w:tc>
      </w:tr>
      <w:tr>
        <w:trPr/>
        <w:tc>
          <w:tcPr>
            <w:tcW w:w="862"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Fourth Amended and Restated Bylaws</w:t>
              </w:r>
            </w:hyperlink>
          </w:p>
        </w:tc>
        <w:tc>
          <w:tcPr>
            <w:tcW w:w="422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3.1 to Sun Communities, Inc.'s Current Report on Form 8-K filed on February 21, 2023</w:t>
            </w:r>
          </w:p>
        </w:tc>
      </w:tr>
      <w:tr>
        <w:trPr/>
        <w:tc>
          <w:tcPr>
            <w:tcW w:w="862"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12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both"/>
              <w:rPr/>
            </w:pPr>
            <w:hyperlink r:id="rId5">
              <w:r>
                <w:rPr>
                  <w:rStyle w:val="InternetLink"/>
                  <w:rFonts w:ascii="Times New Roman;sans-serif" w:hAnsi="Times New Roman;sans-serif"/>
                  <w:b w:val="false"/>
                  <w:color w:val="0000FF"/>
                  <w:sz w:val="20"/>
                  <w:u w:val="single"/>
                </w:rPr>
                <w:t>Sun Communities, Inc. Articles of Amendment effective May 18, 2023</w:t>
              </w:r>
            </w:hyperlink>
          </w:p>
        </w:tc>
        <w:tc>
          <w:tcPr>
            <w:tcW w:w="422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3.1 to Sun Communities, Inc.'s Current Report on Form 8-K filed on May 19, 2023</w:t>
            </w:r>
          </w:p>
        </w:tc>
      </w:tr>
      <w:tr>
        <w:trPr/>
        <w:tc>
          <w:tcPr>
            <w:tcW w:w="862" w:type="dxa"/>
            <w:gridSpan w:val="3"/>
            <w:tcBorders/>
            <w:vAlign w:val="center"/>
          </w:tcPr>
          <w:p>
            <w:pPr>
              <w:pStyle w:val="TableContents"/>
              <w:bidi w:val="0"/>
              <w:spacing w:before="0" w:after="283"/>
              <w:jc w:val="left"/>
              <w:rPr>
                <w:sz w:val="4"/>
                <w:szCs w:val="4"/>
              </w:rPr>
            </w:pPr>
            <w:r>
              <w:rPr>
                <w:sz w:val="4"/>
                <w:szCs w:val="4"/>
              </w:rPr>
            </w:r>
          </w:p>
        </w:tc>
        <w:tc>
          <w:tcPr>
            <w:tcW w:w="5123" w:type="dxa"/>
            <w:gridSpan w:val="3"/>
            <w:tcBorders/>
            <w:vAlign w:val="center"/>
          </w:tcPr>
          <w:p>
            <w:pPr>
              <w:pStyle w:val="TableContents"/>
              <w:bidi w:val="0"/>
              <w:spacing w:before="0" w:after="283"/>
              <w:jc w:val="left"/>
              <w:rPr>
                <w:sz w:val="4"/>
                <w:szCs w:val="4"/>
              </w:rPr>
            </w:pPr>
            <w:r>
              <w:rPr>
                <w:sz w:val="4"/>
                <w:szCs w:val="4"/>
              </w:rPr>
            </w:r>
          </w:p>
        </w:tc>
        <w:tc>
          <w:tcPr>
            <w:tcW w:w="4220" w:type="dxa"/>
            <w:gridSpan w:val="3"/>
            <w:tcBorders/>
            <w:vAlign w:val="center"/>
          </w:tcPr>
          <w:p>
            <w:pPr>
              <w:pStyle w:val="TableContents"/>
              <w:bidi w:val="0"/>
              <w:spacing w:before="0" w:after="283"/>
              <w:jc w:val="left"/>
              <w:rPr>
                <w:sz w:val="4"/>
                <w:szCs w:val="4"/>
              </w:rPr>
            </w:pPr>
            <w:r>
              <w:rPr>
                <w:sz w:val="4"/>
                <w:szCs w:val="4"/>
              </w:rPr>
            </w:r>
          </w:p>
        </w:tc>
      </w:tr>
      <w:tr>
        <w:trPr/>
        <w:tc>
          <w:tcPr>
            <w:tcW w:w="862" w:type="dxa"/>
            <w:gridSpan w:val="3"/>
            <w:tcBorders/>
            <w:vAlign w:val="center"/>
          </w:tcPr>
          <w:p>
            <w:pPr>
              <w:pStyle w:val="TableContents"/>
              <w:bidi w:val="0"/>
              <w:spacing w:before="0" w:after="283"/>
              <w:jc w:val="left"/>
              <w:rPr>
                <w:sz w:val="4"/>
                <w:szCs w:val="4"/>
              </w:rPr>
            </w:pPr>
            <w:r>
              <w:rPr>
                <w:sz w:val="4"/>
                <w:szCs w:val="4"/>
              </w:rPr>
            </w:r>
          </w:p>
        </w:tc>
        <w:tc>
          <w:tcPr>
            <w:tcW w:w="5123" w:type="dxa"/>
            <w:gridSpan w:val="3"/>
            <w:tcBorders/>
            <w:vAlign w:val="center"/>
          </w:tcPr>
          <w:p>
            <w:pPr>
              <w:pStyle w:val="TableContents"/>
              <w:bidi w:val="0"/>
              <w:spacing w:before="0" w:after="283"/>
              <w:jc w:val="left"/>
              <w:rPr>
                <w:sz w:val="4"/>
                <w:szCs w:val="4"/>
              </w:rPr>
            </w:pPr>
            <w:r>
              <w:rPr>
                <w:sz w:val="4"/>
                <w:szCs w:val="4"/>
              </w:rPr>
            </w:r>
          </w:p>
        </w:tc>
        <w:tc>
          <w:tcPr>
            <w:tcW w:w="4220" w:type="dxa"/>
            <w:gridSpan w:val="3"/>
            <w:tcBorders/>
            <w:vAlign w:val="center"/>
          </w:tcPr>
          <w:p>
            <w:pPr>
              <w:pStyle w:val="TableContents"/>
              <w:bidi w:val="0"/>
              <w:spacing w:before="0" w:after="283"/>
              <w:jc w:val="left"/>
              <w:rPr>
                <w:sz w:val="4"/>
                <w:szCs w:val="4"/>
              </w:rPr>
            </w:pPr>
            <w:r>
              <w:rPr>
                <w:sz w:val="4"/>
                <w:szCs w:val="4"/>
              </w:rPr>
            </w:r>
          </w:p>
        </w:tc>
      </w:tr>
      <w:tr>
        <w:trPr/>
        <w:tc>
          <w:tcPr>
            <w:tcW w:w="862" w:type="dxa"/>
            <w:gridSpan w:val="3"/>
            <w:tcBorders/>
            <w:vAlign w:val="center"/>
          </w:tcPr>
          <w:p>
            <w:pPr>
              <w:pStyle w:val="TableContents"/>
              <w:bidi w:val="0"/>
              <w:spacing w:before="0" w:after="283"/>
              <w:jc w:val="left"/>
              <w:rPr>
                <w:sz w:val="4"/>
                <w:szCs w:val="4"/>
              </w:rPr>
            </w:pPr>
            <w:r>
              <w:rPr>
                <w:sz w:val="4"/>
                <w:szCs w:val="4"/>
              </w:rPr>
            </w:r>
          </w:p>
        </w:tc>
        <w:tc>
          <w:tcPr>
            <w:tcW w:w="5123" w:type="dxa"/>
            <w:gridSpan w:val="3"/>
            <w:tcBorders/>
            <w:vAlign w:val="center"/>
          </w:tcPr>
          <w:p>
            <w:pPr>
              <w:pStyle w:val="TableContents"/>
              <w:bidi w:val="0"/>
              <w:spacing w:before="0" w:after="283"/>
              <w:jc w:val="left"/>
              <w:rPr>
                <w:sz w:val="4"/>
                <w:szCs w:val="4"/>
              </w:rPr>
            </w:pPr>
            <w:r>
              <w:rPr>
                <w:sz w:val="4"/>
                <w:szCs w:val="4"/>
              </w:rPr>
            </w:r>
          </w:p>
        </w:tc>
        <w:tc>
          <w:tcPr>
            <w:tcW w:w="4220" w:type="dxa"/>
            <w:gridSpan w:val="3"/>
            <w:tcBorders/>
            <w:vAlign w:val="center"/>
          </w:tcPr>
          <w:p>
            <w:pPr>
              <w:pStyle w:val="TableContents"/>
              <w:bidi w:val="0"/>
              <w:spacing w:before="0" w:after="283"/>
              <w:jc w:val="left"/>
              <w:rPr>
                <w:sz w:val="4"/>
                <w:szCs w:val="4"/>
              </w:rPr>
            </w:pPr>
            <w:r>
              <w:rPr>
                <w:sz w:val="4"/>
                <w:szCs w:val="4"/>
              </w:rPr>
            </w:r>
          </w:p>
        </w:tc>
      </w:tr>
      <w:tr>
        <w:trPr/>
        <w:tc>
          <w:tcPr>
            <w:tcW w:w="862" w:type="dxa"/>
            <w:gridSpan w:val="3"/>
            <w:tcBorders/>
            <w:vAlign w:val="center"/>
          </w:tcPr>
          <w:p>
            <w:pPr>
              <w:pStyle w:val="TableContents"/>
              <w:bidi w:val="0"/>
              <w:spacing w:before="0" w:after="283"/>
              <w:jc w:val="left"/>
              <w:rPr>
                <w:sz w:val="4"/>
                <w:szCs w:val="4"/>
              </w:rPr>
            </w:pPr>
            <w:r>
              <w:rPr>
                <w:sz w:val="4"/>
                <w:szCs w:val="4"/>
              </w:rPr>
            </w:r>
          </w:p>
        </w:tc>
        <w:tc>
          <w:tcPr>
            <w:tcW w:w="5123" w:type="dxa"/>
            <w:gridSpan w:val="3"/>
            <w:tcBorders/>
            <w:vAlign w:val="center"/>
          </w:tcPr>
          <w:p>
            <w:pPr>
              <w:pStyle w:val="TableContents"/>
              <w:bidi w:val="0"/>
              <w:spacing w:before="0" w:after="283"/>
              <w:jc w:val="left"/>
              <w:rPr>
                <w:sz w:val="4"/>
                <w:szCs w:val="4"/>
              </w:rPr>
            </w:pPr>
            <w:r>
              <w:rPr>
                <w:sz w:val="4"/>
                <w:szCs w:val="4"/>
              </w:rPr>
            </w:r>
          </w:p>
        </w:tc>
        <w:tc>
          <w:tcPr>
            <w:tcW w:w="4220" w:type="dxa"/>
            <w:gridSpan w:val="3"/>
            <w:tcBorders/>
            <w:vAlign w:val="center"/>
          </w:tcPr>
          <w:p>
            <w:pPr>
              <w:pStyle w:val="TableContents"/>
              <w:bidi w:val="0"/>
              <w:spacing w:before="0" w:after="283"/>
              <w:jc w:val="left"/>
              <w:rPr>
                <w:sz w:val="4"/>
                <w:szCs w:val="4"/>
              </w:rPr>
            </w:pPr>
            <w:r>
              <w:rPr>
                <w:sz w:val="4"/>
                <w:szCs w:val="4"/>
              </w:rPr>
            </w:r>
          </w:p>
        </w:tc>
      </w:tr>
      <w:tr>
        <w:trPr/>
        <w:tc>
          <w:tcPr>
            <w:tcW w:w="862" w:type="dxa"/>
            <w:gridSpan w:val="3"/>
            <w:tcBorders/>
            <w:vAlign w:val="center"/>
          </w:tcPr>
          <w:p>
            <w:pPr>
              <w:pStyle w:val="TableContents"/>
              <w:bidi w:val="0"/>
              <w:spacing w:before="0" w:after="283"/>
              <w:jc w:val="left"/>
              <w:rPr>
                <w:sz w:val="4"/>
                <w:szCs w:val="4"/>
              </w:rPr>
            </w:pPr>
            <w:r>
              <w:rPr>
                <w:sz w:val="4"/>
                <w:szCs w:val="4"/>
              </w:rPr>
            </w:r>
          </w:p>
        </w:tc>
        <w:tc>
          <w:tcPr>
            <w:tcW w:w="5123" w:type="dxa"/>
            <w:gridSpan w:val="3"/>
            <w:tcBorders/>
            <w:vAlign w:val="center"/>
          </w:tcPr>
          <w:p>
            <w:pPr>
              <w:pStyle w:val="TableContents"/>
              <w:bidi w:val="0"/>
              <w:spacing w:before="0" w:after="283"/>
              <w:jc w:val="left"/>
              <w:rPr>
                <w:sz w:val="4"/>
                <w:szCs w:val="4"/>
              </w:rPr>
            </w:pPr>
            <w:r>
              <w:rPr>
                <w:sz w:val="4"/>
                <w:szCs w:val="4"/>
              </w:rPr>
            </w:r>
          </w:p>
        </w:tc>
        <w:tc>
          <w:tcPr>
            <w:tcW w:w="4220" w:type="dxa"/>
            <w:gridSpan w:val="3"/>
            <w:tcBorders/>
            <w:vAlign w:val="center"/>
          </w:tcPr>
          <w:p>
            <w:pPr>
              <w:pStyle w:val="TableContents"/>
              <w:bidi w:val="0"/>
              <w:spacing w:before="0" w:after="283"/>
              <w:jc w:val="left"/>
              <w:rPr>
                <w:sz w:val="4"/>
                <w:szCs w:val="4"/>
              </w:rPr>
            </w:pPr>
            <w:r>
              <w:rPr>
                <w:sz w:val="4"/>
                <w:szCs w:val="4"/>
              </w:rPr>
            </w:r>
          </w:p>
        </w:tc>
      </w:tr>
      <w:tr>
        <w:trPr/>
        <w:tc>
          <w:tcPr>
            <w:tcW w:w="862" w:type="dxa"/>
            <w:gridSpan w:val="3"/>
            <w:tcBorders/>
            <w:vAlign w:val="center"/>
          </w:tcPr>
          <w:p>
            <w:pPr>
              <w:pStyle w:val="TableContents"/>
              <w:bidi w:val="0"/>
              <w:spacing w:before="0" w:after="283"/>
              <w:jc w:val="left"/>
              <w:rPr>
                <w:sz w:val="4"/>
                <w:szCs w:val="4"/>
              </w:rPr>
            </w:pPr>
            <w:r>
              <w:rPr>
                <w:sz w:val="4"/>
                <w:szCs w:val="4"/>
              </w:rPr>
            </w:r>
          </w:p>
        </w:tc>
        <w:tc>
          <w:tcPr>
            <w:tcW w:w="5123" w:type="dxa"/>
            <w:gridSpan w:val="3"/>
            <w:tcBorders/>
            <w:vAlign w:val="center"/>
          </w:tcPr>
          <w:p>
            <w:pPr>
              <w:pStyle w:val="TableContents"/>
              <w:bidi w:val="0"/>
              <w:spacing w:before="0" w:after="283"/>
              <w:jc w:val="left"/>
              <w:rPr>
                <w:sz w:val="4"/>
                <w:szCs w:val="4"/>
              </w:rPr>
            </w:pPr>
            <w:r>
              <w:rPr>
                <w:sz w:val="4"/>
                <w:szCs w:val="4"/>
              </w:rPr>
            </w:r>
          </w:p>
        </w:tc>
        <w:tc>
          <w:tcPr>
            <w:tcW w:w="4220" w:type="dxa"/>
            <w:gridSpan w:val="3"/>
            <w:tcBorders/>
            <w:vAlign w:val="center"/>
          </w:tcPr>
          <w:p>
            <w:pPr>
              <w:pStyle w:val="TableContents"/>
              <w:bidi w:val="0"/>
              <w:spacing w:before="0" w:after="283"/>
              <w:jc w:val="left"/>
              <w:rPr>
                <w:sz w:val="4"/>
                <w:szCs w:val="4"/>
              </w:rPr>
            </w:pPr>
            <w:r>
              <w:rPr>
                <w:sz w:val="4"/>
                <w:szCs w:val="4"/>
              </w:rPr>
            </w:r>
          </w:p>
        </w:tc>
      </w:tr>
      <w:tr>
        <w:trPr/>
        <w:tc>
          <w:tcPr>
            <w:tcW w:w="862" w:type="dxa"/>
            <w:gridSpan w:val="3"/>
            <w:tcBorders/>
            <w:vAlign w:val="center"/>
          </w:tcPr>
          <w:p>
            <w:pPr>
              <w:pStyle w:val="TableContents"/>
              <w:bidi w:val="0"/>
              <w:spacing w:before="0" w:after="283"/>
              <w:jc w:val="left"/>
              <w:rPr>
                <w:sz w:val="4"/>
                <w:szCs w:val="4"/>
              </w:rPr>
            </w:pPr>
            <w:r>
              <w:rPr>
                <w:sz w:val="4"/>
                <w:szCs w:val="4"/>
              </w:rPr>
            </w:r>
          </w:p>
        </w:tc>
        <w:tc>
          <w:tcPr>
            <w:tcW w:w="5123" w:type="dxa"/>
            <w:gridSpan w:val="3"/>
            <w:tcBorders/>
            <w:vAlign w:val="center"/>
          </w:tcPr>
          <w:p>
            <w:pPr>
              <w:pStyle w:val="TableContents"/>
              <w:bidi w:val="0"/>
              <w:spacing w:before="0" w:after="283"/>
              <w:jc w:val="left"/>
              <w:rPr>
                <w:sz w:val="4"/>
                <w:szCs w:val="4"/>
              </w:rPr>
            </w:pPr>
            <w:r>
              <w:rPr>
                <w:sz w:val="4"/>
                <w:szCs w:val="4"/>
              </w:rPr>
            </w:r>
          </w:p>
        </w:tc>
        <w:tc>
          <w:tcPr>
            <w:tcW w:w="4220" w:type="dxa"/>
            <w:gridSpan w:val="3"/>
            <w:tcBorders/>
            <w:vAlign w:val="center"/>
          </w:tcPr>
          <w:p>
            <w:pPr>
              <w:pStyle w:val="TableContents"/>
              <w:bidi w:val="0"/>
              <w:spacing w:before="0" w:after="283"/>
              <w:jc w:val="left"/>
              <w:rPr>
                <w:sz w:val="4"/>
                <w:szCs w:val="4"/>
              </w:rPr>
            </w:pPr>
            <w:r>
              <w:rPr>
                <w:sz w:val="4"/>
                <w:szCs w:val="4"/>
              </w:rPr>
            </w:r>
          </w:p>
        </w:tc>
      </w:tr>
      <w:tr>
        <w:trPr/>
        <w:tc>
          <w:tcPr>
            <w:tcW w:w="862"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5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w:anchor="exhibit221-2024930listofis.htm">
              <w:r>
                <w:rPr>
                  <w:rStyle w:val="InternetLink"/>
                  <w:rFonts w:ascii="Times New Roman;sans-serif" w:hAnsi="Times New Roman;sans-serif"/>
                  <w:b w:val="false"/>
                  <w:color w:val="0000FF"/>
                  <w:sz w:val="20"/>
                  <w:u w:val="single"/>
                </w:rPr>
                <w:t>List of issuers of guaranteed securities</w:t>
              </w:r>
            </w:hyperlink>
          </w:p>
        </w:tc>
        <w:tc>
          <w:tcPr>
            <w:tcW w:w="422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12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w:anchor="exhibit311-2024930ceocerti.htm">
              <w:r>
                <w:rPr>
                  <w:rStyle w:val="InternetLink"/>
                  <w:rFonts w:ascii="Times New Roman;sans-serif" w:hAnsi="Times New Roman;sans-serif"/>
                  <w:b w:val="false"/>
                  <w:color w:val="0000FF"/>
                  <w:sz w:val="20"/>
                  <w:u w:val="single"/>
                </w:rPr>
                <w:t>Certification of Chief Executive Officer pursuant to Securities Exchange Act Rules 13a-14(a)/15(d)-14(a), as adopted pursuant to Section 302 of the Sarbanes-Oxley Act of 2002.</w:t>
              </w:r>
            </w:hyperlink>
          </w:p>
        </w:tc>
        <w:tc>
          <w:tcPr>
            <w:tcW w:w="422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w:anchor="exhibit312-2024930cfocerti.htm">
              <w:r>
                <w:rPr>
                  <w:rStyle w:val="InternetLink"/>
                  <w:rFonts w:ascii="Times New Roman;sans-serif" w:hAnsi="Times New Roman;sans-serif"/>
                  <w:b w:val="false"/>
                  <w:color w:val="0000FF"/>
                  <w:sz w:val="20"/>
                  <w:u w:val="single"/>
                </w:rPr>
                <w:t>Certification of Chief Financial Officer pursuant to Securities Exchange Act Rules 13a-14(a)/15(d)-14(a), as adopted pursuant to Section 302 of the Sarbanes-Oxley Act of 2002.</w:t>
              </w:r>
            </w:hyperlink>
          </w:p>
        </w:tc>
        <w:tc>
          <w:tcPr>
            <w:tcW w:w="422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12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both"/>
              <w:rPr/>
            </w:pPr>
            <w:hyperlink w:anchor="exhibit321-2024930ceoandcf.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422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5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422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tags are embedded within the Inline XBRL document.</w:t>
            </w:r>
          </w:p>
        </w:tc>
      </w:tr>
      <w:tr>
        <w:trPr/>
        <w:tc>
          <w:tcPr>
            <w:tcW w:w="862"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512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422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5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422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512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422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51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422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512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422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123"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contained in Exhibit 101)</w:t>
            </w:r>
          </w:p>
        </w:tc>
        <w:tc>
          <w:tcPr>
            <w:tcW w:w="4220"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*Certain schedules and exhibits have been omitted pursuance to Item 601(a)(5) of Regulation S-K because such schedules and exhibits do not contain information which is material to an investment decision, or which is not otherwise disclosed in the filed agreements. The Company will furnish the omitted schedules and exhibits to the SEC upon request by the SEC.</w:t>
            </w:r>
          </w:p>
        </w:tc>
      </w:tr>
      <w:tr>
        <w:trPr/>
        <w:tc>
          <w:tcPr>
            <w:tcW w:w="862" w:type="dxa"/>
            <w:gridSpan w:val="3"/>
            <w:tcBorders/>
            <w:vAlign w:val="center"/>
          </w:tcPr>
          <w:p>
            <w:pPr>
              <w:pStyle w:val="TableContents"/>
              <w:bidi w:val="0"/>
              <w:spacing w:before="0" w:after="283"/>
              <w:jc w:val="left"/>
              <w:rPr>
                <w:sz w:val="4"/>
                <w:szCs w:val="4"/>
              </w:rPr>
            </w:pPr>
            <w:r>
              <w:rPr>
                <w:sz w:val="4"/>
                <w:szCs w:val="4"/>
              </w:rPr>
            </w:r>
          </w:p>
        </w:tc>
        <w:tc>
          <w:tcPr>
            <w:tcW w:w="9343"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72465"/>
                <wp:effectExtent l="0" t="0" r="0" b="0"/>
                <wp:wrapNone/>
                <wp:docPr id="72" name="Frame7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622"/>
        <w:gridCol w:w="546"/>
        <w:gridCol w:w="551"/>
        <w:gridCol w:w="128"/>
        <w:gridCol w:w="128"/>
        <w:gridCol w:w="129"/>
        <w:gridCol w:w="2372"/>
        <w:gridCol w:w="2372"/>
        <w:gridCol w:w="3357"/>
      </w:tblGrid>
      <w:tr>
        <w:trPr/>
        <w:tc>
          <w:tcPr>
            <w:tcW w:w="62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7, 2024</w:t>
            </w:r>
          </w:p>
        </w:tc>
        <w:tc>
          <w:tcPr>
            <w:tcW w:w="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Fernando Castro-Caratini</w:t>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Treasurer and Secretary (Principal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72465"/>
                <wp:effectExtent l="0" t="0" r="0" b="0"/>
                <wp:wrapNone/>
                <wp:docPr id="73" name="Frame7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List of Issuers of Guaranteed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November 07, 2024, the debt instruments indicated below are fully and unconditionally guaranteed by Sun Communities, Inc.</w:t>
      </w:r>
    </w:p>
    <w:p>
      <w:pPr>
        <w:pStyle w:val="TextBody"/>
        <w:bidi w:val="0"/>
        <w:spacing w:before="0" w:after="0"/>
        <w:jc w:val="left"/>
        <w:rPr/>
      </w:pPr>
      <w:r>
        <w:rPr/>
      </w:r>
    </w:p>
    <w:tbl>
      <w:tblPr>
        <w:tblW w:w="9712" w:type="dxa"/>
        <w:jc w:val="left"/>
        <w:tblInd w:w="0" w:type="dxa"/>
        <w:tblLayout w:type="fixed"/>
        <w:tblCellMar>
          <w:top w:w="28" w:type="dxa"/>
          <w:left w:w="28" w:type="dxa"/>
          <w:bottom w:w="28" w:type="dxa"/>
          <w:right w:w="28" w:type="dxa"/>
        </w:tblCellMar>
      </w:tblPr>
      <w:tblGrid>
        <w:gridCol w:w="880"/>
        <w:gridCol w:w="772"/>
        <w:gridCol w:w="777"/>
        <w:gridCol w:w="109"/>
        <w:gridCol w:w="109"/>
        <w:gridCol w:w="109"/>
        <w:gridCol w:w="1350"/>
        <w:gridCol w:w="1350"/>
        <w:gridCol w:w="1364"/>
        <w:gridCol w:w="109"/>
        <w:gridCol w:w="109"/>
        <w:gridCol w:w="109"/>
        <w:gridCol w:w="751"/>
        <w:gridCol w:w="751"/>
        <w:gridCol w:w="1063"/>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Debt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Organization</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 Senior Notes due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5.5% Senior Notes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 Senior Notes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 Senior Notes due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 Senior Notes due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Under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Gary A. Shiffman,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Sun Communities,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6085" w:type="dxa"/>
        <w:jc w:val="center"/>
        <w:tblInd w:w="0" w:type="dxa"/>
        <w:tblLayout w:type="fixed"/>
        <w:tblCellMar>
          <w:top w:w="28" w:type="dxa"/>
          <w:left w:w="28" w:type="dxa"/>
          <w:bottom w:w="28" w:type="dxa"/>
          <w:right w:w="28" w:type="dxa"/>
        </w:tblCellMar>
      </w:tblPr>
      <w:tblGrid>
        <w:gridCol w:w="797"/>
        <w:gridCol w:w="700"/>
        <w:gridCol w:w="707"/>
        <w:gridCol w:w="109"/>
        <w:gridCol w:w="109"/>
        <w:gridCol w:w="109"/>
        <w:gridCol w:w="1039"/>
        <w:gridCol w:w="1039"/>
        <w:gridCol w:w="1476"/>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A. Shiffman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Gary A. Shiffman,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Under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Fernando Castro-Caratini,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Sun Communities,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6358" w:type="dxa"/>
        <w:jc w:val="left"/>
        <w:tblInd w:w="0" w:type="dxa"/>
        <w:tblLayout w:type="fixed"/>
        <w:tblCellMar>
          <w:top w:w="28" w:type="dxa"/>
          <w:left w:w="28" w:type="dxa"/>
          <w:bottom w:w="28" w:type="dxa"/>
          <w:right w:w="28" w:type="dxa"/>
        </w:tblCellMar>
      </w:tblPr>
      <w:tblGrid>
        <w:gridCol w:w="797"/>
        <w:gridCol w:w="700"/>
        <w:gridCol w:w="707"/>
        <w:gridCol w:w="1217"/>
        <w:gridCol w:w="1217"/>
        <w:gridCol w:w="1720"/>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7, 2024</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Fernando Castro-Caratini</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Fernando Castro-Caratini,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(Adopted Under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officers, Gary A. Shiffman and Fernando Castro-Caratini, hereby certify that to the best of their knowledge: (a) this Quarterly Report on Form 10-Q of Sun Communities, Inc., for the period ended September 30, 2024,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pStyle w:val="TextBody"/>
        <w:bidi w:val="0"/>
        <w:spacing w:before="0" w:after="0"/>
        <w:jc w:val="both"/>
        <w:rPr/>
      </w:pPr>
      <w:r>
        <w:rPr/>
      </w:r>
    </w:p>
    <w:tbl>
      <w:tblPr>
        <w:tblW w:w="5774" w:type="dxa"/>
        <w:jc w:val="left"/>
        <w:tblInd w:w="0" w:type="dxa"/>
        <w:tblLayout w:type="fixed"/>
        <w:tblCellMar>
          <w:top w:w="28" w:type="dxa"/>
          <w:left w:w="28" w:type="dxa"/>
          <w:bottom w:w="28" w:type="dxa"/>
          <w:right w:w="28" w:type="dxa"/>
        </w:tblCellMar>
      </w:tblPr>
      <w:tblGrid>
        <w:gridCol w:w="1491"/>
        <w:gridCol w:w="1312"/>
        <w:gridCol w:w="1321"/>
        <w:gridCol w:w="481"/>
        <w:gridCol w:w="481"/>
        <w:gridCol w:w="688"/>
      </w:tblGrid>
      <w:tr>
        <w:trPr/>
        <w:tc>
          <w:tcPr>
            <w:tcW w:w="149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A. Shiffman</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Gary A. Shiffman, Chief Executive Officer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Fernando Castro-Caratini</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Fernando Castro-Caratini, Chief Financial Officer</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Sun Communities, Inc. and will be retained by Sun Communities, Inc. and furnished to the Securities and Exchange Commission or its staff upon request.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2593/000091259318000049/exhibit31-suncommunitiesin.htm" TargetMode="External"/><Relationship Id="rId4" Type="http://schemas.openxmlformats.org/officeDocument/2006/relationships/hyperlink" Target="https://www.sec.gov/Archives/edgar/data/912593/000091259323000066/suncommunitiesinc-fourtham.htm" TargetMode="External"/><Relationship Id="rId5" Type="http://schemas.openxmlformats.org/officeDocument/2006/relationships/hyperlink" Target="https://www.sec.gov/Archives/edgar/data/912593/000091259323000182/articlesofamendment-increa.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35352</Words>
  <Characters>191302</Characters>
  <CharactersWithSpaces>222903</CharactersWithSpaces>
  <Paragraphs>7153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